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A945B" w14:textId="77777777" w:rsidR="00FA5B90" w:rsidRDefault="00FA5B90" w:rsidP="00FA5B90">
      <w:pPr>
        <w:pStyle w:val="Hlavika"/>
        <w:tabs>
          <w:tab w:val="clear" w:pos="4536"/>
          <w:tab w:val="clear" w:pos="9072"/>
          <w:tab w:val="right" w:pos="0"/>
          <w:tab w:val="center" w:pos="9356"/>
        </w:tabs>
        <w:jc w:val="center"/>
        <w:rPr>
          <w:b/>
          <w:spacing w:val="40"/>
          <w:sz w:val="24"/>
          <w:szCs w:val="24"/>
        </w:rPr>
      </w:pPr>
      <w:bookmarkStart w:id="0" w:name="_Toc415474335"/>
      <w:bookmarkStart w:id="1" w:name="_Toc415479032"/>
      <w:bookmarkStart w:id="2" w:name="_Toc443481670"/>
      <w:bookmarkStart w:id="3" w:name="_GoBack"/>
      <w:bookmarkEnd w:id="3"/>
      <w:r>
        <w:rPr>
          <w:b/>
          <w:spacing w:val="40"/>
          <w:sz w:val="24"/>
          <w:szCs w:val="24"/>
        </w:rPr>
        <w:t>NAJVYŠŠÍ KONTROLNÝ ÚRAD</w:t>
      </w:r>
    </w:p>
    <w:p w14:paraId="771A1F07" w14:textId="77777777" w:rsidR="00FA5B90" w:rsidRDefault="00FA5B90" w:rsidP="00FA5B90">
      <w:pPr>
        <w:pStyle w:val="Hlavika"/>
        <w:tabs>
          <w:tab w:val="clear" w:pos="4536"/>
          <w:tab w:val="clear" w:pos="9072"/>
          <w:tab w:val="right" w:pos="0"/>
          <w:tab w:val="center" w:pos="9356"/>
        </w:tabs>
        <w:jc w:val="center"/>
        <w:rPr>
          <w:b/>
          <w:spacing w:val="40"/>
          <w:sz w:val="24"/>
          <w:szCs w:val="24"/>
        </w:rPr>
      </w:pPr>
      <w:r>
        <w:rPr>
          <w:b/>
          <w:spacing w:val="40"/>
          <w:sz w:val="24"/>
          <w:szCs w:val="24"/>
        </w:rPr>
        <w:t>SLOVENSKEJ REPUBLIKY</w:t>
      </w:r>
    </w:p>
    <w:p w14:paraId="402543AF" w14:textId="77777777" w:rsidR="00FA5B90" w:rsidRDefault="00FA5B90" w:rsidP="00FA5B90">
      <w:pPr>
        <w:jc w:val="center"/>
        <w:rPr>
          <w:sz w:val="24"/>
          <w:szCs w:val="24"/>
        </w:rPr>
      </w:pPr>
    </w:p>
    <w:p w14:paraId="70A25907" w14:textId="77777777" w:rsidR="00FA5B90" w:rsidRDefault="00FA5B90" w:rsidP="00FA5B90">
      <w:pPr>
        <w:jc w:val="center"/>
        <w:rPr>
          <w:sz w:val="24"/>
          <w:szCs w:val="24"/>
        </w:rPr>
      </w:pPr>
    </w:p>
    <w:p w14:paraId="1F3E5430" w14:textId="77777777" w:rsidR="00FA5B90" w:rsidRPr="0007154E" w:rsidRDefault="00FA5B90" w:rsidP="00FA5B90">
      <w:pPr>
        <w:ind w:left="1416"/>
        <w:rPr>
          <w:sz w:val="24"/>
          <w:szCs w:val="24"/>
        </w:rPr>
      </w:pPr>
      <w:r w:rsidRPr="0007154E">
        <w:rPr>
          <w:sz w:val="24"/>
          <w:szCs w:val="24"/>
        </w:rPr>
        <w:tab/>
      </w:r>
      <w:r w:rsidRPr="0007154E">
        <w:rPr>
          <w:sz w:val="24"/>
          <w:szCs w:val="24"/>
        </w:rPr>
        <w:tab/>
      </w:r>
      <w:r w:rsidRPr="0007154E">
        <w:rPr>
          <w:sz w:val="24"/>
          <w:szCs w:val="24"/>
        </w:rPr>
        <w:tab/>
      </w:r>
      <w:r w:rsidRPr="0007154E">
        <w:rPr>
          <w:sz w:val="24"/>
          <w:szCs w:val="24"/>
        </w:rPr>
        <w:tab/>
      </w:r>
      <w:r w:rsidRPr="0007154E">
        <w:rPr>
          <w:sz w:val="24"/>
          <w:szCs w:val="24"/>
        </w:rPr>
        <w:tab/>
      </w:r>
      <w:r w:rsidRPr="0007154E">
        <w:rPr>
          <w:sz w:val="24"/>
          <w:szCs w:val="24"/>
        </w:rPr>
        <w:tab/>
      </w:r>
      <w:r w:rsidRPr="0007154E">
        <w:rPr>
          <w:sz w:val="24"/>
          <w:szCs w:val="24"/>
        </w:rPr>
        <w:tab/>
      </w:r>
    </w:p>
    <w:p w14:paraId="3530659E" w14:textId="77777777" w:rsidR="00FA5B90" w:rsidRPr="0007154E" w:rsidRDefault="00FA5B90" w:rsidP="00FA5B90">
      <w:pPr>
        <w:tabs>
          <w:tab w:val="left" w:pos="2335"/>
        </w:tabs>
      </w:pPr>
    </w:p>
    <w:p w14:paraId="1CB7305F" w14:textId="77777777" w:rsidR="00FA5B90" w:rsidRDefault="00FA5B90" w:rsidP="00FA5B90">
      <w:pPr>
        <w:tabs>
          <w:tab w:val="left" w:pos="2335"/>
        </w:tabs>
        <w:spacing w:after="120"/>
      </w:pPr>
    </w:p>
    <w:p w14:paraId="3AC77B69" w14:textId="77777777" w:rsidR="00FA5B90" w:rsidRDefault="00FA5B90" w:rsidP="00FA5B90">
      <w:pPr>
        <w:tabs>
          <w:tab w:val="left" w:pos="2335"/>
        </w:tabs>
        <w:spacing w:after="120"/>
      </w:pPr>
      <w:r>
        <w:rPr>
          <w:noProof/>
          <w:lang w:eastAsia="sk-SK"/>
        </w:rPr>
        <w:drawing>
          <wp:anchor distT="0" distB="0" distL="114300" distR="114300" simplePos="0" relativeHeight="251658240" behindDoc="0" locked="0" layoutInCell="1" allowOverlap="1" wp14:anchorId="01623379" wp14:editId="2F5D4BE0">
            <wp:simplePos x="0" y="0"/>
            <wp:positionH relativeFrom="margin">
              <wp:posOffset>1193165</wp:posOffset>
            </wp:positionH>
            <wp:positionV relativeFrom="margin">
              <wp:posOffset>1250315</wp:posOffset>
            </wp:positionV>
            <wp:extent cx="3600450" cy="2657475"/>
            <wp:effectExtent l="0" t="0" r="0" b="9525"/>
            <wp:wrapSquare wrapText="bothSides"/>
            <wp:docPr id="5" name="Obrázok 5" descr="Popis: Popis: logo8x9_nadokument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6" descr="Popis: Popis: logo8x9_nadokumenty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657475"/>
                    </a:xfrm>
                    <a:prstGeom prst="rect">
                      <a:avLst/>
                    </a:prstGeom>
                    <a:noFill/>
                  </pic:spPr>
                </pic:pic>
              </a:graphicData>
            </a:graphic>
          </wp:anchor>
        </w:drawing>
      </w:r>
    </w:p>
    <w:p w14:paraId="11D64F40" w14:textId="77777777" w:rsidR="00FA5B90" w:rsidRDefault="00FA5B90" w:rsidP="00FA5B90">
      <w:pPr>
        <w:tabs>
          <w:tab w:val="left" w:pos="2335"/>
        </w:tabs>
        <w:spacing w:after="120"/>
      </w:pPr>
    </w:p>
    <w:p w14:paraId="65AB1780" w14:textId="77777777" w:rsidR="00FA5B90" w:rsidRDefault="00FA5B90" w:rsidP="00FA5B90">
      <w:pPr>
        <w:tabs>
          <w:tab w:val="left" w:pos="2335"/>
        </w:tabs>
        <w:spacing w:after="120"/>
      </w:pPr>
    </w:p>
    <w:p w14:paraId="6FB16DC0" w14:textId="77777777" w:rsidR="00FA5B90" w:rsidRDefault="00FA5B90" w:rsidP="00FA5B90">
      <w:pPr>
        <w:tabs>
          <w:tab w:val="left" w:pos="2335"/>
        </w:tabs>
        <w:spacing w:after="120"/>
      </w:pPr>
    </w:p>
    <w:p w14:paraId="04CC604E" w14:textId="77777777" w:rsidR="00FA5B90" w:rsidRDefault="00FA5B90" w:rsidP="00FA5B90">
      <w:pPr>
        <w:tabs>
          <w:tab w:val="left" w:pos="2335"/>
        </w:tabs>
        <w:spacing w:after="120"/>
      </w:pPr>
    </w:p>
    <w:p w14:paraId="2F974610" w14:textId="77777777" w:rsidR="00FA5B90" w:rsidRDefault="00FA5B90" w:rsidP="00FA5B90">
      <w:pPr>
        <w:tabs>
          <w:tab w:val="left" w:pos="2335"/>
        </w:tabs>
        <w:spacing w:after="120"/>
      </w:pPr>
    </w:p>
    <w:p w14:paraId="5967905A" w14:textId="77777777" w:rsidR="00FA5B90" w:rsidRDefault="00FA5B90" w:rsidP="00FA5B90">
      <w:pPr>
        <w:tabs>
          <w:tab w:val="left" w:pos="2335"/>
        </w:tabs>
        <w:spacing w:after="120"/>
      </w:pPr>
    </w:p>
    <w:p w14:paraId="7519C3E7" w14:textId="77777777" w:rsidR="00FA5B90" w:rsidRDefault="00FA5B90" w:rsidP="00FA5B90">
      <w:pPr>
        <w:rPr>
          <w:b/>
        </w:rPr>
      </w:pPr>
    </w:p>
    <w:p w14:paraId="787D74BE" w14:textId="77777777" w:rsidR="00FA5B90" w:rsidRDefault="00FA5B90" w:rsidP="00FA5B90">
      <w:pPr>
        <w:jc w:val="center"/>
        <w:rPr>
          <w:b/>
        </w:rPr>
      </w:pPr>
    </w:p>
    <w:p w14:paraId="7FF498BA" w14:textId="77777777" w:rsidR="00FA5B90" w:rsidRDefault="00FA5B90" w:rsidP="00FA5B90">
      <w:pPr>
        <w:jc w:val="center"/>
        <w:rPr>
          <w:b/>
        </w:rPr>
      </w:pPr>
    </w:p>
    <w:p w14:paraId="65941393" w14:textId="77777777" w:rsidR="00FA5B90" w:rsidRDefault="00FA5B90" w:rsidP="00FA5B90">
      <w:pPr>
        <w:jc w:val="center"/>
        <w:rPr>
          <w:b/>
        </w:rPr>
      </w:pPr>
    </w:p>
    <w:p w14:paraId="7CBFDFEA" w14:textId="77777777" w:rsidR="00FA5B90" w:rsidRDefault="00FA5B90" w:rsidP="00FA5B90">
      <w:pPr>
        <w:jc w:val="center"/>
        <w:rPr>
          <w:b/>
        </w:rPr>
      </w:pPr>
    </w:p>
    <w:p w14:paraId="67FE1B54" w14:textId="77777777" w:rsidR="00FA5B90" w:rsidRDefault="00FA5B90" w:rsidP="00FA5B90">
      <w:pPr>
        <w:jc w:val="center"/>
        <w:rPr>
          <w:b/>
        </w:rPr>
      </w:pPr>
    </w:p>
    <w:p w14:paraId="1A6B4128" w14:textId="77777777" w:rsidR="00FA5B90" w:rsidRDefault="00FA5B90" w:rsidP="00FA5B90">
      <w:pPr>
        <w:jc w:val="center"/>
        <w:rPr>
          <w:b/>
        </w:rPr>
      </w:pPr>
    </w:p>
    <w:p w14:paraId="1FAF54A1" w14:textId="77777777" w:rsidR="00FA5B90" w:rsidRDefault="00FA5B90" w:rsidP="00FA5B90">
      <w:pPr>
        <w:jc w:val="center"/>
        <w:rPr>
          <w:b/>
        </w:rPr>
      </w:pPr>
    </w:p>
    <w:p w14:paraId="244E67B3" w14:textId="77777777" w:rsidR="00FA5B90" w:rsidRDefault="00FA5B90" w:rsidP="00FA5B90">
      <w:pPr>
        <w:jc w:val="center"/>
        <w:rPr>
          <w:b/>
        </w:rPr>
      </w:pPr>
    </w:p>
    <w:p w14:paraId="6EED153E" w14:textId="77777777" w:rsidR="00FA5B90" w:rsidRDefault="00FA5B90" w:rsidP="00FA5B90">
      <w:pPr>
        <w:jc w:val="center"/>
        <w:rPr>
          <w:b/>
        </w:rPr>
      </w:pPr>
    </w:p>
    <w:p w14:paraId="1854D5D9" w14:textId="77777777" w:rsidR="00FA5B90" w:rsidRPr="00E61D07" w:rsidRDefault="00FA5B90" w:rsidP="00FA5B90">
      <w:pPr>
        <w:jc w:val="center"/>
        <w:rPr>
          <w:b/>
          <w:sz w:val="26"/>
          <w:szCs w:val="26"/>
        </w:rPr>
      </w:pPr>
      <w:r w:rsidRPr="00E61D07">
        <w:rPr>
          <w:b/>
          <w:sz w:val="26"/>
          <w:szCs w:val="26"/>
        </w:rPr>
        <w:t>S T A N O V I S K O</w:t>
      </w:r>
    </w:p>
    <w:p w14:paraId="099CB615" w14:textId="77777777" w:rsidR="00FA5B90" w:rsidRPr="00E61D07" w:rsidRDefault="00FA5B90" w:rsidP="00FA5B90">
      <w:pPr>
        <w:jc w:val="center"/>
        <w:rPr>
          <w:b/>
        </w:rPr>
      </w:pPr>
    </w:p>
    <w:p w14:paraId="5C020BB5" w14:textId="77777777" w:rsidR="00FA5B90" w:rsidRPr="00E61D07" w:rsidRDefault="00FA5B90" w:rsidP="00FA5B90">
      <w:pPr>
        <w:jc w:val="center"/>
        <w:rPr>
          <w:b/>
          <w:sz w:val="26"/>
          <w:szCs w:val="26"/>
        </w:rPr>
      </w:pPr>
      <w:r w:rsidRPr="00E61D07">
        <w:rPr>
          <w:b/>
          <w:sz w:val="26"/>
          <w:szCs w:val="26"/>
        </w:rPr>
        <w:t xml:space="preserve">Najvyššieho kontrolného úradu Slovenskej republiky </w:t>
      </w:r>
    </w:p>
    <w:p w14:paraId="558814EA" w14:textId="77777777" w:rsidR="00FA5B90" w:rsidRPr="00E61D07" w:rsidRDefault="00FA5B90" w:rsidP="00FA5B90">
      <w:pPr>
        <w:jc w:val="center"/>
        <w:rPr>
          <w:b/>
          <w:sz w:val="26"/>
          <w:szCs w:val="26"/>
        </w:rPr>
      </w:pPr>
      <w:r w:rsidRPr="00E61D07">
        <w:rPr>
          <w:b/>
          <w:sz w:val="26"/>
          <w:szCs w:val="26"/>
        </w:rPr>
        <w:t xml:space="preserve">k návrhu štátneho záverečného účtu </w:t>
      </w:r>
      <w:r w:rsidR="00F634D9">
        <w:rPr>
          <w:b/>
          <w:sz w:val="26"/>
          <w:szCs w:val="26"/>
        </w:rPr>
        <w:t>Slovenskej republiky za rok 2019</w:t>
      </w:r>
    </w:p>
    <w:p w14:paraId="60974001" w14:textId="77777777" w:rsidR="00FA5B90" w:rsidRDefault="00FA5B90" w:rsidP="00FA5B90">
      <w:pPr>
        <w:jc w:val="center"/>
        <w:rPr>
          <w:b/>
          <w:sz w:val="26"/>
          <w:szCs w:val="26"/>
        </w:rPr>
      </w:pPr>
    </w:p>
    <w:p w14:paraId="257F4EE4" w14:textId="77777777" w:rsidR="00FA5B90" w:rsidRDefault="00FA5B90" w:rsidP="00FA5B90">
      <w:pPr>
        <w:ind w:right="-143"/>
      </w:pPr>
      <w:r>
        <w:t>______________________________________________________________________________________</w:t>
      </w:r>
      <w:r w:rsidR="000E2224">
        <w:t>______</w:t>
      </w:r>
    </w:p>
    <w:p w14:paraId="20024338" w14:textId="77777777" w:rsidR="00FA5B90" w:rsidRDefault="00FA5B90" w:rsidP="00FA5B90">
      <w:pPr>
        <w:spacing w:after="120"/>
      </w:pPr>
    </w:p>
    <w:p w14:paraId="11D96C46" w14:textId="77777777" w:rsidR="00FA5B90" w:rsidRDefault="00FA5B90" w:rsidP="00FA5B90">
      <w:pPr>
        <w:spacing w:after="120"/>
      </w:pPr>
    </w:p>
    <w:p w14:paraId="5D1B845B" w14:textId="77777777" w:rsidR="00FA5B90" w:rsidRDefault="00FA5B90" w:rsidP="00FA5B90">
      <w:pPr>
        <w:spacing w:after="120"/>
      </w:pPr>
    </w:p>
    <w:p w14:paraId="03B1897A" w14:textId="77777777" w:rsidR="00FA5B90" w:rsidRDefault="00FA5B90" w:rsidP="00FA5B90">
      <w:pPr>
        <w:spacing w:after="120"/>
      </w:pPr>
    </w:p>
    <w:p w14:paraId="4CF3CECF" w14:textId="77777777" w:rsidR="00FA5B90" w:rsidRDefault="00FA5B90" w:rsidP="00FA5B90">
      <w:pPr>
        <w:spacing w:after="120"/>
      </w:pPr>
    </w:p>
    <w:p w14:paraId="4051AB99" w14:textId="77777777" w:rsidR="00FA5B90" w:rsidRDefault="00FA5B90" w:rsidP="00FA5B90">
      <w:pPr>
        <w:spacing w:after="120"/>
      </w:pPr>
    </w:p>
    <w:p w14:paraId="1830E29A" w14:textId="77777777" w:rsidR="00FA5B90" w:rsidRDefault="00FA5B90" w:rsidP="00FA5B90">
      <w:pPr>
        <w:spacing w:after="120"/>
      </w:pPr>
    </w:p>
    <w:p w14:paraId="2671F581" w14:textId="77777777" w:rsidR="00FA5B90" w:rsidRDefault="00FA5B90" w:rsidP="00FA5B90">
      <w:pPr>
        <w:spacing w:after="120"/>
      </w:pPr>
    </w:p>
    <w:p w14:paraId="7CE41B3E" w14:textId="77777777" w:rsidR="00FA5B90" w:rsidRDefault="00FA5B90" w:rsidP="00FA5B90">
      <w:pPr>
        <w:spacing w:after="120"/>
      </w:pPr>
    </w:p>
    <w:p w14:paraId="55F6215E" w14:textId="77777777" w:rsidR="00FA5B90" w:rsidRDefault="00FA5B90" w:rsidP="00FA5B90">
      <w:pPr>
        <w:spacing w:after="120"/>
      </w:pPr>
    </w:p>
    <w:p w14:paraId="5E6AF920" w14:textId="77777777" w:rsidR="00FA5B90" w:rsidRDefault="00FA5B90" w:rsidP="00FA5B90">
      <w:pPr>
        <w:spacing w:after="120"/>
      </w:pPr>
    </w:p>
    <w:p w14:paraId="48E422A2" w14:textId="77777777" w:rsidR="00FA5B90" w:rsidRPr="00E61D07" w:rsidRDefault="00FA5B90" w:rsidP="00FA5B90">
      <w:pPr>
        <w:spacing w:after="120"/>
      </w:pPr>
    </w:p>
    <w:p w14:paraId="73116ACE" w14:textId="2D441FC2" w:rsidR="00FA5B90" w:rsidRPr="00E61D07" w:rsidRDefault="00B40B92" w:rsidP="00FA5B90">
      <w:pPr>
        <w:jc w:val="center"/>
        <w:rPr>
          <w:b/>
        </w:rPr>
      </w:pPr>
      <w:r w:rsidRPr="00E61D07">
        <w:rPr>
          <w:b/>
        </w:rPr>
        <w:t>Bratislava</w:t>
      </w:r>
      <w:r w:rsidR="000B69AF">
        <w:rPr>
          <w:b/>
        </w:rPr>
        <w:t>,</w:t>
      </w:r>
      <w:r w:rsidR="00F634D9">
        <w:rPr>
          <w:b/>
        </w:rPr>
        <w:t xml:space="preserve"> </w:t>
      </w:r>
      <w:r w:rsidR="00EC258B">
        <w:rPr>
          <w:b/>
        </w:rPr>
        <w:t>jún</w:t>
      </w:r>
      <w:r w:rsidR="00F634D9">
        <w:rPr>
          <w:b/>
        </w:rPr>
        <w:t xml:space="preserve"> 2020</w:t>
      </w:r>
    </w:p>
    <w:p w14:paraId="7E3B4563" w14:textId="77777777" w:rsidR="003D61C9" w:rsidRDefault="009754B9" w:rsidP="006A28DA">
      <w:pPr>
        <w:pStyle w:val="Nadpis1"/>
      </w:pPr>
      <w:r w:rsidRPr="00066EFF">
        <w:br w:type="page"/>
      </w:r>
    </w:p>
    <w:sdt>
      <w:sdtPr>
        <w:rPr>
          <w:rFonts w:eastAsiaTheme="minorHAnsi" w:cstheme="minorBidi"/>
          <w:b w:val="0"/>
          <w:bCs w:val="0"/>
          <w:color w:val="auto"/>
          <w:sz w:val="24"/>
          <w:szCs w:val="22"/>
          <w:lang w:eastAsia="en-US"/>
        </w:rPr>
        <w:id w:val="500786309"/>
        <w:docPartObj>
          <w:docPartGallery w:val="Table of Contents"/>
          <w:docPartUnique/>
        </w:docPartObj>
      </w:sdtPr>
      <w:sdtEndPr>
        <w:rPr>
          <w:sz w:val="22"/>
        </w:rPr>
      </w:sdtEndPr>
      <w:sdtContent>
        <w:p w14:paraId="6E153DE2" w14:textId="77777777" w:rsidR="008062D1" w:rsidRPr="009815CE" w:rsidRDefault="001A46A4" w:rsidP="00C22938">
          <w:pPr>
            <w:pStyle w:val="Hlavikaobsahu"/>
            <w:rPr>
              <w:szCs w:val="22"/>
            </w:rPr>
          </w:pPr>
          <w:r w:rsidRPr="009815CE">
            <w:rPr>
              <w:szCs w:val="22"/>
            </w:rPr>
            <w:t>Obsah</w:t>
          </w:r>
        </w:p>
        <w:p w14:paraId="6998EAED" w14:textId="32539EAA" w:rsidR="008E0BCA" w:rsidRPr="008E0BCA" w:rsidRDefault="00A35C70">
          <w:pPr>
            <w:pStyle w:val="Obsah1"/>
            <w:rPr>
              <w:rFonts w:eastAsiaTheme="minorEastAsia"/>
              <w:b w:val="0"/>
              <w:bCs w:val="0"/>
              <w:szCs w:val="22"/>
              <w:lang w:eastAsia="sk-SK"/>
            </w:rPr>
          </w:pPr>
          <w:r w:rsidRPr="008E0BCA">
            <w:rPr>
              <w:szCs w:val="22"/>
            </w:rPr>
            <w:fldChar w:fldCharType="begin"/>
          </w:r>
          <w:r w:rsidR="001A46A4" w:rsidRPr="008E0BCA">
            <w:rPr>
              <w:szCs w:val="22"/>
            </w:rPr>
            <w:instrText xml:space="preserve"> TOC \o "1-3" \h \z \u </w:instrText>
          </w:r>
          <w:r w:rsidRPr="008E0BCA">
            <w:rPr>
              <w:szCs w:val="22"/>
            </w:rPr>
            <w:fldChar w:fldCharType="separate"/>
          </w:r>
          <w:hyperlink w:anchor="_Toc43218059" w:history="1">
            <w:r w:rsidR="008E0BCA" w:rsidRPr="008E0BCA">
              <w:rPr>
                <w:rStyle w:val="Hypertextovprepojenie"/>
              </w:rPr>
              <w:t>Zoznam skratiek</w:t>
            </w:r>
            <w:r w:rsidR="008E0BCA" w:rsidRPr="008E0BCA">
              <w:rPr>
                <w:webHidden/>
              </w:rPr>
              <w:tab/>
            </w:r>
            <w:r w:rsidR="008E0BCA" w:rsidRPr="008E0BCA">
              <w:rPr>
                <w:webHidden/>
              </w:rPr>
              <w:fldChar w:fldCharType="begin"/>
            </w:r>
            <w:r w:rsidR="008E0BCA" w:rsidRPr="008E0BCA">
              <w:rPr>
                <w:webHidden/>
              </w:rPr>
              <w:instrText xml:space="preserve"> PAGEREF _Toc43218059 \h </w:instrText>
            </w:r>
            <w:r w:rsidR="008E0BCA" w:rsidRPr="008E0BCA">
              <w:rPr>
                <w:webHidden/>
              </w:rPr>
            </w:r>
            <w:r w:rsidR="008E0BCA" w:rsidRPr="008E0BCA">
              <w:rPr>
                <w:webHidden/>
              </w:rPr>
              <w:fldChar w:fldCharType="separate"/>
            </w:r>
            <w:r w:rsidR="008E0BCA" w:rsidRPr="008E0BCA">
              <w:rPr>
                <w:webHidden/>
              </w:rPr>
              <w:t>1</w:t>
            </w:r>
            <w:r w:rsidR="008E0BCA" w:rsidRPr="008E0BCA">
              <w:rPr>
                <w:webHidden/>
              </w:rPr>
              <w:fldChar w:fldCharType="end"/>
            </w:r>
          </w:hyperlink>
        </w:p>
        <w:p w14:paraId="2A7964E2" w14:textId="7038671A" w:rsidR="008E0BCA" w:rsidRPr="008E0BCA" w:rsidRDefault="00A617B8">
          <w:pPr>
            <w:pStyle w:val="Obsah1"/>
            <w:rPr>
              <w:rFonts w:eastAsiaTheme="minorEastAsia"/>
              <w:b w:val="0"/>
              <w:bCs w:val="0"/>
              <w:szCs w:val="22"/>
              <w:lang w:eastAsia="sk-SK"/>
            </w:rPr>
          </w:pPr>
          <w:hyperlink w:anchor="_Toc43218060" w:history="1">
            <w:r w:rsidR="008E0BCA" w:rsidRPr="008E0BCA">
              <w:rPr>
                <w:rStyle w:val="Hypertextovprepojenie"/>
              </w:rPr>
              <w:t>Zhrnutie</w:t>
            </w:r>
            <w:r w:rsidR="008E0BCA" w:rsidRPr="008E0BCA">
              <w:rPr>
                <w:webHidden/>
              </w:rPr>
              <w:tab/>
            </w:r>
            <w:r w:rsidR="008E0BCA" w:rsidRPr="008E0BCA">
              <w:rPr>
                <w:webHidden/>
              </w:rPr>
              <w:fldChar w:fldCharType="begin"/>
            </w:r>
            <w:r w:rsidR="008E0BCA" w:rsidRPr="008E0BCA">
              <w:rPr>
                <w:webHidden/>
              </w:rPr>
              <w:instrText xml:space="preserve"> PAGEREF _Toc43218060 \h </w:instrText>
            </w:r>
            <w:r w:rsidR="008E0BCA" w:rsidRPr="008E0BCA">
              <w:rPr>
                <w:webHidden/>
              </w:rPr>
            </w:r>
            <w:r w:rsidR="008E0BCA" w:rsidRPr="008E0BCA">
              <w:rPr>
                <w:webHidden/>
              </w:rPr>
              <w:fldChar w:fldCharType="separate"/>
            </w:r>
            <w:r w:rsidR="008E0BCA" w:rsidRPr="008E0BCA">
              <w:rPr>
                <w:webHidden/>
              </w:rPr>
              <w:t>2</w:t>
            </w:r>
            <w:r w:rsidR="008E0BCA" w:rsidRPr="008E0BCA">
              <w:rPr>
                <w:webHidden/>
              </w:rPr>
              <w:fldChar w:fldCharType="end"/>
            </w:r>
          </w:hyperlink>
        </w:p>
        <w:p w14:paraId="0E200354" w14:textId="211FFA64" w:rsidR="008E0BCA" w:rsidRPr="008E0BCA" w:rsidRDefault="00A617B8">
          <w:pPr>
            <w:pStyle w:val="Obsah1"/>
            <w:rPr>
              <w:rFonts w:eastAsiaTheme="minorEastAsia"/>
              <w:b w:val="0"/>
              <w:bCs w:val="0"/>
              <w:szCs w:val="22"/>
              <w:lang w:eastAsia="sk-SK"/>
            </w:rPr>
          </w:pPr>
          <w:hyperlink w:anchor="_Toc43218061" w:history="1">
            <w:r w:rsidR="008E0BCA" w:rsidRPr="008E0BCA">
              <w:rPr>
                <w:rStyle w:val="Hypertextovprepojenie"/>
                <w:rFonts w:eastAsia="Times New Roman"/>
              </w:rPr>
              <w:t>1.</w:t>
            </w:r>
            <w:r w:rsidR="008E0BCA" w:rsidRPr="008E0BCA">
              <w:rPr>
                <w:rFonts w:eastAsiaTheme="minorEastAsia"/>
                <w:b w:val="0"/>
                <w:bCs w:val="0"/>
                <w:szCs w:val="22"/>
                <w:lang w:eastAsia="sk-SK"/>
              </w:rPr>
              <w:tab/>
            </w:r>
            <w:r w:rsidR="008E0BCA" w:rsidRPr="008E0BCA">
              <w:rPr>
                <w:rStyle w:val="Hypertextovprepojenie"/>
              </w:rPr>
              <w:t xml:space="preserve">Ekonomický rámec rozpočtového hospodárenia </w:t>
            </w:r>
            <w:r w:rsidR="008E0BCA" w:rsidRPr="008E0BCA">
              <w:rPr>
                <w:rStyle w:val="Hypertextovprepojenie"/>
                <w:rFonts w:eastAsia="Times New Roman"/>
              </w:rPr>
              <w:t>SR v roku 2019</w:t>
            </w:r>
            <w:r w:rsidR="008E0BCA" w:rsidRPr="008E0BCA">
              <w:rPr>
                <w:webHidden/>
              </w:rPr>
              <w:tab/>
            </w:r>
            <w:r w:rsidR="008E0BCA" w:rsidRPr="008E0BCA">
              <w:rPr>
                <w:webHidden/>
              </w:rPr>
              <w:fldChar w:fldCharType="begin"/>
            </w:r>
            <w:r w:rsidR="008E0BCA" w:rsidRPr="008E0BCA">
              <w:rPr>
                <w:webHidden/>
              </w:rPr>
              <w:instrText xml:space="preserve"> PAGEREF _Toc43218061 \h </w:instrText>
            </w:r>
            <w:r w:rsidR="008E0BCA" w:rsidRPr="008E0BCA">
              <w:rPr>
                <w:webHidden/>
              </w:rPr>
            </w:r>
            <w:r w:rsidR="008E0BCA" w:rsidRPr="008E0BCA">
              <w:rPr>
                <w:webHidden/>
              </w:rPr>
              <w:fldChar w:fldCharType="separate"/>
            </w:r>
            <w:r w:rsidR="008E0BCA" w:rsidRPr="008E0BCA">
              <w:rPr>
                <w:webHidden/>
              </w:rPr>
              <w:t>5</w:t>
            </w:r>
            <w:r w:rsidR="008E0BCA" w:rsidRPr="008E0BCA">
              <w:rPr>
                <w:webHidden/>
              </w:rPr>
              <w:fldChar w:fldCharType="end"/>
            </w:r>
          </w:hyperlink>
        </w:p>
        <w:p w14:paraId="7D2C5D17" w14:textId="22204788" w:rsidR="008E0BCA" w:rsidRPr="008E0BCA" w:rsidRDefault="00A617B8">
          <w:pPr>
            <w:pStyle w:val="Obsah1"/>
            <w:rPr>
              <w:rFonts w:eastAsiaTheme="minorEastAsia"/>
              <w:b w:val="0"/>
              <w:bCs w:val="0"/>
              <w:szCs w:val="22"/>
              <w:lang w:eastAsia="sk-SK"/>
            </w:rPr>
          </w:pPr>
          <w:hyperlink w:anchor="_Toc43218062" w:history="1">
            <w:r w:rsidR="008E0BCA" w:rsidRPr="008E0BCA">
              <w:rPr>
                <w:rStyle w:val="Hypertextovprepojenie"/>
              </w:rPr>
              <w:t>2.</w:t>
            </w:r>
            <w:r w:rsidR="008E0BCA" w:rsidRPr="008E0BCA">
              <w:rPr>
                <w:rFonts w:eastAsiaTheme="minorEastAsia"/>
                <w:b w:val="0"/>
                <w:bCs w:val="0"/>
                <w:szCs w:val="22"/>
                <w:lang w:eastAsia="sk-SK"/>
              </w:rPr>
              <w:tab/>
            </w:r>
            <w:r w:rsidR="008E0BCA" w:rsidRPr="008E0BCA">
              <w:rPr>
                <w:rStyle w:val="Hypertextovprepojenie"/>
              </w:rPr>
              <w:t>Hospodárenie verejnej správy v metodike ESA 2010</w:t>
            </w:r>
            <w:r w:rsidR="008E0BCA" w:rsidRPr="008E0BCA">
              <w:rPr>
                <w:webHidden/>
              </w:rPr>
              <w:tab/>
            </w:r>
            <w:r w:rsidR="008E0BCA" w:rsidRPr="008E0BCA">
              <w:rPr>
                <w:webHidden/>
              </w:rPr>
              <w:fldChar w:fldCharType="begin"/>
            </w:r>
            <w:r w:rsidR="008E0BCA" w:rsidRPr="008E0BCA">
              <w:rPr>
                <w:webHidden/>
              </w:rPr>
              <w:instrText xml:space="preserve"> PAGEREF _Toc43218062 \h </w:instrText>
            </w:r>
            <w:r w:rsidR="008E0BCA" w:rsidRPr="008E0BCA">
              <w:rPr>
                <w:webHidden/>
              </w:rPr>
            </w:r>
            <w:r w:rsidR="008E0BCA" w:rsidRPr="008E0BCA">
              <w:rPr>
                <w:webHidden/>
              </w:rPr>
              <w:fldChar w:fldCharType="separate"/>
            </w:r>
            <w:r w:rsidR="008E0BCA" w:rsidRPr="008E0BCA">
              <w:rPr>
                <w:webHidden/>
              </w:rPr>
              <w:t>6</w:t>
            </w:r>
            <w:r w:rsidR="008E0BCA" w:rsidRPr="008E0BCA">
              <w:rPr>
                <w:webHidden/>
              </w:rPr>
              <w:fldChar w:fldCharType="end"/>
            </w:r>
          </w:hyperlink>
        </w:p>
        <w:p w14:paraId="29FC48AC" w14:textId="263D08B1" w:rsidR="008E0BCA" w:rsidRPr="008E0BCA" w:rsidRDefault="00A617B8">
          <w:pPr>
            <w:pStyle w:val="Obsah2"/>
            <w:rPr>
              <w:rFonts w:eastAsiaTheme="minorEastAsia"/>
              <w:iCs w:val="0"/>
              <w:lang w:eastAsia="sk-SK"/>
            </w:rPr>
          </w:pPr>
          <w:hyperlink w:anchor="_Toc43218063" w:history="1">
            <w:r w:rsidR="008E0BCA" w:rsidRPr="008E0BCA">
              <w:rPr>
                <w:rStyle w:val="Hypertextovprepojenie"/>
              </w:rPr>
              <w:t>2.1</w:t>
            </w:r>
            <w:r w:rsidR="008E0BCA" w:rsidRPr="008E0BCA">
              <w:rPr>
                <w:rFonts w:eastAsiaTheme="minorEastAsia"/>
                <w:iCs w:val="0"/>
                <w:lang w:eastAsia="sk-SK"/>
              </w:rPr>
              <w:tab/>
            </w:r>
            <w:r w:rsidR="008E0BCA" w:rsidRPr="008E0BCA">
              <w:rPr>
                <w:rStyle w:val="Hypertextovprepojenie"/>
              </w:rPr>
              <w:t>Saldo verejnej správy</w:t>
            </w:r>
            <w:r w:rsidR="008E0BCA" w:rsidRPr="008E0BCA">
              <w:rPr>
                <w:webHidden/>
              </w:rPr>
              <w:tab/>
            </w:r>
            <w:r w:rsidR="008E0BCA" w:rsidRPr="008E0BCA">
              <w:rPr>
                <w:webHidden/>
              </w:rPr>
              <w:fldChar w:fldCharType="begin"/>
            </w:r>
            <w:r w:rsidR="008E0BCA" w:rsidRPr="008E0BCA">
              <w:rPr>
                <w:webHidden/>
              </w:rPr>
              <w:instrText xml:space="preserve"> PAGEREF _Toc43218063 \h </w:instrText>
            </w:r>
            <w:r w:rsidR="008E0BCA" w:rsidRPr="008E0BCA">
              <w:rPr>
                <w:webHidden/>
              </w:rPr>
            </w:r>
            <w:r w:rsidR="008E0BCA" w:rsidRPr="008E0BCA">
              <w:rPr>
                <w:webHidden/>
              </w:rPr>
              <w:fldChar w:fldCharType="separate"/>
            </w:r>
            <w:r w:rsidR="008E0BCA" w:rsidRPr="008E0BCA">
              <w:rPr>
                <w:webHidden/>
              </w:rPr>
              <w:t>6</w:t>
            </w:r>
            <w:r w:rsidR="008E0BCA" w:rsidRPr="008E0BCA">
              <w:rPr>
                <w:webHidden/>
              </w:rPr>
              <w:fldChar w:fldCharType="end"/>
            </w:r>
          </w:hyperlink>
        </w:p>
        <w:p w14:paraId="4E7CB823" w14:textId="3A624CE6" w:rsidR="008E0BCA" w:rsidRPr="008E0BCA" w:rsidRDefault="00A617B8">
          <w:pPr>
            <w:pStyle w:val="Obsah2"/>
            <w:rPr>
              <w:rFonts w:eastAsiaTheme="minorEastAsia"/>
              <w:iCs w:val="0"/>
              <w:lang w:eastAsia="sk-SK"/>
            </w:rPr>
          </w:pPr>
          <w:hyperlink w:anchor="_Toc43218064" w:history="1">
            <w:r w:rsidR="008E0BCA" w:rsidRPr="008E0BCA">
              <w:rPr>
                <w:rStyle w:val="Hypertextovprepojenie"/>
              </w:rPr>
              <w:t>2.2</w:t>
            </w:r>
            <w:r w:rsidR="008E0BCA" w:rsidRPr="008E0BCA">
              <w:rPr>
                <w:rFonts w:eastAsiaTheme="minorEastAsia"/>
                <w:iCs w:val="0"/>
                <w:lang w:eastAsia="sk-SK"/>
              </w:rPr>
              <w:tab/>
            </w:r>
            <w:r w:rsidR="008E0BCA" w:rsidRPr="008E0BCA">
              <w:rPr>
                <w:rStyle w:val="Hypertextovprepojenie"/>
              </w:rPr>
              <w:t>Príjmy verejnej správy</w:t>
            </w:r>
            <w:r w:rsidR="008E0BCA" w:rsidRPr="008E0BCA">
              <w:rPr>
                <w:webHidden/>
              </w:rPr>
              <w:tab/>
            </w:r>
            <w:r w:rsidR="008E0BCA" w:rsidRPr="008E0BCA">
              <w:rPr>
                <w:webHidden/>
              </w:rPr>
              <w:fldChar w:fldCharType="begin"/>
            </w:r>
            <w:r w:rsidR="008E0BCA" w:rsidRPr="008E0BCA">
              <w:rPr>
                <w:webHidden/>
              </w:rPr>
              <w:instrText xml:space="preserve"> PAGEREF _Toc43218064 \h </w:instrText>
            </w:r>
            <w:r w:rsidR="008E0BCA" w:rsidRPr="008E0BCA">
              <w:rPr>
                <w:webHidden/>
              </w:rPr>
            </w:r>
            <w:r w:rsidR="008E0BCA" w:rsidRPr="008E0BCA">
              <w:rPr>
                <w:webHidden/>
              </w:rPr>
              <w:fldChar w:fldCharType="separate"/>
            </w:r>
            <w:r w:rsidR="008E0BCA" w:rsidRPr="008E0BCA">
              <w:rPr>
                <w:webHidden/>
              </w:rPr>
              <w:t>8</w:t>
            </w:r>
            <w:r w:rsidR="008E0BCA" w:rsidRPr="008E0BCA">
              <w:rPr>
                <w:webHidden/>
              </w:rPr>
              <w:fldChar w:fldCharType="end"/>
            </w:r>
          </w:hyperlink>
        </w:p>
        <w:p w14:paraId="21B105C3" w14:textId="43D7ABCE" w:rsidR="008E0BCA" w:rsidRPr="008E0BCA" w:rsidRDefault="00A617B8">
          <w:pPr>
            <w:pStyle w:val="Obsah2"/>
            <w:rPr>
              <w:rFonts w:eastAsiaTheme="minorEastAsia"/>
              <w:iCs w:val="0"/>
              <w:lang w:eastAsia="sk-SK"/>
            </w:rPr>
          </w:pPr>
          <w:hyperlink w:anchor="_Toc43218065" w:history="1">
            <w:r w:rsidR="008E0BCA" w:rsidRPr="008E0BCA">
              <w:rPr>
                <w:rStyle w:val="Hypertextovprepojenie"/>
              </w:rPr>
              <w:t>2.3</w:t>
            </w:r>
            <w:r w:rsidR="008E0BCA" w:rsidRPr="008E0BCA">
              <w:rPr>
                <w:rFonts w:eastAsiaTheme="minorEastAsia"/>
                <w:iCs w:val="0"/>
                <w:lang w:eastAsia="sk-SK"/>
              </w:rPr>
              <w:tab/>
            </w:r>
            <w:r w:rsidR="008E0BCA" w:rsidRPr="008E0BCA">
              <w:rPr>
                <w:rStyle w:val="Hypertextovprepojenie"/>
              </w:rPr>
              <w:t>Výdavky verejnej správy</w:t>
            </w:r>
            <w:r w:rsidR="008E0BCA" w:rsidRPr="008E0BCA">
              <w:rPr>
                <w:webHidden/>
              </w:rPr>
              <w:tab/>
            </w:r>
            <w:r w:rsidR="008E0BCA" w:rsidRPr="008E0BCA">
              <w:rPr>
                <w:webHidden/>
              </w:rPr>
              <w:fldChar w:fldCharType="begin"/>
            </w:r>
            <w:r w:rsidR="008E0BCA" w:rsidRPr="008E0BCA">
              <w:rPr>
                <w:webHidden/>
              </w:rPr>
              <w:instrText xml:space="preserve"> PAGEREF _Toc43218065 \h </w:instrText>
            </w:r>
            <w:r w:rsidR="008E0BCA" w:rsidRPr="008E0BCA">
              <w:rPr>
                <w:webHidden/>
              </w:rPr>
            </w:r>
            <w:r w:rsidR="008E0BCA" w:rsidRPr="008E0BCA">
              <w:rPr>
                <w:webHidden/>
              </w:rPr>
              <w:fldChar w:fldCharType="separate"/>
            </w:r>
            <w:r w:rsidR="008E0BCA" w:rsidRPr="008E0BCA">
              <w:rPr>
                <w:webHidden/>
              </w:rPr>
              <w:t>11</w:t>
            </w:r>
            <w:r w:rsidR="008E0BCA" w:rsidRPr="008E0BCA">
              <w:rPr>
                <w:webHidden/>
              </w:rPr>
              <w:fldChar w:fldCharType="end"/>
            </w:r>
          </w:hyperlink>
        </w:p>
        <w:p w14:paraId="1F36C4A9" w14:textId="19846F5C" w:rsidR="008E0BCA" w:rsidRPr="008E0BCA" w:rsidRDefault="00A617B8">
          <w:pPr>
            <w:pStyle w:val="Obsah2"/>
            <w:rPr>
              <w:rFonts w:eastAsiaTheme="minorEastAsia"/>
              <w:iCs w:val="0"/>
              <w:lang w:eastAsia="sk-SK"/>
            </w:rPr>
          </w:pPr>
          <w:hyperlink w:anchor="_Toc43218066" w:history="1">
            <w:r w:rsidR="008E0BCA" w:rsidRPr="008E0BCA">
              <w:rPr>
                <w:rStyle w:val="Hypertextovprepojenie"/>
              </w:rPr>
              <w:t>2.4</w:t>
            </w:r>
            <w:r w:rsidR="008E0BCA" w:rsidRPr="008E0BCA">
              <w:rPr>
                <w:rFonts w:eastAsiaTheme="minorEastAsia"/>
                <w:iCs w:val="0"/>
                <w:lang w:eastAsia="sk-SK"/>
              </w:rPr>
              <w:tab/>
            </w:r>
            <w:r w:rsidR="008E0BCA" w:rsidRPr="008E0BCA">
              <w:rPr>
                <w:rStyle w:val="Hypertextovprepojenie"/>
              </w:rPr>
              <w:t>Dlh verejnej správy</w:t>
            </w:r>
            <w:r w:rsidR="008E0BCA" w:rsidRPr="008E0BCA">
              <w:rPr>
                <w:webHidden/>
              </w:rPr>
              <w:tab/>
            </w:r>
            <w:r w:rsidR="008E0BCA" w:rsidRPr="008E0BCA">
              <w:rPr>
                <w:webHidden/>
              </w:rPr>
              <w:fldChar w:fldCharType="begin"/>
            </w:r>
            <w:r w:rsidR="008E0BCA" w:rsidRPr="008E0BCA">
              <w:rPr>
                <w:webHidden/>
              </w:rPr>
              <w:instrText xml:space="preserve"> PAGEREF _Toc43218066 \h </w:instrText>
            </w:r>
            <w:r w:rsidR="008E0BCA" w:rsidRPr="008E0BCA">
              <w:rPr>
                <w:webHidden/>
              </w:rPr>
            </w:r>
            <w:r w:rsidR="008E0BCA" w:rsidRPr="008E0BCA">
              <w:rPr>
                <w:webHidden/>
              </w:rPr>
              <w:fldChar w:fldCharType="separate"/>
            </w:r>
            <w:r w:rsidR="008E0BCA" w:rsidRPr="008E0BCA">
              <w:rPr>
                <w:webHidden/>
              </w:rPr>
              <w:t>11</w:t>
            </w:r>
            <w:r w:rsidR="008E0BCA" w:rsidRPr="008E0BCA">
              <w:rPr>
                <w:webHidden/>
              </w:rPr>
              <w:fldChar w:fldCharType="end"/>
            </w:r>
          </w:hyperlink>
        </w:p>
        <w:p w14:paraId="1323516D" w14:textId="31F1ACE3" w:rsidR="008E0BCA" w:rsidRPr="008E0BCA" w:rsidRDefault="00A617B8">
          <w:pPr>
            <w:pStyle w:val="Obsah2"/>
            <w:rPr>
              <w:rFonts w:eastAsiaTheme="minorEastAsia"/>
              <w:iCs w:val="0"/>
              <w:lang w:eastAsia="sk-SK"/>
            </w:rPr>
          </w:pPr>
          <w:hyperlink w:anchor="_Toc43218067" w:history="1">
            <w:r w:rsidR="008E0BCA" w:rsidRPr="008E0BCA">
              <w:rPr>
                <w:rStyle w:val="Hypertextovprepojenie"/>
              </w:rPr>
              <w:t>2.5</w:t>
            </w:r>
            <w:r w:rsidR="008E0BCA" w:rsidRPr="008E0BCA">
              <w:rPr>
                <w:rFonts w:eastAsiaTheme="minorEastAsia"/>
                <w:iCs w:val="0"/>
                <w:lang w:eastAsia="sk-SK"/>
              </w:rPr>
              <w:tab/>
            </w:r>
            <w:r w:rsidR="008E0BCA" w:rsidRPr="008E0BCA">
              <w:rPr>
                <w:rStyle w:val="Hypertextovprepojenie"/>
              </w:rPr>
              <w:t>Štátny dlh</w:t>
            </w:r>
            <w:r w:rsidR="008E0BCA" w:rsidRPr="008E0BCA">
              <w:rPr>
                <w:webHidden/>
              </w:rPr>
              <w:tab/>
            </w:r>
            <w:r w:rsidR="008E0BCA" w:rsidRPr="008E0BCA">
              <w:rPr>
                <w:webHidden/>
              </w:rPr>
              <w:fldChar w:fldCharType="begin"/>
            </w:r>
            <w:r w:rsidR="008E0BCA" w:rsidRPr="008E0BCA">
              <w:rPr>
                <w:webHidden/>
              </w:rPr>
              <w:instrText xml:space="preserve"> PAGEREF _Toc43218067 \h </w:instrText>
            </w:r>
            <w:r w:rsidR="008E0BCA" w:rsidRPr="008E0BCA">
              <w:rPr>
                <w:webHidden/>
              </w:rPr>
            </w:r>
            <w:r w:rsidR="008E0BCA" w:rsidRPr="008E0BCA">
              <w:rPr>
                <w:webHidden/>
              </w:rPr>
              <w:fldChar w:fldCharType="separate"/>
            </w:r>
            <w:r w:rsidR="008E0BCA" w:rsidRPr="008E0BCA">
              <w:rPr>
                <w:webHidden/>
              </w:rPr>
              <w:t>12</w:t>
            </w:r>
            <w:r w:rsidR="008E0BCA" w:rsidRPr="008E0BCA">
              <w:rPr>
                <w:webHidden/>
              </w:rPr>
              <w:fldChar w:fldCharType="end"/>
            </w:r>
          </w:hyperlink>
        </w:p>
        <w:p w14:paraId="4CF787C2" w14:textId="73F1457C" w:rsidR="008E0BCA" w:rsidRPr="008E0BCA" w:rsidRDefault="00A617B8">
          <w:pPr>
            <w:pStyle w:val="Obsah1"/>
            <w:rPr>
              <w:rFonts w:eastAsiaTheme="minorEastAsia"/>
              <w:b w:val="0"/>
              <w:bCs w:val="0"/>
              <w:szCs w:val="22"/>
              <w:lang w:eastAsia="sk-SK"/>
            </w:rPr>
          </w:pPr>
          <w:hyperlink w:anchor="_Toc43218068" w:history="1">
            <w:r w:rsidR="008E0BCA" w:rsidRPr="008E0BCA">
              <w:rPr>
                <w:rStyle w:val="Hypertextovprepojenie"/>
              </w:rPr>
              <w:t>3.</w:t>
            </w:r>
            <w:r w:rsidR="008E0BCA" w:rsidRPr="008E0BCA">
              <w:rPr>
                <w:rFonts w:eastAsiaTheme="minorEastAsia"/>
                <w:b w:val="0"/>
                <w:bCs w:val="0"/>
                <w:szCs w:val="22"/>
                <w:lang w:eastAsia="sk-SK"/>
              </w:rPr>
              <w:tab/>
            </w:r>
            <w:r w:rsidR="008E0BCA" w:rsidRPr="008E0BCA">
              <w:rPr>
                <w:rStyle w:val="Hypertextovprepojenie"/>
              </w:rPr>
              <w:t>Hospodárenie štátneho rozpočtu na hotovostnej báze</w:t>
            </w:r>
            <w:r w:rsidR="008E0BCA" w:rsidRPr="008E0BCA">
              <w:rPr>
                <w:webHidden/>
              </w:rPr>
              <w:tab/>
            </w:r>
            <w:r w:rsidR="008E0BCA" w:rsidRPr="008E0BCA">
              <w:rPr>
                <w:webHidden/>
              </w:rPr>
              <w:fldChar w:fldCharType="begin"/>
            </w:r>
            <w:r w:rsidR="008E0BCA" w:rsidRPr="008E0BCA">
              <w:rPr>
                <w:webHidden/>
              </w:rPr>
              <w:instrText xml:space="preserve"> PAGEREF _Toc43218068 \h </w:instrText>
            </w:r>
            <w:r w:rsidR="008E0BCA" w:rsidRPr="008E0BCA">
              <w:rPr>
                <w:webHidden/>
              </w:rPr>
            </w:r>
            <w:r w:rsidR="008E0BCA" w:rsidRPr="008E0BCA">
              <w:rPr>
                <w:webHidden/>
              </w:rPr>
              <w:fldChar w:fldCharType="separate"/>
            </w:r>
            <w:r w:rsidR="008E0BCA" w:rsidRPr="008E0BCA">
              <w:rPr>
                <w:webHidden/>
              </w:rPr>
              <w:t>13</w:t>
            </w:r>
            <w:r w:rsidR="008E0BCA" w:rsidRPr="008E0BCA">
              <w:rPr>
                <w:webHidden/>
              </w:rPr>
              <w:fldChar w:fldCharType="end"/>
            </w:r>
          </w:hyperlink>
        </w:p>
        <w:p w14:paraId="4F1FEA0D" w14:textId="1AFD5A75" w:rsidR="008E0BCA" w:rsidRPr="008E0BCA" w:rsidRDefault="00A617B8">
          <w:pPr>
            <w:pStyle w:val="Obsah2"/>
            <w:rPr>
              <w:rFonts w:eastAsiaTheme="minorEastAsia"/>
              <w:iCs w:val="0"/>
              <w:lang w:eastAsia="sk-SK"/>
            </w:rPr>
          </w:pPr>
          <w:hyperlink w:anchor="_Toc43218069" w:history="1">
            <w:r w:rsidR="008E0BCA" w:rsidRPr="008E0BCA">
              <w:rPr>
                <w:rStyle w:val="Hypertextovprepojenie"/>
              </w:rPr>
              <w:t>3.1</w:t>
            </w:r>
            <w:r w:rsidR="008E0BCA" w:rsidRPr="008E0BCA">
              <w:rPr>
                <w:rFonts w:eastAsiaTheme="minorEastAsia"/>
                <w:iCs w:val="0"/>
                <w:lang w:eastAsia="sk-SK"/>
              </w:rPr>
              <w:tab/>
            </w:r>
            <w:r w:rsidR="008E0BCA" w:rsidRPr="008E0BCA">
              <w:rPr>
                <w:rStyle w:val="Hypertextovprepojenie"/>
              </w:rPr>
              <w:t>Základné rozpočtové ukazovatele</w:t>
            </w:r>
            <w:r w:rsidR="008E0BCA" w:rsidRPr="008E0BCA">
              <w:rPr>
                <w:webHidden/>
              </w:rPr>
              <w:tab/>
            </w:r>
            <w:r w:rsidR="008E0BCA" w:rsidRPr="008E0BCA">
              <w:rPr>
                <w:webHidden/>
              </w:rPr>
              <w:fldChar w:fldCharType="begin"/>
            </w:r>
            <w:r w:rsidR="008E0BCA" w:rsidRPr="008E0BCA">
              <w:rPr>
                <w:webHidden/>
              </w:rPr>
              <w:instrText xml:space="preserve"> PAGEREF _Toc43218069 \h </w:instrText>
            </w:r>
            <w:r w:rsidR="008E0BCA" w:rsidRPr="008E0BCA">
              <w:rPr>
                <w:webHidden/>
              </w:rPr>
            </w:r>
            <w:r w:rsidR="008E0BCA" w:rsidRPr="008E0BCA">
              <w:rPr>
                <w:webHidden/>
              </w:rPr>
              <w:fldChar w:fldCharType="separate"/>
            </w:r>
            <w:r w:rsidR="008E0BCA" w:rsidRPr="008E0BCA">
              <w:rPr>
                <w:webHidden/>
              </w:rPr>
              <w:t>13</w:t>
            </w:r>
            <w:r w:rsidR="008E0BCA" w:rsidRPr="008E0BCA">
              <w:rPr>
                <w:webHidden/>
              </w:rPr>
              <w:fldChar w:fldCharType="end"/>
            </w:r>
          </w:hyperlink>
        </w:p>
        <w:p w14:paraId="1662E6FE" w14:textId="474282E7" w:rsidR="008E0BCA" w:rsidRPr="008E0BCA" w:rsidRDefault="00A617B8">
          <w:pPr>
            <w:pStyle w:val="Obsah2"/>
            <w:rPr>
              <w:rFonts w:eastAsiaTheme="minorEastAsia"/>
              <w:iCs w:val="0"/>
              <w:lang w:eastAsia="sk-SK"/>
            </w:rPr>
          </w:pPr>
          <w:hyperlink w:anchor="_Toc43218070" w:history="1">
            <w:r w:rsidR="008E0BCA" w:rsidRPr="008E0BCA">
              <w:rPr>
                <w:rStyle w:val="Hypertextovprepojenie"/>
              </w:rPr>
              <w:t>3.2</w:t>
            </w:r>
            <w:r w:rsidR="008E0BCA" w:rsidRPr="008E0BCA">
              <w:rPr>
                <w:rFonts w:eastAsiaTheme="minorEastAsia"/>
                <w:iCs w:val="0"/>
                <w:lang w:eastAsia="sk-SK"/>
              </w:rPr>
              <w:tab/>
            </w:r>
            <w:r w:rsidR="008E0BCA" w:rsidRPr="008E0BCA">
              <w:rPr>
                <w:rStyle w:val="Hypertextovprepojenie"/>
              </w:rPr>
              <w:t>Príjmy štátneho rozpočtu</w:t>
            </w:r>
            <w:r w:rsidR="008E0BCA" w:rsidRPr="008E0BCA">
              <w:rPr>
                <w:webHidden/>
              </w:rPr>
              <w:tab/>
            </w:r>
            <w:r w:rsidR="008E0BCA" w:rsidRPr="008E0BCA">
              <w:rPr>
                <w:webHidden/>
              </w:rPr>
              <w:fldChar w:fldCharType="begin"/>
            </w:r>
            <w:r w:rsidR="008E0BCA" w:rsidRPr="008E0BCA">
              <w:rPr>
                <w:webHidden/>
              </w:rPr>
              <w:instrText xml:space="preserve"> PAGEREF _Toc43218070 \h </w:instrText>
            </w:r>
            <w:r w:rsidR="008E0BCA" w:rsidRPr="008E0BCA">
              <w:rPr>
                <w:webHidden/>
              </w:rPr>
            </w:r>
            <w:r w:rsidR="008E0BCA" w:rsidRPr="008E0BCA">
              <w:rPr>
                <w:webHidden/>
              </w:rPr>
              <w:fldChar w:fldCharType="separate"/>
            </w:r>
            <w:r w:rsidR="008E0BCA" w:rsidRPr="008E0BCA">
              <w:rPr>
                <w:webHidden/>
              </w:rPr>
              <w:t>14</w:t>
            </w:r>
            <w:r w:rsidR="008E0BCA" w:rsidRPr="008E0BCA">
              <w:rPr>
                <w:webHidden/>
              </w:rPr>
              <w:fldChar w:fldCharType="end"/>
            </w:r>
          </w:hyperlink>
        </w:p>
        <w:p w14:paraId="6B4451D2" w14:textId="3EE50B27" w:rsidR="008E0BCA" w:rsidRPr="008E0BCA" w:rsidRDefault="00A617B8">
          <w:pPr>
            <w:pStyle w:val="Obsah2"/>
            <w:rPr>
              <w:rFonts w:eastAsiaTheme="minorEastAsia"/>
              <w:iCs w:val="0"/>
              <w:lang w:eastAsia="sk-SK"/>
            </w:rPr>
          </w:pPr>
          <w:hyperlink w:anchor="_Toc43218071" w:history="1">
            <w:r w:rsidR="008E0BCA" w:rsidRPr="008E0BCA">
              <w:rPr>
                <w:rStyle w:val="Hypertextovprepojenie"/>
              </w:rPr>
              <w:t>3.3</w:t>
            </w:r>
            <w:r w:rsidR="008E0BCA" w:rsidRPr="008E0BCA">
              <w:rPr>
                <w:rFonts w:eastAsiaTheme="minorEastAsia"/>
                <w:iCs w:val="0"/>
                <w:lang w:eastAsia="sk-SK"/>
              </w:rPr>
              <w:tab/>
            </w:r>
            <w:r w:rsidR="008E0BCA" w:rsidRPr="008E0BCA">
              <w:rPr>
                <w:rStyle w:val="Hypertextovprepojenie"/>
              </w:rPr>
              <w:t>Výdavky štátneho rozpočtu</w:t>
            </w:r>
            <w:r w:rsidR="008E0BCA" w:rsidRPr="008E0BCA">
              <w:rPr>
                <w:webHidden/>
              </w:rPr>
              <w:tab/>
            </w:r>
            <w:r w:rsidR="008E0BCA" w:rsidRPr="008E0BCA">
              <w:rPr>
                <w:webHidden/>
              </w:rPr>
              <w:fldChar w:fldCharType="begin"/>
            </w:r>
            <w:r w:rsidR="008E0BCA" w:rsidRPr="008E0BCA">
              <w:rPr>
                <w:webHidden/>
              </w:rPr>
              <w:instrText xml:space="preserve"> PAGEREF _Toc43218071 \h </w:instrText>
            </w:r>
            <w:r w:rsidR="008E0BCA" w:rsidRPr="008E0BCA">
              <w:rPr>
                <w:webHidden/>
              </w:rPr>
            </w:r>
            <w:r w:rsidR="008E0BCA" w:rsidRPr="008E0BCA">
              <w:rPr>
                <w:webHidden/>
              </w:rPr>
              <w:fldChar w:fldCharType="separate"/>
            </w:r>
            <w:r w:rsidR="008E0BCA" w:rsidRPr="008E0BCA">
              <w:rPr>
                <w:webHidden/>
              </w:rPr>
              <w:t>15</w:t>
            </w:r>
            <w:r w:rsidR="008E0BCA" w:rsidRPr="008E0BCA">
              <w:rPr>
                <w:webHidden/>
              </w:rPr>
              <w:fldChar w:fldCharType="end"/>
            </w:r>
          </w:hyperlink>
        </w:p>
        <w:p w14:paraId="3703E44B" w14:textId="19C77780" w:rsidR="008E0BCA" w:rsidRPr="008E0BCA" w:rsidRDefault="00A617B8">
          <w:pPr>
            <w:pStyle w:val="Obsah2"/>
            <w:rPr>
              <w:rFonts w:eastAsiaTheme="minorEastAsia"/>
              <w:iCs w:val="0"/>
              <w:lang w:eastAsia="sk-SK"/>
            </w:rPr>
          </w:pPr>
          <w:hyperlink w:anchor="_Toc43218072" w:history="1">
            <w:r w:rsidR="008E0BCA" w:rsidRPr="008E0BCA">
              <w:rPr>
                <w:rStyle w:val="Hypertextovprepojenie"/>
              </w:rPr>
              <w:t>3.4</w:t>
            </w:r>
            <w:r w:rsidR="008E0BCA" w:rsidRPr="008E0BCA">
              <w:rPr>
                <w:rFonts w:eastAsiaTheme="minorEastAsia"/>
                <w:iCs w:val="0"/>
                <w:lang w:eastAsia="sk-SK"/>
              </w:rPr>
              <w:tab/>
            </w:r>
            <w:r w:rsidR="008E0BCA" w:rsidRPr="008E0BCA">
              <w:rPr>
                <w:rStyle w:val="Hypertextovprepojenie"/>
              </w:rPr>
              <w:t>Príjmy a výdavky rozpočtových kapitol</w:t>
            </w:r>
            <w:r w:rsidR="008E0BCA" w:rsidRPr="008E0BCA">
              <w:rPr>
                <w:webHidden/>
              </w:rPr>
              <w:tab/>
            </w:r>
            <w:r w:rsidR="008E0BCA" w:rsidRPr="008E0BCA">
              <w:rPr>
                <w:webHidden/>
              </w:rPr>
              <w:fldChar w:fldCharType="begin"/>
            </w:r>
            <w:r w:rsidR="008E0BCA" w:rsidRPr="008E0BCA">
              <w:rPr>
                <w:webHidden/>
              </w:rPr>
              <w:instrText xml:space="preserve"> PAGEREF _Toc43218072 \h </w:instrText>
            </w:r>
            <w:r w:rsidR="008E0BCA" w:rsidRPr="008E0BCA">
              <w:rPr>
                <w:webHidden/>
              </w:rPr>
            </w:r>
            <w:r w:rsidR="008E0BCA" w:rsidRPr="008E0BCA">
              <w:rPr>
                <w:webHidden/>
              </w:rPr>
              <w:fldChar w:fldCharType="separate"/>
            </w:r>
            <w:r w:rsidR="008E0BCA" w:rsidRPr="008E0BCA">
              <w:rPr>
                <w:webHidden/>
              </w:rPr>
              <w:t>17</w:t>
            </w:r>
            <w:r w:rsidR="008E0BCA" w:rsidRPr="008E0BCA">
              <w:rPr>
                <w:webHidden/>
              </w:rPr>
              <w:fldChar w:fldCharType="end"/>
            </w:r>
          </w:hyperlink>
        </w:p>
        <w:p w14:paraId="2B59E697" w14:textId="279BF73B" w:rsidR="008E0BCA" w:rsidRPr="008E0BCA" w:rsidRDefault="00A617B8">
          <w:pPr>
            <w:pStyle w:val="Obsah1"/>
            <w:rPr>
              <w:rFonts w:eastAsiaTheme="minorEastAsia"/>
              <w:b w:val="0"/>
              <w:bCs w:val="0"/>
              <w:szCs w:val="22"/>
              <w:lang w:eastAsia="sk-SK"/>
            </w:rPr>
          </w:pPr>
          <w:hyperlink w:anchor="_Toc43218073" w:history="1">
            <w:r w:rsidR="008E0BCA" w:rsidRPr="008E0BCA">
              <w:rPr>
                <w:rStyle w:val="Hypertextovprepojenie"/>
              </w:rPr>
              <w:t>4.</w:t>
            </w:r>
            <w:r w:rsidR="008E0BCA" w:rsidRPr="008E0BCA">
              <w:rPr>
                <w:rFonts w:eastAsiaTheme="minorEastAsia"/>
                <w:b w:val="0"/>
                <w:bCs w:val="0"/>
                <w:szCs w:val="22"/>
                <w:lang w:eastAsia="sk-SK"/>
              </w:rPr>
              <w:tab/>
            </w:r>
            <w:r w:rsidR="008E0BCA" w:rsidRPr="008E0BCA">
              <w:rPr>
                <w:rStyle w:val="Hypertextovprepojenie"/>
              </w:rPr>
              <w:t>Stanovisko k vybraným politikám a kapitolám ŠR</w:t>
            </w:r>
            <w:r w:rsidR="008E0BCA" w:rsidRPr="008E0BCA">
              <w:rPr>
                <w:webHidden/>
              </w:rPr>
              <w:tab/>
            </w:r>
            <w:r w:rsidR="008E0BCA" w:rsidRPr="008E0BCA">
              <w:rPr>
                <w:webHidden/>
              </w:rPr>
              <w:fldChar w:fldCharType="begin"/>
            </w:r>
            <w:r w:rsidR="008E0BCA" w:rsidRPr="008E0BCA">
              <w:rPr>
                <w:webHidden/>
              </w:rPr>
              <w:instrText xml:space="preserve"> PAGEREF _Toc43218073 \h </w:instrText>
            </w:r>
            <w:r w:rsidR="008E0BCA" w:rsidRPr="008E0BCA">
              <w:rPr>
                <w:webHidden/>
              </w:rPr>
            </w:r>
            <w:r w:rsidR="008E0BCA" w:rsidRPr="008E0BCA">
              <w:rPr>
                <w:webHidden/>
              </w:rPr>
              <w:fldChar w:fldCharType="separate"/>
            </w:r>
            <w:r w:rsidR="008E0BCA" w:rsidRPr="008E0BCA">
              <w:rPr>
                <w:webHidden/>
              </w:rPr>
              <w:t>18</w:t>
            </w:r>
            <w:r w:rsidR="008E0BCA" w:rsidRPr="008E0BCA">
              <w:rPr>
                <w:webHidden/>
              </w:rPr>
              <w:fldChar w:fldCharType="end"/>
            </w:r>
          </w:hyperlink>
        </w:p>
        <w:p w14:paraId="32F0046D" w14:textId="33FC8C18" w:rsidR="008E0BCA" w:rsidRPr="008E0BCA" w:rsidRDefault="00A617B8">
          <w:pPr>
            <w:pStyle w:val="Obsah2"/>
            <w:rPr>
              <w:rFonts w:eastAsiaTheme="minorEastAsia"/>
              <w:iCs w:val="0"/>
              <w:lang w:eastAsia="sk-SK"/>
            </w:rPr>
          </w:pPr>
          <w:hyperlink w:anchor="_Toc43218074" w:history="1">
            <w:r w:rsidR="008E0BCA" w:rsidRPr="008E0BCA">
              <w:rPr>
                <w:rStyle w:val="Hypertextovprepojenie"/>
              </w:rPr>
              <w:t>4.1</w:t>
            </w:r>
            <w:r w:rsidR="008E0BCA" w:rsidRPr="008E0BCA">
              <w:rPr>
                <w:rFonts w:eastAsiaTheme="minorEastAsia"/>
                <w:iCs w:val="0"/>
                <w:lang w:eastAsia="sk-SK"/>
              </w:rPr>
              <w:tab/>
            </w:r>
            <w:r w:rsidR="008E0BCA" w:rsidRPr="008E0BCA">
              <w:rPr>
                <w:rStyle w:val="Hypertextovprepojenie"/>
              </w:rPr>
              <w:t>Ministerstvo vnútra SR</w:t>
            </w:r>
            <w:r w:rsidR="008E0BCA" w:rsidRPr="008E0BCA">
              <w:rPr>
                <w:webHidden/>
              </w:rPr>
              <w:tab/>
            </w:r>
            <w:r w:rsidR="008E0BCA" w:rsidRPr="008E0BCA">
              <w:rPr>
                <w:webHidden/>
              </w:rPr>
              <w:fldChar w:fldCharType="begin"/>
            </w:r>
            <w:r w:rsidR="008E0BCA" w:rsidRPr="008E0BCA">
              <w:rPr>
                <w:webHidden/>
              </w:rPr>
              <w:instrText xml:space="preserve"> PAGEREF _Toc43218074 \h </w:instrText>
            </w:r>
            <w:r w:rsidR="008E0BCA" w:rsidRPr="008E0BCA">
              <w:rPr>
                <w:webHidden/>
              </w:rPr>
            </w:r>
            <w:r w:rsidR="008E0BCA" w:rsidRPr="008E0BCA">
              <w:rPr>
                <w:webHidden/>
              </w:rPr>
              <w:fldChar w:fldCharType="separate"/>
            </w:r>
            <w:r w:rsidR="008E0BCA" w:rsidRPr="008E0BCA">
              <w:rPr>
                <w:webHidden/>
              </w:rPr>
              <w:t>18</w:t>
            </w:r>
            <w:r w:rsidR="008E0BCA" w:rsidRPr="008E0BCA">
              <w:rPr>
                <w:webHidden/>
              </w:rPr>
              <w:fldChar w:fldCharType="end"/>
            </w:r>
          </w:hyperlink>
        </w:p>
        <w:p w14:paraId="3CE68DB5" w14:textId="73B621CB" w:rsidR="008E0BCA" w:rsidRPr="008E0BCA" w:rsidRDefault="00A617B8">
          <w:pPr>
            <w:pStyle w:val="Obsah3"/>
            <w:rPr>
              <w:rFonts w:ascii="Arial Narrow" w:eastAsiaTheme="minorEastAsia" w:hAnsi="Arial Narrow"/>
              <w:noProof/>
              <w:sz w:val="22"/>
              <w:szCs w:val="22"/>
              <w:lang w:eastAsia="sk-SK"/>
            </w:rPr>
          </w:pPr>
          <w:hyperlink w:anchor="_Toc43218075" w:history="1">
            <w:r w:rsidR="008E0BCA" w:rsidRPr="008E0BCA">
              <w:rPr>
                <w:rStyle w:val="Hypertextovprepojenie"/>
                <w:rFonts w:ascii="Arial Narrow" w:hAnsi="Arial Narrow" w:cs="Arial"/>
                <w:noProof/>
              </w:rPr>
              <w:t>4.1.1</w:t>
            </w:r>
            <w:r w:rsidR="008E0BCA" w:rsidRPr="008E0BCA">
              <w:rPr>
                <w:rFonts w:ascii="Arial Narrow" w:eastAsiaTheme="minorEastAsia" w:hAnsi="Arial Narrow"/>
                <w:noProof/>
                <w:sz w:val="22"/>
                <w:szCs w:val="22"/>
                <w:lang w:eastAsia="sk-SK"/>
              </w:rPr>
              <w:tab/>
            </w:r>
            <w:r w:rsidR="008E0BCA" w:rsidRPr="008E0BCA">
              <w:rPr>
                <w:rStyle w:val="Hypertextovprepojenie"/>
                <w:rFonts w:ascii="Arial Narrow" w:hAnsi="Arial Narrow"/>
                <w:noProof/>
              </w:rPr>
              <w:t>Vývoj v oblasti realizácie klientskych centier</w:t>
            </w:r>
            <w:r w:rsidR="008E0BCA" w:rsidRPr="008E0BCA">
              <w:rPr>
                <w:rFonts w:ascii="Arial Narrow" w:hAnsi="Arial Narrow"/>
                <w:noProof/>
                <w:webHidden/>
              </w:rPr>
              <w:tab/>
            </w:r>
            <w:r w:rsidR="008E0BCA" w:rsidRPr="008E0BCA">
              <w:rPr>
                <w:rFonts w:ascii="Arial Narrow" w:hAnsi="Arial Narrow"/>
                <w:noProof/>
                <w:webHidden/>
              </w:rPr>
              <w:fldChar w:fldCharType="begin"/>
            </w:r>
            <w:r w:rsidR="008E0BCA" w:rsidRPr="008E0BCA">
              <w:rPr>
                <w:rFonts w:ascii="Arial Narrow" w:hAnsi="Arial Narrow"/>
                <w:noProof/>
                <w:webHidden/>
              </w:rPr>
              <w:instrText xml:space="preserve"> PAGEREF _Toc43218075 \h </w:instrText>
            </w:r>
            <w:r w:rsidR="008E0BCA" w:rsidRPr="008E0BCA">
              <w:rPr>
                <w:rFonts w:ascii="Arial Narrow" w:hAnsi="Arial Narrow"/>
                <w:noProof/>
                <w:webHidden/>
              </w:rPr>
            </w:r>
            <w:r w:rsidR="008E0BCA" w:rsidRPr="008E0BCA">
              <w:rPr>
                <w:rFonts w:ascii="Arial Narrow" w:hAnsi="Arial Narrow"/>
                <w:noProof/>
                <w:webHidden/>
              </w:rPr>
              <w:fldChar w:fldCharType="separate"/>
            </w:r>
            <w:r w:rsidR="008E0BCA" w:rsidRPr="008E0BCA">
              <w:rPr>
                <w:rFonts w:ascii="Arial Narrow" w:hAnsi="Arial Narrow"/>
                <w:noProof/>
                <w:webHidden/>
              </w:rPr>
              <w:t>18</w:t>
            </w:r>
            <w:r w:rsidR="008E0BCA" w:rsidRPr="008E0BCA">
              <w:rPr>
                <w:rFonts w:ascii="Arial Narrow" w:hAnsi="Arial Narrow"/>
                <w:noProof/>
                <w:webHidden/>
              </w:rPr>
              <w:fldChar w:fldCharType="end"/>
            </w:r>
          </w:hyperlink>
        </w:p>
        <w:p w14:paraId="73D736DC" w14:textId="57B430E5" w:rsidR="008E0BCA" w:rsidRPr="008E0BCA" w:rsidRDefault="00A617B8">
          <w:pPr>
            <w:pStyle w:val="Obsah3"/>
            <w:rPr>
              <w:rFonts w:ascii="Arial Narrow" w:eastAsiaTheme="minorEastAsia" w:hAnsi="Arial Narrow"/>
              <w:noProof/>
              <w:sz w:val="22"/>
              <w:szCs w:val="22"/>
              <w:lang w:eastAsia="sk-SK"/>
            </w:rPr>
          </w:pPr>
          <w:hyperlink w:anchor="_Toc43218076" w:history="1">
            <w:r w:rsidR="008E0BCA" w:rsidRPr="008E0BCA">
              <w:rPr>
                <w:rStyle w:val="Hypertextovprepojenie"/>
                <w:rFonts w:ascii="Arial Narrow" w:hAnsi="Arial Narrow"/>
                <w:noProof/>
              </w:rPr>
              <w:t>4.1.2</w:t>
            </w:r>
            <w:r w:rsidR="008E0BCA" w:rsidRPr="008E0BCA">
              <w:rPr>
                <w:rFonts w:ascii="Arial Narrow" w:eastAsiaTheme="minorEastAsia" w:hAnsi="Arial Narrow"/>
                <w:noProof/>
                <w:sz w:val="22"/>
                <w:szCs w:val="22"/>
                <w:lang w:eastAsia="sk-SK"/>
              </w:rPr>
              <w:tab/>
            </w:r>
            <w:r w:rsidR="008E0BCA" w:rsidRPr="008E0BCA">
              <w:rPr>
                <w:rStyle w:val="Hypertextovprepojenie"/>
                <w:rFonts w:ascii="Arial Narrow" w:hAnsi="Arial Narrow"/>
                <w:noProof/>
              </w:rPr>
              <w:t>Systemizácia policajtov v štátnej správe</w:t>
            </w:r>
            <w:r w:rsidR="008E0BCA" w:rsidRPr="008E0BCA">
              <w:rPr>
                <w:rFonts w:ascii="Arial Narrow" w:hAnsi="Arial Narrow"/>
                <w:noProof/>
                <w:webHidden/>
              </w:rPr>
              <w:tab/>
            </w:r>
            <w:r w:rsidR="008E0BCA" w:rsidRPr="008E0BCA">
              <w:rPr>
                <w:rFonts w:ascii="Arial Narrow" w:hAnsi="Arial Narrow"/>
                <w:noProof/>
                <w:webHidden/>
              </w:rPr>
              <w:fldChar w:fldCharType="begin"/>
            </w:r>
            <w:r w:rsidR="008E0BCA" w:rsidRPr="008E0BCA">
              <w:rPr>
                <w:rFonts w:ascii="Arial Narrow" w:hAnsi="Arial Narrow"/>
                <w:noProof/>
                <w:webHidden/>
              </w:rPr>
              <w:instrText xml:space="preserve"> PAGEREF _Toc43218076 \h </w:instrText>
            </w:r>
            <w:r w:rsidR="008E0BCA" w:rsidRPr="008E0BCA">
              <w:rPr>
                <w:rFonts w:ascii="Arial Narrow" w:hAnsi="Arial Narrow"/>
                <w:noProof/>
                <w:webHidden/>
              </w:rPr>
            </w:r>
            <w:r w:rsidR="008E0BCA" w:rsidRPr="008E0BCA">
              <w:rPr>
                <w:rFonts w:ascii="Arial Narrow" w:hAnsi="Arial Narrow"/>
                <w:noProof/>
                <w:webHidden/>
              </w:rPr>
              <w:fldChar w:fldCharType="separate"/>
            </w:r>
            <w:r w:rsidR="008E0BCA" w:rsidRPr="008E0BCA">
              <w:rPr>
                <w:rFonts w:ascii="Arial Narrow" w:hAnsi="Arial Narrow"/>
                <w:noProof/>
                <w:webHidden/>
              </w:rPr>
              <w:t>19</w:t>
            </w:r>
            <w:r w:rsidR="008E0BCA" w:rsidRPr="008E0BCA">
              <w:rPr>
                <w:rFonts w:ascii="Arial Narrow" w:hAnsi="Arial Narrow"/>
                <w:noProof/>
                <w:webHidden/>
              </w:rPr>
              <w:fldChar w:fldCharType="end"/>
            </w:r>
          </w:hyperlink>
        </w:p>
        <w:p w14:paraId="22609B85" w14:textId="2BDCCBF2" w:rsidR="008E0BCA" w:rsidRPr="008E0BCA" w:rsidRDefault="00A617B8">
          <w:pPr>
            <w:pStyle w:val="Obsah2"/>
            <w:rPr>
              <w:rFonts w:eastAsiaTheme="minorEastAsia"/>
              <w:iCs w:val="0"/>
              <w:lang w:eastAsia="sk-SK"/>
            </w:rPr>
          </w:pPr>
          <w:hyperlink w:anchor="_Toc43218077" w:history="1">
            <w:r w:rsidR="008E0BCA" w:rsidRPr="008E0BCA">
              <w:rPr>
                <w:rStyle w:val="Hypertextovprepojenie"/>
              </w:rPr>
              <w:t>4.2</w:t>
            </w:r>
            <w:r w:rsidR="008E0BCA" w:rsidRPr="008E0BCA">
              <w:rPr>
                <w:rFonts w:eastAsiaTheme="minorEastAsia"/>
                <w:iCs w:val="0"/>
                <w:lang w:eastAsia="sk-SK"/>
              </w:rPr>
              <w:tab/>
            </w:r>
            <w:r w:rsidR="008E0BCA" w:rsidRPr="008E0BCA">
              <w:rPr>
                <w:rStyle w:val="Hypertextovprepojenie"/>
              </w:rPr>
              <w:t>Ministerstvo školstva, vedy, výskumu a športu SR</w:t>
            </w:r>
            <w:r w:rsidR="008E0BCA" w:rsidRPr="008E0BCA">
              <w:rPr>
                <w:webHidden/>
              </w:rPr>
              <w:tab/>
            </w:r>
            <w:r w:rsidR="008E0BCA" w:rsidRPr="008E0BCA">
              <w:rPr>
                <w:webHidden/>
              </w:rPr>
              <w:fldChar w:fldCharType="begin"/>
            </w:r>
            <w:r w:rsidR="008E0BCA" w:rsidRPr="008E0BCA">
              <w:rPr>
                <w:webHidden/>
              </w:rPr>
              <w:instrText xml:space="preserve"> PAGEREF _Toc43218077 \h </w:instrText>
            </w:r>
            <w:r w:rsidR="008E0BCA" w:rsidRPr="008E0BCA">
              <w:rPr>
                <w:webHidden/>
              </w:rPr>
            </w:r>
            <w:r w:rsidR="008E0BCA" w:rsidRPr="008E0BCA">
              <w:rPr>
                <w:webHidden/>
              </w:rPr>
              <w:fldChar w:fldCharType="separate"/>
            </w:r>
            <w:r w:rsidR="008E0BCA" w:rsidRPr="008E0BCA">
              <w:rPr>
                <w:webHidden/>
              </w:rPr>
              <w:t>19</w:t>
            </w:r>
            <w:r w:rsidR="008E0BCA" w:rsidRPr="008E0BCA">
              <w:rPr>
                <w:webHidden/>
              </w:rPr>
              <w:fldChar w:fldCharType="end"/>
            </w:r>
          </w:hyperlink>
        </w:p>
        <w:p w14:paraId="6F3B120F" w14:textId="4A477B4E" w:rsidR="008E0BCA" w:rsidRPr="008E0BCA" w:rsidRDefault="00A617B8">
          <w:pPr>
            <w:pStyle w:val="Obsah3"/>
            <w:rPr>
              <w:rFonts w:ascii="Arial Narrow" w:eastAsiaTheme="minorEastAsia" w:hAnsi="Arial Narrow"/>
              <w:noProof/>
              <w:sz w:val="22"/>
              <w:szCs w:val="22"/>
              <w:lang w:eastAsia="sk-SK"/>
            </w:rPr>
          </w:pPr>
          <w:hyperlink w:anchor="_Toc43218078" w:history="1">
            <w:r w:rsidR="008E0BCA" w:rsidRPr="008E0BCA">
              <w:rPr>
                <w:rStyle w:val="Hypertextovprepojenie"/>
                <w:rFonts w:ascii="Arial Narrow" w:hAnsi="Arial Narrow"/>
                <w:noProof/>
              </w:rPr>
              <w:t>4.2.1</w:t>
            </w:r>
            <w:r w:rsidR="008E0BCA" w:rsidRPr="008E0BCA">
              <w:rPr>
                <w:rFonts w:ascii="Arial Narrow" w:eastAsiaTheme="minorEastAsia" w:hAnsi="Arial Narrow"/>
                <w:noProof/>
                <w:sz w:val="22"/>
                <w:szCs w:val="22"/>
                <w:lang w:eastAsia="sk-SK"/>
              </w:rPr>
              <w:tab/>
            </w:r>
            <w:r w:rsidR="008E0BCA" w:rsidRPr="008E0BCA">
              <w:rPr>
                <w:rStyle w:val="Hypertextovprepojenie"/>
                <w:rFonts w:ascii="Arial Narrow" w:hAnsi="Arial Narrow"/>
                <w:noProof/>
              </w:rPr>
              <w:t>Projekt Infovek 2</w:t>
            </w:r>
            <w:r w:rsidR="008E0BCA" w:rsidRPr="008E0BCA">
              <w:rPr>
                <w:rFonts w:ascii="Arial Narrow" w:hAnsi="Arial Narrow"/>
                <w:noProof/>
                <w:webHidden/>
              </w:rPr>
              <w:tab/>
            </w:r>
            <w:r w:rsidR="008E0BCA" w:rsidRPr="008E0BCA">
              <w:rPr>
                <w:rFonts w:ascii="Arial Narrow" w:hAnsi="Arial Narrow"/>
                <w:noProof/>
                <w:webHidden/>
              </w:rPr>
              <w:fldChar w:fldCharType="begin"/>
            </w:r>
            <w:r w:rsidR="008E0BCA" w:rsidRPr="008E0BCA">
              <w:rPr>
                <w:rFonts w:ascii="Arial Narrow" w:hAnsi="Arial Narrow"/>
                <w:noProof/>
                <w:webHidden/>
              </w:rPr>
              <w:instrText xml:space="preserve"> PAGEREF _Toc43218078 \h </w:instrText>
            </w:r>
            <w:r w:rsidR="008E0BCA" w:rsidRPr="008E0BCA">
              <w:rPr>
                <w:rFonts w:ascii="Arial Narrow" w:hAnsi="Arial Narrow"/>
                <w:noProof/>
                <w:webHidden/>
              </w:rPr>
            </w:r>
            <w:r w:rsidR="008E0BCA" w:rsidRPr="008E0BCA">
              <w:rPr>
                <w:rFonts w:ascii="Arial Narrow" w:hAnsi="Arial Narrow"/>
                <w:noProof/>
                <w:webHidden/>
              </w:rPr>
              <w:fldChar w:fldCharType="separate"/>
            </w:r>
            <w:r w:rsidR="008E0BCA" w:rsidRPr="008E0BCA">
              <w:rPr>
                <w:rFonts w:ascii="Arial Narrow" w:hAnsi="Arial Narrow"/>
                <w:noProof/>
                <w:webHidden/>
              </w:rPr>
              <w:t>19</w:t>
            </w:r>
            <w:r w:rsidR="008E0BCA" w:rsidRPr="008E0BCA">
              <w:rPr>
                <w:rFonts w:ascii="Arial Narrow" w:hAnsi="Arial Narrow"/>
                <w:noProof/>
                <w:webHidden/>
              </w:rPr>
              <w:fldChar w:fldCharType="end"/>
            </w:r>
          </w:hyperlink>
        </w:p>
        <w:p w14:paraId="4830B3FF" w14:textId="12D7687C" w:rsidR="008E0BCA" w:rsidRPr="008E0BCA" w:rsidRDefault="00A617B8">
          <w:pPr>
            <w:pStyle w:val="Obsah3"/>
            <w:rPr>
              <w:rFonts w:ascii="Arial Narrow" w:eastAsiaTheme="minorEastAsia" w:hAnsi="Arial Narrow"/>
              <w:noProof/>
              <w:sz w:val="22"/>
              <w:szCs w:val="22"/>
              <w:lang w:eastAsia="sk-SK"/>
            </w:rPr>
          </w:pPr>
          <w:hyperlink w:anchor="_Toc43218079" w:history="1">
            <w:r w:rsidR="008E0BCA" w:rsidRPr="008E0BCA">
              <w:rPr>
                <w:rStyle w:val="Hypertextovprepojenie"/>
                <w:rFonts w:ascii="Arial Narrow" w:hAnsi="Arial Narrow"/>
                <w:noProof/>
              </w:rPr>
              <w:t>4.2.2</w:t>
            </w:r>
            <w:r w:rsidR="008E0BCA" w:rsidRPr="008E0BCA">
              <w:rPr>
                <w:rFonts w:ascii="Arial Narrow" w:eastAsiaTheme="minorEastAsia" w:hAnsi="Arial Narrow"/>
                <w:noProof/>
                <w:sz w:val="22"/>
                <w:szCs w:val="22"/>
                <w:lang w:eastAsia="sk-SK"/>
              </w:rPr>
              <w:tab/>
            </w:r>
            <w:r w:rsidR="008E0BCA" w:rsidRPr="008E0BCA">
              <w:rPr>
                <w:rStyle w:val="Hypertextovprepojenie"/>
                <w:rFonts w:ascii="Arial Narrow" w:hAnsi="Arial Narrow"/>
                <w:noProof/>
              </w:rPr>
              <w:t>Zabezpečovanie učebníc</w:t>
            </w:r>
            <w:r w:rsidR="008E0BCA" w:rsidRPr="008E0BCA">
              <w:rPr>
                <w:rFonts w:ascii="Arial Narrow" w:hAnsi="Arial Narrow"/>
                <w:noProof/>
                <w:webHidden/>
              </w:rPr>
              <w:tab/>
            </w:r>
            <w:r w:rsidR="008E0BCA" w:rsidRPr="008E0BCA">
              <w:rPr>
                <w:rFonts w:ascii="Arial Narrow" w:hAnsi="Arial Narrow"/>
                <w:noProof/>
                <w:webHidden/>
              </w:rPr>
              <w:fldChar w:fldCharType="begin"/>
            </w:r>
            <w:r w:rsidR="008E0BCA" w:rsidRPr="008E0BCA">
              <w:rPr>
                <w:rFonts w:ascii="Arial Narrow" w:hAnsi="Arial Narrow"/>
                <w:noProof/>
                <w:webHidden/>
              </w:rPr>
              <w:instrText xml:space="preserve"> PAGEREF _Toc43218079 \h </w:instrText>
            </w:r>
            <w:r w:rsidR="008E0BCA" w:rsidRPr="008E0BCA">
              <w:rPr>
                <w:rFonts w:ascii="Arial Narrow" w:hAnsi="Arial Narrow"/>
                <w:noProof/>
                <w:webHidden/>
              </w:rPr>
            </w:r>
            <w:r w:rsidR="008E0BCA" w:rsidRPr="008E0BCA">
              <w:rPr>
                <w:rFonts w:ascii="Arial Narrow" w:hAnsi="Arial Narrow"/>
                <w:noProof/>
                <w:webHidden/>
              </w:rPr>
              <w:fldChar w:fldCharType="separate"/>
            </w:r>
            <w:r w:rsidR="008E0BCA" w:rsidRPr="008E0BCA">
              <w:rPr>
                <w:rFonts w:ascii="Arial Narrow" w:hAnsi="Arial Narrow"/>
                <w:noProof/>
                <w:webHidden/>
              </w:rPr>
              <w:t>21</w:t>
            </w:r>
            <w:r w:rsidR="008E0BCA" w:rsidRPr="008E0BCA">
              <w:rPr>
                <w:rFonts w:ascii="Arial Narrow" w:hAnsi="Arial Narrow"/>
                <w:noProof/>
                <w:webHidden/>
              </w:rPr>
              <w:fldChar w:fldCharType="end"/>
            </w:r>
          </w:hyperlink>
        </w:p>
        <w:p w14:paraId="0F7622DE" w14:textId="53C1B697" w:rsidR="008E0BCA" w:rsidRPr="008E0BCA" w:rsidRDefault="00A617B8">
          <w:pPr>
            <w:pStyle w:val="Obsah2"/>
            <w:rPr>
              <w:rFonts w:eastAsiaTheme="minorEastAsia"/>
              <w:iCs w:val="0"/>
              <w:lang w:eastAsia="sk-SK"/>
            </w:rPr>
          </w:pPr>
          <w:hyperlink w:anchor="_Toc43218080" w:history="1">
            <w:r w:rsidR="008E0BCA" w:rsidRPr="008E0BCA">
              <w:rPr>
                <w:rStyle w:val="Hypertextovprepojenie"/>
              </w:rPr>
              <w:t>4.3</w:t>
            </w:r>
            <w:r w:rsidR="008E0BCA" w:rsidRPr="008E0BCA">
              <w:rPr>
                <w:rFonts w:eastAsiaTheme="minorEastAsia"/>
                <w:iCs w:val="0"/>
                <w:lang w:eastAsia="sk-SK"/>
              </w:rPr>
              <w:tab/>
            </w:r>
            <w:r w:rsidR="008E0BCA" w:rsidRPr="008E0BCA">
              <w:rPr>
                <w:rStyle w:val="Hypertextovprepojenie"/>
              </w:rPr>
              <w:t>Ministerstvo zdravotníctva SR</w:t>
            </w:r>
            <w:r w:rsidR="008E0BCA" w:rsidRPr="008E0BCA">
              <w:rPr>
                <w:webHidden/>
              </w:rPr>
              <w:tab/>
            </w:r>
            <w:r w:rsidR="008E0BCA" w:rsidRPr="008E0BCA">
              <w:rPr>
                <w:webHidden/>
              </w:rPr>
              <w:fldChar w:fldCharType="begin"/>
            </w:r>
            <w:r w:rsidR="008E0BCA" w:rsidRPr="008E0BCA">
              <w:rPr>
                <w:webHidden/>
              </w:rPr>
              <w:instrText xml:space="preserve"> PAGEREF _Toc43218080 \h </w:instrText>
            </w:r>
            <w:r w:rsidR="008E0BCA" w:rsidRPr="008E0BCA">
              <w:rPr>
                <w:webHidden/>
              </w:rPr>
            </w:r>
            <w:r w:rsidR="008E0BCA" w:rsidRPr="008E0BCA">
              <w:rPr>
                <w:webHidden/>
              </w:rPr>
              <w:fldChar w:fldCharType="separate"/>
            </w:r>
            <w:r w:rsidR="008E0BCA" w:rsidRPr="008E0BCA">
              <w:rPr>
                <w:webHidden/>
              </w:rPr>
              <w:t>23</w:t>
            </w:r>
            <w:r w:rsidR="008E0BCA" w:rsidRPr="008E0BCA">
              <w:rPr>
                <w:webHidden/>
              </w:rPr>
              <w:fldChar w:fldCharType="end"/>
            </w:r>
          </w:hyperlink>
        </w:p>
        <w:p w14:paraId="42246156" w14:textId="6FF69A01" w:rsidR="008E0BCA" w:rsidRPr="008E0BCA" w:rsidRDefault="00A617B8">
          <w:pPr>
            <w:pStyle w:val="Obsah3"/>
            <w:rPr>
              <w:rFonts w:ascii="Arial Narrow" w:eastAsiaTheme="minorEastAsia" w:hAnsi="Arial Narrow"/>
              <w:noProof/>
              <w:sz w:val="22"/>
              <w:szCs w:val="22"/>
              <w:lang w:eastAsia="sk-SK"/>
            </w:rPr>
          </w:pPr>
          <w:hyperlink w:anchor="_Toc43218081" w:history="1">
            <w:r w:rsidR="008E0BCA" w:rsidRPr="008E0BCA">
              <w:rPr>
                <w:rStyle w:val="Hypertextovprepojenie"/>
                <w:rFonts w:ascii="Arial Narrow" w:hAnsi="Arial Narrow"/>
                <w:noProof/>
              </w:rPr>
              <w:t>4.3.1</w:t>
            </w:r>
            <w:r w:rsidR="008E0BCA" w:rsidRPr="008E0BCA">
              <w:rPr>
                <w:rFonts w:ascii="Arial Narrow" w:eastAsiaTheme="minorEastAsia" w:hAnsi="Arial Narrow"/>
                <w:noProof/>
                <w:sz w:val="22"/>
                <w:szCs w:val="22"/>
                <w:lang w:eastAsia="sk-SK"/>
              </w:rPr>
              <w:tab/>
            </w:r>
            <w:r w:rsidR="008E0BCA" w:rsidRPr="008E0BCA">
              <w:rPr>
                <w:rStyle w:val="Hypertextovprepojenie"/>
                <w:rFonts w:ascii="Arial Narrow" w:hAnsi="Arial Narrow"/>
                <w:noProof/>
              </w:rPr>
              <w:t>Oddlženie zdravotníckych zariadení</w:t>
            </w:r>
            <w:r w:rsidR="008E0BCA" w:rsidRPr="008E0BCA">
              <w:rPr>
                <w:rFonts w:ascii="Arial Narrow" w:hAnsi="Arial Narrow"/>
                <w:noProof/>
                <w:webHidden/>
              </w:rPr>
              <w:tab/>
            </w:r>
            <w:r w:rsidR="008E0BCA" w:rsidRPr="008E0BCA">
              <w:rPr>
                <w:rFonts w:ascii="Arial Narrow" w:hAnsi="Arial Narrow"/>
                <w:noProof/>
                <w:webHidden/>
              </w:rPr>
              <w:fldChar w:fldCharType="begin"/>
            </w:r>
            <w:r w:rsidR="008E0BCA" w:rsidRPr="008E0BCA">
              <w:rPr>
                <w:rFonts w:ascii="Arial Narrow" w:hAnsi="Arial Narrow"/>
                <w:noProof/>
                <w:webHidden/>
              </w:rPr>
              <w:instrText xml:space="preserve"> PAGEREF _Toc43218081 \h </w:instrText>
            </w:r>
            <w:r w:rsidR="008E0BCA" w:rsidRPr="008E0BCA">
              <w:rPr>
                <w:rFonts w:ascii="Arial Narrow" w:hAnsi="Arial Narrow"/>
                <w:noProof/>
                <w:webHidden/>
              </w:rPr>
            </w:r>
            <w:r w:rsidR="008E0BCA" w:rsidRPr="008E0BCA">
              <w:rPr>
                <w:rFonts w:ascii="Arial Narrow" w:hAnsi="Arial Narrow"/>
                <w:noProof/>
                <w:webHidden/>
              </w:rPr>
              <w:fldChar w:fldCharType="separate"/>
            </w:r>
            <w:r w:rsidR="008E0BCA" w:rsidRPr="008E0BCA">
              <w:rPr>
                <w:rFonts w:ascii="Arial Narrow" w:hAnsi="Arial Narrow"/>
                <w:noProof/>
                <w:webHidden/>
              </w:rPr>
              <w:t>24</w:t>
            </w:r>
            <w:r w:rsidR="008E0BCA" w:rsidRPr="008E0BCA">
              <w:rPr>
                <w:rFonts w:ascii="Arial Narrow" w:hAnsi="Arial Narrow"/>
                <w:noProof/>
                <w:webHidden/>
              </w:rPr>
              <w:fldChar w:fldCharType="end"/>
            </w:r>
          </w:hyperlink>
        </w:p>
        <w:p w14:paraId="08B6ED0C" w14:textId="10A2B6C3" w:rsidR="008E0BCA" w:rsidRPr="008E0BCA" w:rsidRDefault="00A617B8">
          <w:pPr>
            <w:pStyle w:val="Obsah3"/>
            <w:rPr>
              <w:rFonts w:ascii="Arial Narrow" w:eastAsiaTheme="minorEastAsia" w:hAnsi="Arial Narrow"/>
              <w:noProof/>
              <w:sz w:val="22"/>
              <w:szCs w:val="22"/>
              <w:lang w:eastAsia="sk-SK"/>
            </w:rPr>
          </w:pPr>
          <w:hyperlink w:anchor="_Toc43218082" w:history="1">
            <w:r w:rsidR="008E0BCA" w:rsidRPr="008E0BCA">
              <w:rPr>
                <w:rStyle w:val="Hypertextovprepojenie"/>
                <w:rFonts w:ascii="Arial Narrow" w:hAnsi="Arial Narrow"/>
                <w:noProof/>
              </w:rPr>
              <w:t>4.3.2</w:t>
            </w:r>
            <w:r w:rsidR="008E0BCA" w:rsidRPr="008E0BCA">
              <w:rPr>
                <w:rFonts w:ascii="Arial Narrow" w:eastAsiaTheme="minorEastAsia" w:hAnsi="Arial Narrow"/>
                <w:noProof/>
                <w:sz w:val="22"/>
                <w:szCs w:val="22"/>
                <w:lang w:eastAsia="sk-SK"/>
              </w:rPr>
              <w:tab/>
            </w:r>
            <w:r w:rsidR="008E0BCA" w:rsidRPr="008E0BCA">
              <w:rPr>
                <w:rStyle w:val="Hypertextovprepojenie"/>
                <w:rFonts w:ascii="Arial Narrow" w:hAnsi="Arial Narrow"/>
                <w:noProof/>
              </w:rPr>
              <w:t>Lieková politika</w:t>
            </w:r>
            <w:r w:rsidR="008E0BCA" w:rsidRPr="008E0BCA">
              <w:rPr>
                <w:rFonts w:ascii="Arial Narrow" w:hAnsi="Arial Narrow"/>
                <w:noProof/>
                <w:webHidden/>
              </w:rPr>
              <w:tab/>
            </w:r>
            <w:r w:rsidR="008E0BCA" w:rsidRPr="008E0BCA">
              <w:rPr>
                <w:rFonts w:ascii="Arial Narrow" w:hAnsi="Arial Narrow"/>
                <w:noProof/>
                <w:webHidden/>
              </w:rPr>
              <w:fldChar w:fldCharType="begin"/>
            </w:r>
            <w:r w:rsidR="008E0BCA" w:rsidRPr="008E0BCA">
              <w:rPr>
                <w:rFonts w:ascii="Arial Narrow" w:hAnsi="Arial Narrow"/>
                <w:noProof/>
                <w:webHidden/>
              </w:rPr>
              <w:instrText xml:space="preserve"> PAGEREF _Toc43218082 \h </w:instrText>
            </w:r>
            <w:r w:rsidR="008E0BCA" w:rsidRPr="008E0BCA">
              <w:rPr>
                <w:rFonts w:ascii="Arial Narrow" w:hAnsi="Arial Narrow"/>
                <w:noProof/>
                <w:webHidden/>
              </w:rPr>
            </w:r>
            <w:r w:rsidR="008E0BCA" w:rsidRPr="008E0BCA">
              <w:rPr>
                <w:rFonts w:ascii="Arial Narrow" w:hAnsi="Arial Narrow"/>
                <w:noProof/>
                <w:webHidden/>
              </w:rPr>
              <w:fldChar w:fldCharType="separate"/>
            </w:r>
            <w:r w:rsidR="008E0BCA" w:rsidRPr="008E0BCA">
              <w:rPr>
                <w:rFonts w:ascii="Arial Narrow" w:hAnsi="Arial Narrow"/>
                <w:noProof/>
                <w:webHidden/>
              </w:rPr>
              <w:t>25</w:t>
            </w:r>
            <w:r w:rsidR="008E0BCA" w:rsidRPr="008E0BCA">
              <w:rPr>
                <w:rFonts w:ascii="Arial Narrow" w:hAnsi="Arial Narrow"/>
                <w:noProof/>
                <w:webHidden/>
              </w:rPr>
              <w:fldChar w:fldCharType="end"/>
            </w:r>
          </w:hyperlink>
        </w:p>
        <w:p w14:paraId="6CB09FCD" w14:textId="646B6B3D" w:rsidR="008E0BCA" w:rsidRPr="008E0BCA" w:rsidRDefault="00A617B8">
          <w:pPr>
            <w:pStyle w:val="Obsah3"/>
            <w:rPr>
              <w:rFonts w:ascii="Arial Narrow" w:eastAsiaTheme="minorEastAsia" w:hAnsi="Arial Narrow"/>
              <w:noProof/>
              <w:sz w:val="22"/>
              <w:szCs w:val="22"/>
              <w:lang w:eastAsia="sk-SK"/>
            </w:rPr>
          </w:pPr>
          <w:hyperlink w:anchor="_Toc43218083" w:history="1">
            <w:r w:rsidR="008E0BCA" w:rsidRPr="008E0BCA">
              <w:rPr>
                <w:rStyle w:val="Hypertextovprepojenie"/>
                <w:rFonts w:ascii="Arial Narrow" w:hAnsi="Arial Narrow"/>
                <w:noProof/>
              </w:rPr>
              <w:t>4.3.3</w:t>
            </w:r>
            <w:r w:rsidR="008E0BCA" w:rsidRPr="008E0BCA">
              <w:rPr>
                <w:rFonts w:ascii="Arial Narrow" w:eastAsiaTheme="minorEastAsia" w:hAnsi="Arial Narrow"/>
                <w:noProof/>
                <w:sz w:val="22"/>
                <w:szCs w:val="22"/>
                <w:lang w:eastAsia="sk-SK"/>
              </w:rPr>
              <w:tab/>
            </w:r>
            <w:r w:rsidR="008E0BCA" w:rsidRPr="008E0BCA">
              <w:rPr>
                <w:rStyle w:val="Hypertextovprepojenie"/>
                <w:rFonts w:ascii="Arial Narrow" w:hAnsi="Arial Narrow"/>
                <w:noProof/>
              </w:rPr>
              <w:t>Rezidentské štúdium</w:t>
            </w:r>
            <w:r w:rsidR="008E0BCA" w:rsidRPr="008E0BCA">
              <w:rPr>
                <w:rFonts w:ascii="Arial Narrow" w:hAnsi="Arial Narrow"/>
                <w:noProof/>
                <w:webHidden/>
              </w:rPr>
              <w:tab/>
            </w:r>
            <w:r w:rsidR="008E0BCA" w:rsidRPr="008E0BCA">
              <w:rPr>
                <w:rFonts w:ascii="Arial Narrow" w:hAnsi="Arial Narrow"/>
                <w:noProof/>
                <w:webHidden/>
              </w:rPr>
              <w:fldChar w:fldCharType="begin"/>
            </w:r>
            <w:r w:rsidR="008E0BCA" w:rsidRPr="008E0BCA">
              <w:rPr>
                <w:rFonts w:ascii="Arial Narrow" w:hAnsi="Arial Narrow"/>
                <w:noProof/>
                <w:webHidden/>
              </w:rPr>
              <w:instrText xml:space="preserve"> PAGEREF _Toc43218083 \h </w:instrText>
            </w:r>
            <w:r w:rsidR="008E0BCA" w:rsidRPr="008E0BCA">
              <w:rPr>
                <w:rFonts w:ascii="Arial Narrow" w:hAnsi="Arial Narrow"/>
                <w:noProof/>
                <w:webHidden/>
              </w:rPr>
            </w:r>
            <w:r w:rsidR="008E0BCA" w:rsidRPr="008E0BCA">
              <w:rPr>
                <w:rFonts w:ascii="Arial Narrow" w:hAnsi="Arial Narrow"/>
                <w:noProof/>
                <w:webHidden/>
              </w:rPr>
              <w:fldChar w:fldCharType="separate"/>
            </w:r>
            <w:r w:rsidR="008E0BCA" w:rsidRPr="008E0BCA">
              <w:rPr>
                <w:rFonts w:ascii="Arial Narrow" w:hAnsi="Arial Narrow"/>
                <w:noProof/>
                <w:webHidden/>
              </w:rPr>
              <w:t>25</w:t>
            </w:r>
            <w:r w:rsidR="008E0BCA" w:rsidRPr="008E0BCA">
              <w:rPr>
                <w:rFonts w:ascii="Arial Narrow" w:hAnsi="Arial Narrow"/>
                <w:noProof/>
                <w:webHidden/>
              </w:rPr>
              <w:fldChar w:fldCharType="end"/>
            </w:r>
          </w:hyperlink>
        </w:p>
        <w:p w14:paraId="4EEF6F63" w14:textId="134B53BD" w:rsidR="008E0BCA" w:rsidRPr="008E0BCA" w:rsidRDefault="00A617B8">
          <w:pPr>
            <w:pStyle w:val="Obsah2"/>
            <w:rPr>
              <w:rFonts w:eastAsiaTheme="minorEastAsia"/>
              <w:iCs w:val="0"/>
              <w:lang w:eastAsia="sk-SK"/>
            </w:rPr>
          </w:pPr>
          <w:hyperlink w:anchor="_Toc43218084" w:history="1">
            <w:r w:rsidR="008E0BCA" w:rsidRPr="008E0BCA">
              <w:rPr>
                <w:rStyle w:val="Hypertextovprepojenie"/>
              </w:rPr>
              <w:t>4.4</w:t>
            </w:r>
            <w:r w:rsidR="008E0BCA" w:rsidRPr="008E0BCA">
              <w:rPr>
                <w:rFonts w:eastAsiaTheme="minorEastAsia"/>
                <w:iCs w:val="0"/>
                <w:lang w:eastAsia="sk-SK"/>
              </w:rPr>
              <w:tab/>
            </w:r>
            <w:r w:rsidR="008E0BCA" w:rsidRPr="008E0BCA">
              <w:rPr>
                <w:rStyle w:val="Hypertextovprepojenie"/>
              </w:rPr>
              <w:t>Ministerstvo dopravy a výstavby SR</w:t>
            </w:r>
            <w:r w:rsidR="008E0BCA" w:rsidRPr="008E0BCA">
              <w:rPr>
                <w:webHidden/>
              </w:rPr>
              <w:tab/>
            </w:r>
            <w:r w:rsidR="008E0BCA" w:rsidRPr="008E0BCA">
              <w:rPr>
                <w:webHidden/>
              </w:rPr>
              <w:fldChar w:fldCharType="begin"/>
            </w:r>
            <w:r w:rsidR="008E0BCA" w:rsidRPr="008E0BCA">
              <w:rPr>
                <w:webHidden/>
              </w:rPr>
              <w:instrText xml:space="preserve"> PAGEREF _Toc43218084 \h </w:instrText>
            </w:r>
            <w:r w:rsidR="008E0BCA" w:rsidRPr="008E0BCA">
              <w:rPr>
                <w:webHidden/>
              </w:rPr>
            </w:r>
            <w:r w:rsidR="008E0BCA" w:rsidRPr="008E0BCA">
              <w:rPr>
                <w:webHidden/>
              </w:rPr>
              <w:fldChar w:fldCharType="separate"/>
            </w:r>
            <w:r w:rsidR="008E0BCA" w:rsidRPr="008E0BCA">
              <w:rPr>
                <w:webHidden/>
              </w:rPr>
              <w:t>26</w:t>
            </w:r>
            <w:r w:rsidR="008E0BCA" w:rsidRPr="008E0BCA">
              <w:rPr>
                <w:webHidden/>
              </w:rPr>
              <w:fldChar w:fldCharType="end"/>
            </w:r>
          </w:hyperlink>
        </w:p>
        <w:p w14:paraId="529102CE" w14:textId="6E587E93" w:rsidR="008E0BCA" w:rsidRPr="008E0BCA" w:rsidRDefault="00A617B8">
          <w:pPr>
            <w:pStyle w:val="Obsah3"/>
            <w:rPr>
              <w:rFonts w:ascii="Arial Narrow" w:eastAsiaTheme="minorEastAsia" w:hAnsi="Arial Narrow"/>
              <w:noProof/>
              <w:sz w:val="22"/>
              <w:szCs w:val="22"/>
              <w:lang w:eastAsia="sk-SK"/>
            </w:rPr>
          </w:pPr>
          <w:hyperlink w:anchor="_Toc43218085" w:history="1">
            <w:r w:rsidR="008E0BCA" w:rsidRPr="008E0BCA">
              <w:rPr>
                <w:rStyle w:val="Hypertextovprepojenie"/>
                <w:rFonts w:ascii="Arial Narrow" w:hAnsi="Arial Narrow"/>
                <w:noProof/>
              </w:rPr>
              <w:t>4.4.1</w:t>
            </w:r>
            <w:r w:rsidR="008E0BCA" w:rsidRPr="008E0BCA">
              <w:rPr>
                <w:rFonts w:ascii="Arial Narrow" w:eastAsiaTheme="minorEastAsia" w:hAnsi="Arial Narrow"/>
                <w:noProof/>
                <w:sz w:val="22"/>
                <w:szCs w:val="22"/>
                <w:lang w:eastAsia="sk-SK"/>
              </w:rPr>
              <w:tab/>
            </w:r>
            <w:r w:rsidR="008E0BCA" w:rsidRPr="008E0BCA">
              <w:rPr>
                <w:rStyle w:val="Hypertextovprepojenie"/>
                <w:rFonts w:ascii="Arial Narrow" w:hAnsi="Arial Narrow"/>
                <w:noProof/>
              </w:rPr>
              <w:t>Cestná doprava</w:t>
            </w:r>
            <w:r w:rsidR="008E0BCA" w:rsidRPr="008E0BCA">
              <w:rPr>
                <w:rFonts w:ascii="Arial Narrow" w:hAnsi="Arial Narrow"/>
                <w:noProof/>
                <w:webHidden/>
              </w:rPr>
              <w:tab/>
            </w:r>
            <w:r w:rsidR="008E0BCA" w:rsidRPr="008E0BCA">
              <w:rPr>
                <w:rFonts w:ascii="Arial Narrow" w:hAnsi="Arial Narrow"/>
                <w:noProof/>
                <w:webHidden/>
              </w:rPr>
              <w:fldChar w:fldCharType="begin"/>
            </w:r>
            <w:r w:rsidR="008E0BCA" w:rsidRPr="008E0BCA">
              <w:rPr>
                <w:rFonts w:ascii="Arial Narrow" w:hAnsi="Arial Narrow"/>
                <w:noProof/>
                <w:webHidden/>
              </w:rPr>
              <w:instrText xml:space="preserve"> PAGEREF _Toc43218085 \h </w:instrText>
            </w:r>
            <w:r w:rsidR="008E0BCA" w:rsidRPr="008E0BCA">
              <w:rPr>
                <w:rFonts w:ascii="Arial Narrow" w:hAnsi="Arial Narrow"/>
                <w:noProof/>
                <w:webHidden/>
              </w:rPr>
            </w:r>
            <w:r w:rsidR="008E0BCA" w:rsidRPr="008E0BCA">
              <w:rPr>
                <w:rFonts w:ascii="Arial Narrow" w:hAnsi="Arial Narrow"/>
                <w:noProof/>
                <w:webHidden/>
              </w:rPr>
              <w:fldChar w:fldCharType="separate"/>
            </w:r>
            <w:r w:rsidR="008E0BCA" w:rsidRPr="008E0BCA">
              <w:rPr>
                <w:rFonts w:ascii="Arial Narrow" w:hAnsi="Arial Narrow"/>
                <w:noProof/>
                <w:webHidden/>
              </w:rPr>
              <w:t>27</w:t>
            </w:r>
            <w:r w:rsidR="008E0BCA" w:rsidRPr="008E0BCA">
              <w:rPr>
                <w:rFonts w:ascii="Arial Narrow" w:hAnsi="Arial Narrow"/>
                <w:noProof/>
                <w:webHidden/>
              </w:rPr>
              <w:fldChar w:fldCharType="end"/>
            </w:r>
          </w:hyperlink>
        </w:p>
        <w:p w14:paraId="20256A83" w14:textId="00AB812D" w:rsidR="008E0BCA" w:rsidRPr="008E0BCA" w:rsidRDefault="00A617B8">
          <w:pPr>
            <w:pStyle w:val="Obsah3"/>
            <w:rPr>
              <w:rFonts w:ascii="Arial Narrow" w:eastAsiaTheme="minorEastAsia" w:hAnsi="Arial Narrow"/>
              <w:noProof/>
              <w:sz w:val="22"/>
              <w:szCs w:val="22"/>
              <w:lang w:eastAsia="sk-SK"/>
            </w:rPr>
          </w:pPr>
          <w:hyperlink w:anchor="_Toc43218086" w:history="1">
            <w:r w:rsidR="008E0BCA" w:rsidRPr="008E0BCA">
              <w:rPr>
                <w:rStyle w:val="Hypertextovprepojenie"/>
                <w:rFonts w:ascii="Arial Narrow" w:hAnsi="Arial Narrow"/>
                <w:noProof/>
              </w:rPr>
              <w:t>4.4.2</w:t>
            </w:r>
            <w:r w:rsidR="008E0BCA" w:rsidRPr="008E0BCA">
              <w:rPr>
                <w:rFonts w:ascii="Arial Narrow" w:eastAsiaTheme="minorEastAsia" w:hAnsi="Arial Narrow"/>
                <w:noProof/>
                <w:sz w:val="22"/>
                <w:szCs w:val="22"/>
                <w:lang w:eastAsia="sk-SK"/>
              </w:rPr>
              <w:tab/>
            </w:r>
            <w:r w:rsidR="008E0BCA" w:rsidRPr="008E0BCA">
              <w:rPr>
                <w:rStyle w:val="Hypertextovprepojenie"/>
                <w:rFonts w:ascii="Arial Narrow" w:hAnsi="Arial Narrow"/>
                <w:noProof/>
              </w:rPr>
              <w:t>Železničná doprava</w:t>
            </w:r>
            <w:r w:rsidR="008E0BCA" w:rsidRPr="008E0BCA">
              <w:rPr>
                <w:rFonts w:ascii="Arial Narrow" w:hAnsi="Arial Narrow"/>
                <w:noProof/>
                <w:webHidden/>
              </w:rPr>
              <w:tab/>
            </w:r>
            <w:r w:rsidR="008E0BCA" w:rsidRPr="008E0BCA">
              <w:rPr>
                <w:rFonts w:ascii="Arial Narrow" w:hAnsi="Arial Narrow"/>
                <w:noProof/>
                <w:webHidden/>
              </w:rPr>
              <w:fldChar w:fldCharType="begin"/>
            </w:r>
            <w:r w:rsidR="008E0BCA" w:rsidRPr="008E0BCA">
              <w:rPr>
                <w:rFonts w:ascii="Arial Narrow" w:hAnsi="Arial Narrow"/>
                <w:noProof/>
                <w:webHidden/>
              </w:rPr>
              <w:instrText xml:space="preserve"> PAGEREF _Toc43218086 \h </w:instrText>
            </w:r>
            <w:r w:rsidR="008E0BCA" w:rsidRPr="008E0BCA">
              <w:rPr>
                <w:rFonts w:ascii="Arial Narrow" w:hAnsi="Arial Narrow"/>
                <w:noProof/>
                <w:webHidden/>
              </w:rPr>
            </w:r>
            <w:r w:rsidR="008E0BCA" w:rsidRPr="008E0BCA">
              <w:rPr>
                <w:rFonts w:ascii="Arial Narrow" w:hAnsi="Arial Narrow"/>
                <w:noProof/>
                <w:webHidden/>
              </w:rPr>
              <w:fldChar w:fldCharType="separate"/>
            </w:r>
            <w:r w:rsidR="008E0BCA" w:rsidRPr="008E0BCA">
              <w:rPr>
                <w:rFonts w:ascii="Arial Narrow" w:hAnsi="Arial Narrow"/>
                <w:noProof/>
                <w:webHidden/>
              </w:rPr>
              <w:t>30</w:t>
            </w:r>
            <w:r w:rsidR="008E0BCA" w:rsidRPr="008E0BCA">
              <w:rPr>
                <w:rFonts w:ascii="Arial Narrow" w:hAnsi="Arial Narrow"/>
                <w:noProof/>
                <w:webHidden/>
              </w:rPr>
              <w:fldChar w:fldCharType="end"/>
            </w:r>
          </w:hyperlink>
        </w:p>
        <w:p w14:paraId="5673D69D" w14:textId="334A595A" w:rsidR="008E0BCA" w:rsidRPr="008E0BCA" w:rsidRDefault="00A617B8">
          <w:pPr>
            <w:pStyle w:val="Obsah1"/>
            <w:rPr>
              <w:rFonts w:eastAsiaTheme="minorEastAsia"/>
              <w:b w:val="0"/>
              <w:bCs w:val="0"/>
              <w:szCs w:val="22"/>
              <w:lang w:eastAsia="sk-SK"/>
            </w:rPr>
          </w:pPr>
          <w:hyperlink w:anchor="_Toc43218087" w:history="1">
            <w:r w:rsidR="008E0BCA" w:rsidRPr="008E0BCA">
              <w:rPr>
                <w:rStyle w:val="Hypertextovprepojenie"/>
              </w:rPr>
              <w:t>5.</w:t>
            </w:r>
            <w:r w:rsidR="008E0BCA" w:rsidRPr="008E0BCA">
              <w:rPr>
                <w:rFonts w:eastAsiaTheme="minorEastAsia"/>
                <w:b w:val="0"/>
                <w:bCs w:val="0"/>
                <w:szCs w:val="22"/>
                <w:lang w:eastAsia="sk-SK"/>
              </w:rPr>
              <w:tab/>
            </w:r>
            <w:r w:rsidR="008E0BCA" w:rsidRPr="008E0BCA">
              <w:rPr>
                <w:rStyle w:val="Hypertextovprepojenie"/>
              </w:rPr>
              <w:t>Vzťah štátneho rozpočtu k EÚ</w:t>
            </w:r>
            <w:r w:rsidR="008E0BCA" w:rsidRPr="008E0BCA">
              <w:rPr>
                <w:webHidden/>
              </w:rPr>
              <w:tab/>
            </w:r>
            <w:r w:rsidR="008E0BCA" w:rsidRPr="008E0BCA">
              <w:rPr>
                <w:webHidden/>
              </w:rPr>
              <w:fldChar w:fldCharType="begin"/>
            </w:r>
            <w:r w:rsidR="008E0BCA" w:rsidRPr="008E0BCA">
              <w:rPr>
                <w:webHidden/>
              </w:rPr>
              <w:instrText xml:space="preserve"> PAGEREF _Toc43218087 \h </w:instrText>
            </w:r>
            <w:r w:rsidR="008E0BCA" w:rsidRPr="008E0BCA">
              <w:rPr>
                <w:webHidden/>
              </w:rPr>
            </w:r>
            <w:r w:rsidR="008E0BCA" w:rsidRPr="008E0BCA">
              <w:rPr>
                <w:webHidden/>
              </w:rPr>
              <w:fldChar w:fldCharType="separate"/>
            </w:r>
            <w:r w:rsidR="008E0BCA" w:rsidRPr="008E0BCA">
              <w:rPr>
                <w:webHidden/>
              </w:rPr>
              <w:t>31</w:t>
            </w:r>
            <w:r w:rsidR="008E0BCA" w:rsidRPr="008E0BCA">
              <w:rPr>
                <w:webHidden/>
              </w:rPr>
              <w:fldChar w:fldCharType="end"/>
            </w:r>
          </w:hyperlink>
        </w:p>
        <w:p w14:paraId="34FD39A0" w14:textId="4A90058C" w:rsidR="008E0BCA" w:rsidRPr="008E0BCA" w:rsidRDefault="00A617B8">
          <w:pPr>
            <w:pStyle w:val="Obsah1"/>
            <w:rPr>
              <w:rFonts w:eastAsiaTheme="minorEastAsia"/>
              <w:b w:val="0"/>
              <w:bCs w:val="0"/>
              <w:szCs w:val="22"/>
              <w:lang w:eastAsia="sk-SK"/>
            </w:rPr>
          </w:pPr>
          <w:hyperlink w:anchor="_Toc43218088" w:history="1">
            <w:r w:rsidR="008E0BCA" w:rsidRPr="008E0BCA">
              <w:rPr>
                <w:rStyle w:val="Hypertextovprepojenie"/>
              </w:rPr>
              <w:t>6.</w:t>
            </w:r>
            <w:r w:rsidR="008E0BCA" w:rsidRPr="008E0BCA">
              <w:rPr>
                <w:rFonts w:eastAsiaTheme="minorEastAsia"/>
                <w:b w:val="0"/>
                <w:bCs w:val="0"/>
                <w:szCs w:val="22"/>
                <w:lang w:eastAsia="sk-SK"/>
              </w:rPr>
              <w:tab/>
            </w:r>
            <w:r w:rsidR="008E0BCA" w:rsidRPr="008E0BCA">
              <w:rPr>
                <w:rStyle w:val="Hypertextovprepojenie"/>
              </w:rPr>
              <w:t>Hospodárenie územnej samosprávy</w:t>
            </w:r>
            <w:r w:rsidR="008E0BCA" w:rsidRPr="008E0BCA">
              <w:rPr>
                <w:webHidden/>
              </w:rPr>
              <w:tab/>
            </w:r>
            <w:r w:rsidR="008E0BCA" w:rsidRPr="008E0BCA">
              <w:rPr>
                <w:webHidden/>
              </w:rPr>
              <w:fldChar w:fldCharType="begin"/>
            </w:r>
            <w:r w:rsidR="008E0BCA" w:rsidRPr="008E0BCA">
              <w:rPr>
                <w:webHidden/>
              </w:rPr>
              <w:instrText xml:space="preserve"> PAGEREF _Toc43218088 \h </w:instrText>
            </w:r>
            <w:r w:rsidR="008E0BCA" w:rsidRPr="008E0BCA">
              <w:rPr>
                <w:webHidden/>
              </w:rPr>
            </w:r>
            <w:r w:rsidR="008E0BCA" w:rsidRPr="008E0BCA">
              <w:rPr>
                <w:webHidden/>
              </w:rPr>
              <w:fldChar w:fldCharType="separate"/>
            </w:r>
            <w:r w:rsidR="008E0BCA" w:rsidRPr="008E0BCA">
              <w:rPr>
                <w:webHidden/>
              </w:rPr>
              <w:t>35</w:t>
            </w:r>
            <w:r w:rsidR="008E0BCA" w:rsidRPr="008E0BCA">
              <w:rPr>
                <w:webHidden/>
              </w:rPr>
              <w:fldChar w:fldCharType="end"/>
            </w:r>
          </w:hyperlink>
        </w:p>
        <w:p w14:paraId="71987AE0" w14:textId="2B4365FE" w:rsidR="008E0BCA" w:rsidRPr="008E0BCA" w:rsidRDefault="00A617B8">
          <w:pPr>
            <w:pStyle w:val="Obsah2"/>
            <w:rPr>
              <w:rFonts w:eastAsiaTheme="minorEastAsia"/>
              <w:iCs w:val="0"/>
              <w:lang w:eastAsia="sk-SK"/>
            </w:rPr>
          </w:pPr>
          <w:hyperlink w:anchor="_Toc43218089" w:history="1">
            <w:r w:rsidR="008E0BCA" w:rsidRPr="008E0BCA">
              <w:rPr>
                <w:rStyle w:val="Hypertextovprepojenie"/>
              </w:rPr>
              <w:t>6.1</w:t>
            </w:r>
            <w:r w:rsidR="008E0BCA" w:rsidRPr="008E0BCA">
              <w:rPr>
                <w:rFonts w:eastAsiaTheme="minorEastAsia"/>
                <w:iCs w:val="0"/>
                <w:lang w:eastAsia="sk-SK"/>
              </w:rPr>
              <w:tab/>
            </w:r>
            <w:r w:rsidR="008E0BCA" w:rsidRPr="008E0BCA">
              <w:rPr>
                <w:rStyle w:val="Hypertextovprepojenie"/>
              </w:rPr>
              <w:t>Hospodárenie obcí</w:t>
            </w:r>
            <w:r w:rsidR="008E0BCA" w:rsidRPr="008E0BCA">
              <w:rPr>
                <w:webHidden/>
              </w:rPr>
              <w:tab/>
            </w:r>
            <w:r w:rsidR="008E0BCA" w:rsidRPr="008E0BCA">
              <w:rPr>
                <w:webHidden/>
              </w:rPr>
              <w:fldChar w:fldCharType="begin"/>
            </w:r>
            <w:r w:rsidR="008E0BCA" w:rsidRPr="008E0BCA">
              <w:rPr>
                <w:webHidden/>
              </w:rPr>
              <w:instrText xml:space="preserve"> PAGEREF _Toc43218089 \h </w:instrText>
            </w:r>
            <w:r w:rsidR="008E0BCA" w:rsidRPr="008E0BCA">
              <w:rPr>
                <w:webHidden/>
              </w:rPr>
            </w:r>
            <w:r w:rsidR="008E0BCA" w:rsidRPr="008E0BCA">
              <w:rPr>
                <w:webHidden/>
              </w:rPr>
              <w:fldChar w:fldCharType="separate"/>
            </w:r>
            <w:r w:rsidR="008E0BCA" w:rsidRPr="008E0BCA">
              <w:rPr>
                <w:webHidden/>
              </w:rPr>
              <w:t>35</w:t>
            </w:r>
            <w:r w:rsidR="008E0BCA" w:rsidRPr="008E0BCA">
              <w:rPr>
                <w:webHidden/>
              </w:rPr>
              <w:fldChar w:fldCharType="end"/>
            </w:r>
          </w:hyperlink>
        </w:p>
        <w:p w14:paraId="01AED5B8" w14:textId="176486B4" w:rsidR="008E0BCA" w:rsidRPr="008E0BCA" w:rsidRDefault="00A617B8">
          <w:pPr>
            <w:pStyle w:val="Obsah2"/>
            <w:rPr>
              <w:rFonts w:eastAsiaTheme="minorEastAsia"/>
              <w:iCs w:val="0"/>
              <w:lang w:eastAsia="sk-SK"/>
            </w:rPr>
          </w:pPr>
          <w:hyperlink w:anchor="_Toc43218090" w:history="1">
            <w:r w:rsidR="008E0BCA" w:rsidRPr="008E0BCA">
              <w:rPr>
                <w:rStyle w:val="Hypertextovprepojenie"/>
              </w:rPr>
              <w:t>6.2</w:t>
            </w:r>
            <w:r w:rsidR="008E0BCA" w:rsidRPr="008E0BCA">
              <w:rPr>
                <w:rFonts w:eastAsiaTheme="minorEastAsia"/>
                <w:iCs w:val="0"/>
                <w:lang w:eastAsia="sk-SK"/>
              </w:rPr>
              <w:tab/>
            </w:r>
            <w:r w:rsidR="008E0BCA" w:rsidRPr="008E0BCA">
              <w:rPr>
                <w:rStyle w:val="Hypertextovprepojenie"/>
              </w:rPr>
              <w:t>Hospodárenie VÚC</w:t>
            </w:r>
            <w:r w:rsidR="008E0BCA" w:rsidRPr="008E0BCA">
              <w:rPr>
                <w:webHidden/>
              </w:rPr>
              <w:tab/>
            </w:r>
            <w:r w:rsidR="008E0BCA" w:rsidRPr="008E0BCA">
              <w:rPr>
                <w:webHidden/>
              </w:rPr>
              <w:fldChar w:fldCharType="begin"/>
            </w:r>
            <w:r w:rsidR="008E0BCA" w:rsidRPr="008E0BCA">
              <w:rPr>
                <w:webHidden/>
              </w:rPr>
              <w:instrText xml:space="preserve"> PAGEREF _Toc43218090 \h </w:instrText>
            </w:r>
            <w:r w:rsidR="008E0BCA" w:rsidRPr="008E0BCA">
              <w:rPr>
                <w:webHidden/>
              </w:rPr>
            </w:r>
            <w:r w:rsidR="008E0BCA" w:rsidRPr="008E0BCA">
              <w:rPr>
                <w:webHidden/>
              </w:rPr>
              <w:fldChar w:fldCharType="separate"/>
            </w:r>
            <w:r w:rsidR="008E0BCA" w:rsidRPr="008E0BCA">
              <w:rPr>
                <w:webHidden/>
              </w:rPr>
              <w:t>37</w:t>
            </w:r>
            <w:r w:rsidR="008E0BCA" w:rsidRPr="008E0BCA">
              <w:rPr>
                <w:webHidden/>
              </w:rPr>
              <w:fldChar w:fldCharType="end"/>
            </w:r>
          </w:hyperlink>
        </w:p>
        <w:p w14:paraId="2B49AE84" w14:textId="0371AD17" w:rsidR="008E0BCA" w:rsidRPr="008E0BCA" w:rsidRDefault="00A617B8">
          <w:pPr>
            <w:pStyle w:val="Obsah1"/>
            <w:rPr>
              <w:rFonts w:eastAsiaTheme="minorEastAsia"/>
              <w:b w:val="0"/>
              <w:bCs w:val="0"/>
              <w:szCs w:val="22"/>
              <w:lang w:eastAsia="sk-SK"/>
            </w:rPr>
          </w:pPr>
          <w:hyperlink w:anchor="_Toc43218091" w:history="1">
            <w:r w:rsidR="008E0BCA" w:rsidRPr="008E0BCA">
              <w:rPr>
                <w:rStyle w:val="Hypertextovprepojenie"/>
              </w:rPr>
              <w:t>Tabuľková príloha</w:t>
            </w:r>
            <w:r w:rsidR="008E0BCA" w:rsidRPr="008E0BCA">
              <w:rPr>
                <w:webHidden/>
              </w:rPr>
              <w:tab/>
            </w:r>
            <w:r w:rsidR="008E0BCA" w:rsidRPr="008E0BCA">
              <w:rPr>
                <w:webHidden/>
              </w:rPr>
              <w:fldChar w:fldCharType="begin"/>
            </w:r>
            <w:r w:rsidR="008E0BCA" w:rsidRPr="008E0BCA">
              <w:rPr>
                <w:webHidden/>
              </w:rPr>
              <w:instrText xml:space="preserve"> PAGEREF _Toc43218091 \h </w:instrText>
            </w:r>
            <w:r w:rsidR="008E0BCA" w:rsidRPr="008E0BCA">
              <w:rPr>
                <w:webHidden/>
              </w:rPr>
            </w:r>
            <w:r w:rsidR="008E0BCA" w:rsidRPr="008E0BCA">
              <w:rPr>
                <w:webHidden/>
              </w:rPr>
              <w:fldChar w:fldCharType="separate"/>
            </w:r>
            <w:r w:rsidR="008E0BCA" w:rsidRPr="008E0BCA">
              <w:rPr>
                <w:webHidden/>
              </w:rPr>
              <w:t>38</w:t>
            </w:r>
            <w:r w:rsidR="008E0BCA" w:rsidRPr="008E0BCA">
              <w:rPr>
                <w:webHidden/>
              </w:rPr>
              <w:fldChar w:fldCharType="end"/>
            </w:r>
          </w:hyperlink>
        </w:p>
        <w:p w14:paraId="0C89A9CC" w14:textId="42BD0C98" w:rsidR="009C689C" w:rsidRPr="008E0BCA" w:rsidRDefault="00A35C70" w:rsidP="00B03DA9">
          <w:pPr>
            <w:spacing w:before="40"/>
          </w:pPr>
          <w:r w:rsidRPr="008E0BCA">
            <w:rPr>
              <w:b/>
              <w:bCs/>
            </w:rPr>
            <w:fldChar w:fldCharType="end"/>
          </w:r>
        </w:p>
      </w:sdtContent>
    </w:sdt>
    <w:p w14:paraId="1843BF91" w14:textId="77777777" w:rsidR="009C689C" w:rsidRPr="008E0BCA" w:rsidRDefault="009C689C" w:rsidP="0098571D">
      <w:pPr>
        <w:sectPr w:rsidR="009C689C" w:rsidRPr="008E0BCA" w:rsidSect="001767FE">
          <w:headerReference w:type="default" r:id="rId9"/>
          <w:footerReference w:type="default" r:id="rId10"/>
          <w:type w:val="continuous"/>
          <w:pgSz w:w="11906" w:h="16838" w:code="9"/>
          <w:pgMar w:top="1417" w:right="1274" w:bottom="1417" w:left="1276" w:header="709" w:footer="709" w:gutter="0"/>
          <w:pgNumType w:start="0"/>
          <w:cols w:space="708"/>
          <w:titlePg/>
          <w:docGrid w:linePitch="360"/>
        </w:sectPr>
      </w:pPr>
    </w:p>
    <w:p w14:paraId="7A18E9F3" w14:textId="77777777" w:rsidR="00D95FBD" w:rsidRPr="00066EFF" w:rsidRDefault="001A46A4" w:rsidP="0098571D">
      <w:r w:rsidRPr="00066EFF">
        <w:br w:type="page"/>
      </w:r>
      <w:bookmarkStart w:id="4" w:name="_Toc480788310"/>
    </w:p>
    <w:p w14:paraId="28D40C09" w14:textId="77777777" w:rsidR="000530D3" w:rsidRPr="00FF45A7" w:rsidRDefault="000530D3" w:rsidP="0002327B">
      <w:pPr>
        <w:pStyle w:val="Nadpis1"/>
      </w:pPr>
      <w:bookmarkStart w:id="5" w:name="_Toc6988057"/>
      <w:bookmarkStart w:id="6" w:name="_Toc43218059"/>
      <w:bookmarkStart w:id="7" w:name="_Toc515607706"/>
      <w:r w:rsidRPr="00FF45A7">
        <w:lastRenderedPageBreak/>
        <w:t>Zoznam skratiek</w:t>
      </w:r>
      <w:bookmarkEnd w:id="5"/>
      <w:bookmarkEnd w:id="6"/>
    </w:p>
    <w:tbl>
      <w:tblPr>
        <w:tblStyle w:val="Mriekatabuky"/>
        <w:tblW w:w="5000" w:type="pct"/>
        <w:jc w:val="center"/>
        <w:tblBorders>
          <w:top w:val="single" w:sz="2" w:space="0" w:color="2196F3"/>
          <w:left w:val="single" w:sz="2" w:space="0" w:color="2196F3"/>
          <w:bottom w:val="single" w:sz="2" w:space="0" w:color="2196F3"/>
          <w:right w:val="single" w:sz="2" w:space="0" w:color="2196F3"/>
          <w:insideH w:val="single" w:sz="2" w:space="0" w:color="2196F3"/>
          <w:insideV w:val="single" w:sz="2" w:space="0" w:color="2196F3"/>
        </w:tblBorders>
        <w:tblCellMar>
          <w:left w:w="70" w:type="dxa"/>
          <w:right w:w="70" w:type="dxa"/>
        </w:tblCellMar>
        <w:tblLook w:val="04A0" w:firstRow="1" w:lastRow="0" w:firstColumn="1" w:lastColumn="0" w:noHBand="0" w:noVBand="1"/>
      </w:tblPr>
      <w:tblGrid>
        <w:gridCol w:w="1098"/>
        <w:gridCol w:w="3145"/>
        <w:gridCol w:w="2534"/>
        <w:gridCol w:w="2573"/>
      </w:tblGrid>
      <w:tr w:rsidR="000A769D" w:rsidRPr="0068339F" w14:paraId="6B93CE3A" w14:textId="77777777" w:rsidTr="00A305B0">
        <w:trPr>
          <w:trHeight w:val="20"/>
          <w:jc w:val="center"/>
        </w:trPr>
        <w:tc>
          <w:tcPr>
            <w:tcW w:w="587" w:type="pct"/>
            <w:shd w:val="clear" w:color="auto" w:fill="EFEFEF"/>
            <w:vAlign w:val="bottom"/>
          </w:tcPr>
          <w:p w14:paraId="601F6150" w14:textId="77777777" w:rsidR="000A769D" w:rsidRPr="0068339F" w:rsidRDefault="000A769D" w:rsidP="00360C35">
            <w:pPr>
              <w:rPr>
                <w:b/>
                <w:sz w:val="20"/>
                <w:szCs w:val="20"/>
              </w:rPr>
            </w:pPr>
            <w:bookmarkStart w:id="8" w:name="_Toc6988058"/>
            <w:bookmarkEnd w:id="7"/>
            <w:r w:rsidRPr="0068339F">
              <w:rPr>
                <w:rFonts w:cs="Arial"/>
                <w:sz w:val="20"/>
                <w:szCs w:val="20"/>
              </w:rPr>
              <w:t>SKRATKA</w:t>
            </w:r>
          </w:p>
        </w:tc>
        <w:tc>
          <w:tcPr>
            <w:tcW w:w="1682" w:type="pct"/>
            <w:shd w:val="clear" w:color="auto" w:fill="EFEFEF"/>
            <w:vAlign w:val="bottom"/>
          </w:tcPr>
          <w:p w14:paraId="2EE51C72" w14:textId="77777777" w:rsidR="000A769D" w:rsidRPr="0068339F" w:rsidRDefault="000A769D" w:rsidP="00360C35">
            <w:pPr>
              <w:rPr>
                <w:b/>
                <w:sz w:val="20"/>
                <w:szCs w:val="20"/>
              </w:rPr>
            </w:pPr>
            <w:r w:rsidRPr="0068339F">
              <w:rPr>
                <w:rFonts w:cs="Arial"/>
                <w:sz w:val="20"/>
                <w:szCs w:val="20"/>
              </w:rPr>
              <w:t>VÝZNAM</w:t>
            </w:r>
          </w:p>
        </w:tc>
        <w:tc>
          <w:tcPr>
            <w:tcW w:w="1355" w:type="pct"/>
            <w:shd w:val="clear" w:color="auto" w:fill="EFEFEF"/>
            <w:vAlign w:val="bottom"/>
          </w:tcPr>
          <w:p w14:paraId="268107D9" w14:textId="77777777" w:rsidR="000A769D" w:rsidRPr="0068339F" w:rsidRDefault="000A769D" w:rsidP="00360C35">
            <w:pPr>
              <w:rPr>
                <w:rFonts w:cs="Arial"/>
                <w:sz w:val="20"/>
                <w:szCs w:val="20"/>
              </w:rPr>
            </w:pPr>
            <w:r w:rsidRPr="0068339F">
              <w:rPr>
                <w:rFonts w:cs="Arial"/>
                <w:sz w:val="20"/>
                <w:szCs w:val="20"/>
              </w:rPr>
              <w:t>SKRATKA</w:t>
            </w:r>
          </w:p>
        </w:tc>
        <w:tc>
          <w:tcPr>
            <w:tcW w:w="1377" w:type="pct"/>
            <w:shd w:val="clear" w:color="auto" w:fill="EFEFEF"/>
            <w:vAlign w:val="bottom"/>
          </w:tcPr>
          <w:p w14:paraId="3F16DFC8" w14:textId="77777777" w:rsidR="000A769D" w:rsidRPr="0068339F" w:rsidRDefault="000A769D" w:rsidP="00360C35">
            <w:pPr>
              <w:rPr>
                <w:rFonts w:cs="Arial"/>
                <w:sz w:val="20"/>
                <w:szCs w:val="20"/>
              </w:rPr>
            </w:pPr>
            <w:r w:rsidRPr="0068339F">
              <w:rPr>
                <w:rFonts w:cs="Arial"/>
                <w:sz w:val="20"/>
                <w:szCs w:val="20"/>
              </w:rPr>
              <w:t>VÝZNAM</w:t>
            </w:r>
          </w:p>
        </w:tc>
      </w:tr>
      <w:tr w:rsidR="000A769D" w:rsidRPr="0068339F" w14:paraId="75E0D5DB" w14:textId="77777777" w:rsidTr="00A305B0">
        <w:trPr>
          <w:trHeight w:val="283"/>
          <w:jc w:val="center"/>
        </w:trPr>
        <w:tc>
          <w:tcPr>
            <w:tcW w:w="587" w:type="pct"/>
            <w:shd w:val="clear" w:color="auto" w:fill="auto"/>
            <w:vAlign w:val="center"/>
          </w:tcPr>
          <w:p w14:paraId="205B675B" w14:textId="77777777" w:rsidR="000A769D" w:rsidRPr="0068339F" w:rsidRDefault="000A769D" w:rsidP="00A305B0">
            <w:pPr>
              <w:rPr>
                <w:color w:val="0070C0"/>
                <w:sz w:val="20"/>
                <w:szCs w:val="20"/>
              </w:rPr>
            </w:pPr>
            <w:r w:rsidRPr="0068339F">
              <w:rPr>
                <w:color w:val="0070C0"/>
                <w:sz w:val="20"/>
                <w:szCs w:val="20"/>
              </w:rPr>
              <w:t>b. c.</w:t>
            </w:r>
          </w:p>
        </w:tc>
        <w:tc>
          <w:tcPr>
            <w:tcW w:w="1682" w:type="pct"/>
            <w:shd w:val="clear" w:color="auto" w:fill="auto"/>
            <w:vAlign w:val="center"/>
          </w:tcPr>
          <w:p w14:paraId="6D98D144" w14:textId="77777777" w:rsidR="000A769D" w:rsidRPr="0068339F" w:rsidRDefault="000A769D" w:rsidP="00A305B0">
            <w:pPr>
              <w:rPr>
                <w:sz w:val="20"/>
                <w:szCs w:val="20"/>
              </w:rPr>
            </w:pPr>
            <w:r w:rsidRPr="0068339F">
              <w:rPr>
                <w:sz w:val="20"/>
                <w:szCs w:val="20"/>
              </w:rPr>
              <w:t>bežné ceny</w:t>
            </w:r>
          </w:p>
        </w:tc>
        <w:tc>
          <w:tcPr>
            <w:tcW w:w="1355" w:type="pct"/>
            <w:shd w:val="clear" w:color="auto" w:fill="auto"/>
            <w:vAlign w:val="center"/>
          </w:tcPr>
          <w:p w14:paraId="1AA11B49" w14:textId="77777777" w:rsidR="000A769D" w:rsidRPr="0068339F" w:rsidRDefault="000A769D" w:rsidP="00A305B0">
            <w:pPr>
              <w:rPr>
                <w:color w:val="0070C0"/>
                <w:sz w:val="20"/>
                <w:szCs w:val="20"/>
              </w:rPr>
            </w:pPr>
            <w:r w:rsidRPr="0068339F">
              <w:rPr>
                <w:color w:val="0070C0"/>
                <w:sz w:val="20"/>
                <w:szCs w:val="20"/>
              </w:rPr>
              <w:t>NR SR</w:t>
            </w:r>
          </w:p>
        </w:tc>
        <w:tc>
          <w:tcPr>
            <w:tcW w:w="1377" w:type="pct"/>
            <w:shd w:val="clear" w:color="auto" w:fill="auto"/>
            <w:vAlign w:val="center"/>
          </w:tcPr>
          <w:p w14:paraId="31A0837B" w14:textId="77777777" w:rsidR="000A769D" w:rsidRPr="0068339F" w:rsidRDefault="000A769D" w:rsidP="00A305B0">
            <w:pPr>
              <w:rPr>
                <w:sz w:val="20"/>
                <w:szCs w:val="20"/>
              </w:rPr>
            </w:pPr>
            <w:r w:rsidRPr="0068339F">
              <w:rPr>
                <w:sz w:val="20"/>
                <w:szCs w:val="20"/>
              </w:rPr>
              <w:t>Národná rada SR</w:t>
            </w:r>
          </w:p>
        </w:tc>
      </w:tr>
      <w:tr w:rsidR="000A769D" w:rsidRPr="0068339F" w14:paraId="1D89E555" w14:textId="77777777" w:rsidTr="00A305B0">
        <w:trPr>
          <w:trHeight w:val="20"/>
          <w:jc w:val="center"/>
        </w:trPr>
        <w:tc>
          <w:tcPr>
            <w:tcW w:w="587" w:type="pct"/>
            <w:shd w:val="clear" w:color="auto" w:fill="auto"/>
            <w:vAlign w:val="center"/>
          </w:tcPr>
          <w:p w14:paraId="4D791A09" w14:textId="77777777" w:rsidR="000A769D" w:rsidRPr="0068339F" w:rsidRDefault="000A769D" w:rsidP="00A305B0">
            <w:pPr>
              <w:rPr>
                <w:color w:val="0070C0"/>
                <w:sz w:val="20"/>
                <w:szCs w:val="20"/>
              </w:rPr>
            </w:pPr>
            <w:r w:rsidRPr="0068339F">
              <w:rPr>
                <w:color w:val="0070C0"/>
                <w:sz w:val="20"/>
                <w:szCs w:val="20"/>
              </w:rPr>
              <w:t>CKO</w:t>
            </w:r>
          </w:p>
        </w:tc>
        <w:tc>
          <w:tcPr>
            <w:tcW w:w="1682" w:type="pct"/>
            <w:shd w:val="clear" w:color="auto" w:fill="auto"/>
            <w:vAlign w:val="center"/>
          </w:tcPr>
          <w:p w14:paraId="39E89F44" w14:textId="77777777" w:rsidR="000A769D" w:rsidRPr="0068339F" w:rsidRDefault="000A769D" w:rsidP="00A305B0">
            <w:pPr>
              <w:rPr>
                <w:sz w:val="20"/>
                <w:szCs w:val="20"/>
              </w:rPr>
            </w:pPr>
            <w:r w:rsidRPr="0068339F">
              <w:rPr>
                <w:sz w:val="20"/>
                <w:szCs w:val="20"/>
              </w:rPr>
              <w:t>Centrálny koordinačný orgán</w:t>
            </w:r>
          </w:p>
        </w:tc>
        <w:tc>
          <w:tcPr>
            <w:tcW w:w="1355" w:type="pct"/>
            <w:shd w:val="clear" w:color="auto" w:fill="auto"/>
            <w:vAlign w:val="center"/>
          </w:tcPr>
          <w:p w14:paraId="2C32BEEF" w14:textId="77777777" w:rsidR="000A769D" w:rsidRPr="0068339F" w:rsidRDefault="000A769D" w:rsidP="00A305B0">
            <w:pPr>
              <w:rPr>
                <w:color w:val="0070C0"/>
                <w:sz w:val="20"/>
                <w:szCs w:val="20"/>
              </w:rPr>
            </w:pPr>
            <w:r w:rsidRPr="0068339F">
              <w:rPr>
                <w:color w:val="0070C0"/>
                <w:sz w:val="20"/>
                <w:szCs w:val="20"/>
              </w:rPr>
              <w:t>OECD</w:t>
            </w:r>
          </w:p>
        </w:tc>
        <w:tc>
          <w:tcPr>
            <w:tcW w:w="1377" w:type="pct"/>
            <w:shd w:val="clear" w:color="auto" w:fill="auto"/>
            <w:vAlign w:val="center"/>
          </w:tcPr>
          <w:p w14:paraId="31D39863" w14:textId="77777777" w:rsidR="000A769D" w:rsidRPr="0068339F" w:rsidRDefault="000A769D" w:rsidP="00A305B0">
            <w:pPr>
              <w:rPr>
                <w:sz w:val="20"/>
                <w:szCs w:val="20"/>
              </w:rPr>
            </w:pPr>
            <w:r w:rsidRPr="0068339F">
              <w:rPr>
                <w:sz w:val="20"/>
                <w:szCs w:val="20"/>
              </w:rPr>
              <w:t>Organizácia pre hospodársku spoluprácu a rozvoj</w:t>
            </w:r>
          </w:p>
        </w:tc>
      </w:tr>
      <w:tr w:rsidR="000C52F4" w:rsidRPr="0068339F" w14:paraId="40D932B0" w14:textId="77777777" w:rsidTr="00A305B0">
        <w:trPr>
          <w:trHeight w:val="20"/>
          <w:jc w:val="center"/>
        </w:trPr>
        <w:tc>
          <w:tcPr>
            <w:tcW w:w="587" w:type="pct"/>
            <w:shd w:val="clear" w:color="auto" w:fill="auto"/>
            <w:vAlign w:val="center"/>
          </w:tcPr>
          <w:p w14:paraId="20E69EE5" w14:textId="62F62CA0" w:rsidR="000C52F4" w:rsidRPr="0068339F" w:rsidRDefault="000C52F4" w:rsidP="00A305B0">
            <w:pPr>
              <w:rPr>
                <w:color w:val="0070C0"/>
                <w:sz w:val="20"/>
                <w:szCs w:val="20"/>
              </w:rPr>
            </w:pPr>
            <w:r>
              <w:rPr>
                <w:color w:val="0070C0"/>
                <w:sz w:val="20"/>
                <w:szCs w:val="20"/>
              </w:rPr>
              <w:t>COFOG</w:t>
            </w:r>
          </w:p>
        </w:tc>
        <w:tc>
          <w:tcPr>
            <w:tcW w:w="1682" w:type="pct"/>
            <w:shd w:val="clear" w:color="auto" w:fill="auto"/>
            <w:vAlign w:val="center"/>
          </w:tcPr>
          <w:p w14:paraId="4A6A7AC7" w14:textId="4BA3643C" w:rsidR="000C52F4" w:rsidRPr="0068339F" w:rsidRDefault="000C52F4" w:rsidP="00A305B0">
            <w:pPr>
              <w:rPr>
                <w:sz w:val="20"/>
                <w:szCs w:val="20"/>
              </w:rPr>
            </w:pPr>
            <w:r w:rsidRPr="00366358">
              <w:rPr>
                <w:sz w:val="20"/>
                <w:szCs w:val="20"/>
              </w:rPr>
              <w:t>štatistická klasifikácia výdavkov verejnej správy</w:t>
            </w:r>
          </w:p>
        </w:tc>
        <w:tc>
          <w:tcPr>
            <w:tcW w:w="1355" w:type="pct"/>
            <w:shd w:val="clear" w:color="auto" w:fill="auto"/>
            <w:vAlign w:val="center"/>
          </w:tcPr>
          <w:p w14:paraId="71F5037D" w14:textId="5979B645" w:rsidR="000C52F4" w:rsidRPr="0068339F" w:rsidRDefault="000C52F4" w:rsidP="00A305B0">
            <w:pPr>
              <w:rPr>
                <w:color w:val="0070C0"/>
                <w:sz w:val="20"/>
                <w:szCs w:val="20"/>
              </w:rPr>
            </w:pPr>
            <w:r w:rsidRPr="0068339F">
              <w:rPr>
                <w:color w:val="0070C0"/>
                <w:sz w:val="20"/>
                <w:szCs w:val="20"/>
              </w:rPr>
              <w:t>OP</w:t>
            </w:r>
          </w:p>
        </w:tc>
        <w:tc>
          <w:tcPr>
            <w:tcW w:w="1377" w:type="pct"/>
            <w:shd w:val="clear" w:color="auto" w:fill="auto"/>
            <w:vAlign w:val="center"/>
          </w:tcPr>
          <w:p w14:paraId="5F93B6D0" w14:textId="2D5263D0" w:rsidR="000C52F4" w:rsidRPr="0068339F" w:rsidRDefault="000C52F4" w:rsidP="00A305B0">
            <w:pPr>
              <w:rPr>
                <w:sz w:val="20"/>
                <w:szCs w:val="20"/>
              </w:rPr>
            </w:pPr>
            <w:r w:rsidRPr="0068339F">
              <w:rPr>
                <w:sz w:val="20"/>
                <w:szCs w:val="20"/>
              </w:rPr>
              <w:t>operačný program</w:t>
            </w:r>
          </w:p>
        </w:tc>
      </w:tr>
      <w:tr w:rsidR="000C52F4" w:rsidRPr="0068339F" w14:paraId="031836F5" w14:textId="77777777" w:rsidTr="00A305B0">
        <w:trPr>
          <w:trHeight w:val="20"/>
          <w:jc w:val="center"/>
        </w:trPr>
        <w:tc>
          <w:tcPr>
            <w:tcW w:w="587" w:type="pct"/>
            <w:shd w:val="clear" w:color="auto" w:fill="auto"/>
            <w:vAlign w:val="center"/>
          </w:tcPr>
          <w:p w14:paraId="4E2FBFC6" w14:textId="77777777" w:rsidR="000C52F4" w:rsidRPr="0068339F" w:rsidRDefault="000C52F4" w:rsidP="00A305B0">
            <w:pPr>
              <w:rPr>
                <w:color w:val="0070C0"/>
                <w:sz w:val="20"/>
                <w:szCs w:val="20"/>
              </w:rPr>
            </w:pPr>
            <w:r w:rsidRPr="0068339F">
              <w:rPr>
                <w:color w:val="0070C0"/>
                <w:sz w:val="20"/>
                <w:szCs w:val="20"/>
              </w:rPr>
              <w:t>DPFO</w:t>
            </w:r>
          </w:p>
        </w:tc>
        <w:tc>
          <w:tcPr>
            <w:tcW w:w="1682" w:type="pct"/>
            <w:shd w:val="clear" w:color="auto" w:fill="auto"/>
            <w:vAlign w:val="center"/>
          </w:tcPr>
          <w:p w14:paraId="18DCFD3A" w14:textId="77777777" w:rsidR="000C52F4" w:rsidRPr="0068339F" w:rsidRDefault="000C52F4" w:rsidP="00A305B0">
            <w:pPr>
              <w:rPr>
                <w:sz w:val="20"/>
                <w:szCs w:val="20"/>
              </w:rPr>
            </w:pPr>
            <w:r w:rsidRPr="0068339F">
              <w:rPr>
                <w:sz w:val="20"/>
                <w:szCs w:val="20"/>
              </w:rPr>
              <w:t>daň z príjmov fyzických osôb</w:t>
            </w:r>
          </w:p>
        </w:tc>
        <w:tc>
          <w:tcPr>
            <w:tcW w:w="1355" w:type="pct"/>
            <w:vAlign w:val="center"/>
          </w:tcPr>
          <w:p w14:paraId="70EB5BEE" w14:textId="458B3086" w:rsidR="000C52F4" w:rsidRPr="0068339F" w:rsidRDefault="000C52F4" w:rsidP="00A305B0">
            <w:pPr>
              <w:rPr>
                <w:sz w:val="20"/>
                <w:szCs w:val="20"/>
              </w:rPr>
            </w:pPr>
            <w:r w:rsidRPr="0068339F">
              <w:rPr>
                <w:color w:val="0070C0"/>
                <w:sz w:val="20"/>
                <w:szCs w:val="20"/>
              </w:rPr>
              <w:t>OPII</w:t>
            </w:r>
          </w:p>
        </w:tc>
        <w:tc>
          <w:tcPr>
            <w:tcW w:w="1377" w:type="pct"/>
            <w:vAlign w:val="center"/>
          </w:tcPr>
          <w:p w14:paraId="1032ACB4" w14:textId="0890CA0F" w:rsidR="000C52F4" w:rsidRPr="0068339F" w:rsidRDefault="000C52F4" w:rsidP="00A305B0">
            <w:pPr>
              <w:rPr>
                <w:sz w:val="20"/>
                <w:szCs w:val="20"/>
              </w:rPr>
            </w:pPr>
            <w:r w:rsidRPr="0068339F">
              <w:rPr>
                <w:sz w:val="20"/>
                <w:szCs w:val="20"/>
              </w:rPr>
              <w:t>Operačný program Integrovaná infraštruktúra</w:t>
            </w:r>
          </w:p>
        </w:tc>
      </w:tr>
      <w:tr w:rsidR="000C52F4" w:rsidRPr="0068339F" w14:paraId="072AF160" w14:textId="77777777" w:rsidTr="00A305B0">
        <w:trPr>
          <w:trHeight w:val="283"/>
          <w:jc w:val="center"/>
        </w:trPr>
        <w:tc>
          <w:tcPr>
            <w:tcW w:w="587" w:type="pct"/>
            <w:shd w:val="clear" w:color="auto" w:fill="auto"/>
            <w:vAlign w:val="center"/>
          </w:tcPr>
          <w:p w14:paraId="53010602" w14:textId="77777777" w:rsidR="000C52F4" w:rsidRPr="0068339F" w:rsidRDefault="000C52F4" w:rsidP="00A305B0">
            <w:pPr>
              <w:rPr>
                <w:color w:val="0070C0"/>
                <w:sz w:val="20"/>
                <w:szCs w:val="20"/>
              </w:rPr>
            </w:pPr>
            <w:r w:rsidRPr="0068339F">
              <w:rPr>
                <w:color w:val="0070C0"/>
                <w:sz w:val="20"/>
                <w:szCs w:val="20"/>
              </w:rPr>
              <w:t>DPH</w:t>
            </w:r>
          </w:p>
        </w:tc>
        <w:tc>
          <w:tcPr>
            <w:tcW w:w="1682" w:type="pct"/>
            <w:shd w:val="clear" w:color="auto" w:fill="auto"/>
            <w:vAlign w:val="center"/>
          </w:tcPr>
          <w:p w14:paraId="69504CA0" w14:textId="77777777" w:rsidR="000C52F4" w:rsidRPr="0068339F" w:rsidRDefault="000C52F4" w:rsidP="00A305B0">
            <w:pPr>
              <w:rPr>
                <w:sz w:val="20"/>
                <w:szCs w:val="20"/>
              </w:rPr>
            </w:pPr>
            <w:r w:rsidRPr="0068339F">
              <w:rPr>
                <w:sz w:val="20"/>
                <w:szCs w:val="20"/>
              </w:rPr>
              <w:t>daň z pridanej hodnoty</w:t>
            </w:r>
          </w:p>
        </w:tc>
        <w:tc>
          <w:tcPr>
            <w:tcW w:w="1355" w:type="pct"/>
            <w:vAlign w:val="center"/>
          </w:tcPr>
          <w:p w14:paraId="4898750F" w14:textId="7B1EA7FE" w:rsidR="000C52F4" w:rsidRPr="0068339F" w:rsidRDefault="000C52F4" w:rsidP="00A305B0">
            <w:pPr>
              <w:rPr>
                <w:sz w:val="20"/>
                <w:szCs w:val="20"/>
              </w:rPr>
            </w:pPr>
            <w:r w:rsidRPr="0068339F">
              <w:rPr>
                <w:color w:val="0070C0"/>
                <w:sz w:val="20"/>
                <w:szCs w:val="20"/>
              </w:rPr>
              <w:t>P</w:t>
            </w:r>
          </w:p>
        </w:tc>
        <w:tc>
          <w:tcPr>
            <w:tcW w:w="1377" w:type="pct"/>
            <w:vAlign w:val="center"/>
          </w:tcPr>
          <w:p w14:paraId="1BCF9F9C" w14:textId="754895FF" w:rsidR="000C52F4" w:rsidRPr="0068339F" w:rsidRDefault="000C52F4" w:rsidP="00A305B0">
            <w:pPr>
              <w:rPr>
                <w:sz w:val="20"/>
                <w:szCs w:val="20"/>
              </w:rPr>
            </w:pPr>
            <w:r w:rsidRPr="0068339F">
              <w:rPr>
                <w:sz w:val="20"/>
                <w:szCs w:val="20"/>
              </w:rPr>
              <w:t>plán</w:t>
            </w:r>
          </w:p>
        </w:tc>
      </w:tr>
      <w:tr w:rsidR="000C52F4" w:rsidRPr="0068339F" w14:paraId="53A88470" w14:textId="77777777" w:rsidTr="00A305B0">
        <w:trPr>
          <w:trHeight w:val="283"/>
          <w:jc w:val="center"/>
        </w:trPr>
        <w:tc>
          <w:tcPr>
            <w:tcW w:w="587" w:type="pct"/>
            <w:shd w:val="clear" w:color="auto" w:fill="auto"/>
            <w:vAlign w:val="center"/>
          </w:tcPr>
          <w:p w14:paraId="157AB137" w14:textId="77777777" w:rsidR="000C52F4" w:rsidRPr="0068339F" w:rsidRDefault="000C52F4" w:rsidP="00A305B0">
            <w:pPr>
              <w:rPr>
                <w:color w:val="0070C0"/>
                <w:sz w:val="20"/>
                <w:szCs w:val="20"/>
              </w:rPr>
            </w:pPr>
            <w:r w:rsidRPr="0068339F">
              <w:rPr>
                <w:color w:val="0070C0"/>
                <w:sz w:val="20"/>
                <w:szCs w:val="20"/>
              </w:rPr>
              <w:t>DPPO</w:t>
            </w:r>
          </w:p>
        </w:tc>
        <w:tc>
          <w:tcPr>
            <w:tcW w:w="1682" w:type="pct"/>
            <w:shd w:val="clear" w:color="auto" w:fill="auto"/>
            <w:vAlign w:val="center"/>
          </w:tcPr>
          <w:p w14:paraId="1EED4D72" w14:textId="77777777" w:rsidR="000C52F4" w:rsidRPr="0068339F" w:rsidRDefault="000C52F4" w:rsidP="00A305B0">
            <w:pPr>
              <w:rPr>
                <w:sz w:val="20"/>
                <w:szCs w:val="20"/>
              </w:rPr>
            </w:pPr>
            <w:r w:rsidRPr="0068339F">
              <w:rPr>
                <w:sz w:val="20"/>
                <w:szCs w:val="20"/>
              </w:rPr>
              <w:t>daň z príjmov právnických osôb</w:t>
            </w:r>
          </w:p>
        </w:tc>
        <w:tc>
          <w:tcPr>
            <w:tcW w:w="1355" w:type="pct"/>
            <w:vAlign w:val="center"/>
          </w:tcPr>
          <w:p w14:paraId="10C0C650" w14:textId="6D484ABF" w:rsidR="000C52F4" w:rsidRPr="0068339F" w:rsidRDefault="000C52F4" w:rsidP="00A305B0">
            <w:pPr>
              <w:rPr>
                <w:color w:val="0070C0"/>
                <w:sz w:val="20"/>
                <w:szCs w:val="20"/>
              </w:rPr>
            </w:pPr>
            <w:r w:rsidRPr="0068339F">
              <w:rPr>
                <w:color w:val="0070C0"/>
                <w:sz w:val="20"/>
                <w:szCs w:val="20"/>
              </w:rPr>
              <w:t>p. b.</w:t>
            </w:r>
          </w:p>
        </w:tc>
        <w:tc>
          <w:tcPr>
            <w:tcW w:w="1377" w:type="pct"/>
            <w:vAlign w:val="center"/>
          </w:tcPr>
          <w:p w14:paraId="4E84B1DF" w14:textId="04948568" w:rsidR="000C52F4" w:rsidRPr="0068339F" w:rsidRDefault="000C52F4" w:rsidP="00A305B0">
            <w:pPr>
              <w:rPr>
                <w:sz w:val="20"/>
                <w:szCs w:val="20"/>
              </w:rPr>
            </w:pPr>
            <w:r w:rsidRPr="0068339F">
              <w:rPr>
                <w:sz w:val="20"/>
                <w:szCs w:val="20"/>
              </w:rPr>
              <w:t>percentuálny bod</w:t>
            </w:r>
          </w:p>
        </w:tc>
      </w:tr>
      <w:tr w:rsidR="000C52F4" w:rsidRPr="0068339F" w14:paraId="7BA4C3DE" w14:textId="77777777" w:rsidTr="00A305B0">
        <w:trPr>
          <w:trHeight w:val="283"/>
          <w:jc w:val="center"/>
        </w:trPr>
        <w:tc>
          <w:tcPr>
            <w:tcW w:w="587" w:type="pct"/>
            <w:shd w:val="clear" w:color="auto" w:fill="auto"/>
            <w:vAlign w:val="center"/>
          </w:tcPr>
          <w:p w14:paraId="02EDA105" w14:textId="77777777" w:rsidR="000C52F4" w:rsidRPr="0068339F" w:rsidRDefault="000C52F4" w:rsidP="00A305B0">
            <w:pPr>
              <w:rPr>
                <w:color w:val="0070C0"/>
                <w:sz w:val="20"/>
                <w:szCs w:val="20"/>
              </w:rPr>
            </w:pPr>
            <w:r w:rsidRPr="0068339F">
              <w:rPr>
                <w:color w:val="0070C0"/>
                <w:sz w:val="20"/>
                <w:szCs w:val="20"/>
              </w:rPr>
              <w:t>D a RC</w:t>
            </w:r>
          </w:p>
        </w:tc>
        <w:tc>
          <w:tcPr>
            <w:tcW w:w="1682" w:type="pct"/>
            <w:shd w:val="clear" w:color="auto" w:fill="auto"/>
            <w:vAlign w:val="center"/>
          </w:tcPr>
          <w:p w14:paraId="7146F89B" w14:textId="77777777" w:rsidR="000C52F4" w:rsidRPr="0068339F" w:rsidRDefault="000C52F4" w:rsidP="00A305B0">
            <w:pPr>
              <w:rPr>
                <w:sz w:val="20"/>
                <w:szCs w:val="20"/>
              </w:rPr>
            </w:pPr>
            <w:r w:rsidRPr="0068339F">
              <w:rPr>
                <w:sz w:val="20"/>
                <w:szCs w:val="20"/>
              </w:rPr>
              <w:t>diaľnice a rýchlostné cesty</w:t>
            </w:r>
          </w:p>
        </w:tc>
        <w:tc>
          <w:tcPr>
            <w:tcW w:w="1355" w:type="pct"/>
            <w:vAlign w:val="center"/>
          </w:tcPr>
          <w:p w14:paraId="4ABC5091" w14:textId="202ED117" w:rsidR="000C52F4" w:rsidRPr="0068339F" w:rsidRDefault="000C52F4" w:rsidP="00A305B0">
            <w:pPr>
              <w:rPr>
                <w:color w:val="0070C0"/>
                <w:sz w:val="20"/>
                <w:szCs w:val="20"/>
              </w:rPr>
            </w:pPr>
            <w:r w:rsidRPr="0068339F">
              <w:rPr>
                <w:color w:val="0070C0"/>
                <w:sz w:val="20"/>
                <w:szCs w:val="20"/>
              </w:rPr>
              <w:t>PO</w:t>
            </w:r>
          </w:p>
        </w:tc>
        <w:tc>
          <w:tcPr>
            <w:tcW w:w="1377" w:type="pct"/>
            <w:vAlign w:val="center"/>
          </w:tcPr>
          <w:p w14:paraId="356B97A1" w14:textId="1E5CF017" w:rsidR="000C52F4" w:rsidRPr="0068339F" w:rsidRDefault="000C52F4" w:rsidP="00A305B0">
            <w:pPr>
              <w:rPr>
                <w:sz w:val="20"/>
                <w:szCs w:val="20"/>
              </w:rPr>
            </w:pPr>
            <w:r>
              <w:rPr>
                <w:sz w:val="20"/>
                <w:szCs w:val="20"/>
              </w:rPr>
              <w:t>p</w:t>
            </w:r>
            <w:r w:rsidRPr="0068339F">
              <w:rPr>
                <w:sz w:val="20"/>
                <w:szCs w:val="20"/>
              </w:rPr>
              <w:t>rioritná os</w:t>
            </w:r>
          </w:p>
        </w:tc>
      </w:tr>
      <w:tr w:rsidR="000C52F4" w:rsidRPr="0068339F" w14:paraId="4136F8AA" w14:textId="77777777" w:rsidTr="00A305B0">
        <w:trPr>
          <w:trHeight w:val="283"/>
          <w:jc w:val="center"/>
        </w:trPr>
        <w:tc>
          <w:tcPr>
            <w:tcW w:w="587" w:type="pct"/>
            <w:shd w:val="clear" w:color="auto" w:fill="auto"/>
            <w:vAlign w:val="center"/>
          </w:tcPr>
          <w:p w14:paraId="7AFB0751" w14:textId="77777777" w:rsidR="000C52F4" w:rsidRPr="0068339F" w:rsidRDefault="000C52F4" w:rsidP="00A305B0">
            <w:pPr>
              <w:rPr>
                <w:color w:val="0070C0"/>
                <w:sz w:val="20"/>
                <w:szCs w:val="20"/>
              </w:rPr>
            </w:pPr>
            <w:r w:rsidRPr="0068339F">
              <w:rPr>
                <w:color w:val="0070C0"/>
                <w:sz w:val="20"/>
                <w:szCs w:val="20"/>
              </w:rPr>
              <w:t>EFSF</w:t>
            </w:r>
          </w:p>
        </w:tc>
        <w:tc>
          <w:tcPr>
            <w:tcW w:w="1682" w:type="pct"/>
            <w:shd w:val="clear" w:color="auto" w:fill="auto"/>
            <w:vAlign w:val="center"/>
          </w:tcPr>
          <w:p w14:paraId="0B54AF62" w14:textId="1E02EA38" w:rsidR="000C52F4" w:rsidRPr="0068339F" w:rsidRDefault="000C52F4" w:rsidP="00A305B0">
            <w:pPr>
              <w:rPr>
                <w:sz w:val="20"/>
                <w:szCs w:val="20"/>
              </w:rPr>
            </w:pPr>
            <w:r w:rsidRPr="0068339F">
              <w:rPr>
                <w:sz w:val="20"/>
                <w:szCs w:val="20"/>
              </w:rPr>
              <w:t>Európsky nástroj finančnej stability</w:t>
            </w:r>
          </w:p>
        </w:tc>
        <w:tc>
          <w:tcPr>
            <w:tcW w:w="1355" w:type="pct"/>
            <w:vAlign w:val="center"/>
          </w:tcPr>
          <w:p w14:paraId="4AD8E6F1" w14:textId="5B9C27EF" w:rsidR="000C52F4" w:rsidRPr="0068339F" w:rsidRDefault="000C52F4" w:rsidP="00A305B0">
            <w:pPr>
              <w:rPr>
                <w:sz w:val="20"/>
                <w:szCs w:val="20"/>
              </w:rPr>
            </w:pPr>
            <w:r w:rsidRPr="0068339F">
              <w:rPr>
                <w:color w:val="0070C0"/>
                <w:sz w:val="20"/>
                <w:szCs w:val="20"/>
              </w:rPr>
              <w:t>PRV</w:t>
            </w:r>
          </w:p>
        </w:tc>
        <w:tc>
          <w:tcPr>
            <w:tcW w:w="1377" w:type="pct"/>
            <w:vAlign w:val="center"/>
          </w:tcPr>
          <w:p w14:paraId="7E20890F" w14:textId="0807C34F" w:rsidR="000C52F4" w:rsidRPr="0068339F" w:rsidRDefault="000C52F4" w:rsidP="00A305B0">
            <w:pPr>
              <w:rPr>
                <w:sz w:val="20"/>
                <w:szCs w:val="20"/>
              </w:rPr>
            </w:pPr>
            <w:r w:rsidRPr="0068339F">
              <w:rPr>
                <w:sz w:val="20"/>
                <w:szCs w:val="20"/>
              </w:rPr>
              <w:t>Program rozvoja vidieka</w:t>
            </w:r>
          </w:p>
        </w:tc>
      </w:tr>
      <w:tr w:rsidR="000C52F4" w:rsidRPr="0068339F" w14:paraId="587EA199" w14:textId="77777777" w:rsidTr="00A305B0">
        <w:trPr>
          <w:trHeight w:val="283"/>
          <w:jc w:val="center"/>
        </w:trPr>
        <w:tc>
          <w:tcPr>
            <w:tcW w:w="587" w:type="pct"/>
            <w:shd w:val="clear" w:color="auto" w:fill="auto"/>
            <w:vAlign w:val="center"/>
          </w:tcPr>
          <w:p w14:paraId="74EE611B" w14:textId="77777777" w:rsidR="000C52F4" w:rsidRPr="0068339F" w:rsidRDefault="000C52F4" w:rsidP="00A305B0">
            <w:pPr>
              <w:rPr>
                <w:color w:val="0070C0"/>
                <w:sz w:val="20"/>
                <w:szCs w:val="20"/>
              </w:rPr>
            </w:pPr>
            <w:r w:rsidRPr="0068339F">
              <w:rPr>
                <w:color w:val="0070C0"/>
                <w:sz w:val="20"/>
                <w:szCs w:val="20"/>
              </w:rPr>
              <w:t>ECB</w:t>
            </w:r>
          </w:p>
        </w:tc>
        <w:tc>
          <w:tcPr>
            <w:tcW w:w="1682" w:type="pct"/>
            <w:shd w:val="clear" w:color="auto" w:fill="auto"/>
            <w:vAlign w:val="center"/>
          </w:tcPr>
          <w:p w14:paraId="7810305B" w14:textId="77777777" w:rsidR="000C52F4" w:rsidRPr="0068339F" w:rsidRDefault="000C52F4" w:rsidP="00A305B0">
            <w:pPr>
              <w:rPr>
                <w:sz w:val="20"/>
                <w:szCs w:val="20"/>
              </w:rPr>
            </w:pPr>
            <w:r w:rsidRPr="0068339F">
              <w:rPr>
                <w:sz w:val="20"/>
                <w:szCs w:val="20"/>
              </w:rPr>
              <w:t>Európska centrálna banka</w:t>
            </w:r>
          </w:p>
        </w:tc>
        <w:tc>
          <w:tcPr>
            <w:tcW w:w="1355" w:type="pct"/>
            <w:vAlign w:val="center"/>
          </w:tcPr>
          <w:p w14:paraId="201C1476" w14:textId="1C8BD867" w:rsidR="000C52F4" w:rsidRPr="0068339F" w:rsidRDefault="000C52F4" w:rsidP="00A305B0">
            <w:pPr>
              <w:rPr>
                <w:sz w:val="20"/>
                <w:szCs w:val="20"/>
              </w:rPr>
            </w:pPr>
            <w:r>
              <w:rPr>
                <w:color w:val="0070C0"/>
                <w:sz w:val="20"/>
                <w:szCs w:val="20"/>
              </w:rPr>
              <w:t>PS</w:t>
            </w:r>
          </w:p>
        </w:tc>
        <w:tc>
          <w:tcPr>
            <w:tcW w:w="1377" w:type="pct"/>
            <w:vAlign w:val="center"/>
          </w:tcPr>
          <w:p w14:paraId="7049C104" w14:textId="16A727F0" w:rsidR="000C52F4" w:rsidRPr="0068339F" w:rsidRDefault="00D9070A" w:rsidP="00A305B0">
            <w:pPr>
              <w:rPr>
                <w:sz w:val="20"/>
                <w:szCs w:val="20"/>
              </w:rPr>
            </w:pPr>
            <w:r>
              <w:rPr>
                <w:sz w:val="20"/>
                <w:szCs w:val="20"/>
              </w:rPr>
              <w:t>Program stability</w:t>
            </w:r>
          </w:p>
        </w:tc>
      </w:tr>
      <w:tr w:rsidR="000C52F4" w:rsidRPr="0068339F" w14:paraId="6062BD01" w14:textId="77777777" w:rsidTr="00A305B0">
        <w:trPr>
          <w:trHeight w:val="283"/>
          <w:jc w:val="center"/>
        </w:trPr>
        <w:tc>
          <w:tcPr>
            <w:tcW w:w="587" w:type="pct"/>
            <w:shd w:val="clear" w:color="auto" w:fill="auto"/>
            <w:vAlign w:val="center"/>
          </w:tcPr>
          <w:p w14:paraId="02284F87" w14:textId="5EDE34C2" w:rsidR="000C52F4" w:rsidRPr="0068339F" w:rsidRDefault="000C52F4" w:rsidP="00A305B0">
            <w:pPr>
              <w:rPr>
                <w:color w:val="0070C0"/>
                <w:sz w:val="20"/>
                <w:szCs w:val="20"/>
              </w:rPr>
            </w:pPr>
            <w:r w:rsidRPr="0068339F">
              <w:rPr>
                <w:color w:val="0070C0"/>
                <w:sz w:val="20"/>
                <w:szCs w:val="20"/>
              </w:rPr>
              <w:t>EK</w:t>
            </w:r>
          </w:p>
        </w:tc>
        <w:tc>
          <w:tcPr>
            <w:tcW w:w="1682" w:type="pct"/>
            <w:shd w:val="clear" w:color="auto" w:fill="auto"/>
            <w:vAlign w:val="center"/>
          </w:tcPr>
          <w:p w14:paraId="5F7F9F1F" w14:textId="0D9AE081" w:rsidR="000C52F4" w:rsidRPr="0068339F" w:rsidRDefault="000C52F4" w:rsidP="00A305B0">
            <w:pPr>
              <w:rPr>
                <w:sz w:val="20"/>
                <w:szCs w:val="20"/>
              </w:rPr>
            </w:pPr>
            <w:r w:rsidRPr="0068339F">
              <w:rPr>
                <w:sz w:val="20"/>
                <w:szCs w:val="20"/>
              </w:rPr>
              <w:t>Európska komisia</w:t>
            </w:r>
          </w:p>
        </w:tc>
        <w:tc>
          <w:tcPr>
            <w:tcW w:w="1355" w:type="pct"/>
            <w:vAlign w:val="center"/>
          </w:tcPr>
          <w:p w14:paraId="3E084121" w14:textId="258EE7EC" w:rsidR="000C52F4" w:rsidRPr="0068339F" w:rsidRDefault="000C52F4" w:rsidP="00A305B0">
            <w:pPr>
              <w:rPr>
                <w:color w:val="0070C0"/>
                <w:sz w:val="20"/>
                <w:szCs w:val="20"/>
              </w:rPr>
            </w:pPr>
            <w:r>
              <w:rPr>
                <w:color w:val="0070C0"/>
                <w:sz w:val="20"/>
                <w:szCs w:val="20"/>
              </w:rPr>
              <w:t>R</w:t>
            </w:r>
          </w:p>
        </w:tc>
        <w:tc>
          <w:tcPr>
            <w:tcW w:w="1377" w:type="pct"/>
            <w:vAlign w:val="center"/>
          </w:tcPr>
          <w:p w14:paraId="5DB769CD" w14:textId="75A42BB7" w:rsidR="000C52F4" w:rsidRPr="0068339F" w:rsidRDefault="000C52F4" w:rsidP="00A305B0">
            <w:pPr>
              <w:rPr>
                <w:sz w:val="20"/>
                <w:szCs w:val="20"/>
              </w:rPr>
            </w:pPr>
            <w:r>
              <w:rPr>
                <w:sz w:val="20"/>
                <w:szCs w:val="20"/>
              </w:rPr>
              <w:t>rozpočet</w:t>
            </w:r>
          </w:p>
        </w:tc>
      </w:tr>
      <w:tr w:rsidR="000C52F4" w:rsidRPr="0068339F" w14:paraId="2D105E74" w14:textId="77777777" w:rsidTr="00A305B0">
        <w:trPr>
          <w:trHeight w:val="283"/>
          <w:jc w:val="center"/>
        </w:trPr>
        <w:tc>
          <w:tcPr>
            <w:tcW w:w="587" w:type="pct"/>
            <w:shd w:val="clear" w:color="auto" w:fill="auto"/>
            <w:vAlign w:val="center"/>
          </w:tcPr>
          <w:p w14:paraId="4EDACFDC" w14:textId="09A3692B" w:rsidR="000C52F4" w:rsidRPr="0068339F" w:rsidRDefault="000C52F4" w:rsidP="00A305B0">
            <w:pPr>
              <w:rPr>
                <w:color w:val="0070C0"/>
                <w:sz w:val="20"/>
                <w:szCs w:val="20"/>
              </w:rPr>
            </w:pPr>
            <w:r w:rsidRPr="0068339F">
              <w:rPr>
                <w:color w:val="0070C0"/>
                <w:sz w:val="20"/>
                <w:szCs w:val="20"/>
              </w:rPr>
              <w:t>ESA 2010</w:t>
            </w:r>
          </w:p>
        </w:tc>
        <w:tc>
          <w:tcPr>
            <w:tcW w:w="1682" w:type="pct"/>
            <w:shd w:val="clear" w:color="auto" w:fill="auto"/>
            <w:vAlign w:val="center"/>
          </w:tcPr>
          <w:p w14:paraId="3B6505E3" w14:textId="5D0641DA" w:rsidR="000C52F4" w:rsidRPr="0068339F" w:rsidRDefault="000C52F4" w:rsidP="00A305B0">
            <w:pPr>
              <w:rPr>
                <w:sz w:val="20"/>
                <w:szCs w:val="20"/>
              </w:rPr>
            </w:pPr>
            <w:r w:rsidRPr="0068339F">
              <w:rPr>
                <w:sz w:val="20"/>
                <w:szCs w:val="20"/>
              </w:rPr>
              <w:t>Európsky systém národných účtov</w:t>
            </w:r>
          </w:p>
        </w:tc>
        <w:tc>
          <w:tcPr>
            <w:tcW w:w="1355" w:type="pct"/>
            <w:vAlign w:val="center"/>
          </w:tcPr>
          <w:p w14:paraId="2D9F9C93" w14:textId="1FBC87BD" w:rsidR="000C52F4" w:rsidRDefault="000C52F4" w:rsidP="00A305B0">
            <w:pPr>
              <w:rPr>
                <w:color w:val="0070C0"/>
                <w:sz w:val="20"/>
                <w:szCs w:val="20"/>
              </w:rPr>
            </w:pPr>
            <w:r w:rsidRPr="0068339F">
              <w:rPr>
                <w:color w:val="0070C0"/>
                <w:sz w:val="20"/>
                <w:szCs w:val="20"/>
              </w:rPr>
              <w:t>RIS</w:t>
            </w:r>
          </w:p>
        </w:tc>
        <w:tc>
          <w:tcPr>
            <w:tcW w:w="1377" w:type="pct"/>
            <w:vAlign w:val="center"/>
          </w:tcPr>
          <w:p w14:paraId="5F467556" w14:textId="63ADDBF6" w:rsidR="000C52F4" w:rsidRDefault="000C52F4" w:rsidP="00A305B0">
            <w:pPr>
              <w:rPr>
                <w:sz w:val="20"/>
                <w:szCs w:val="20"/>
              </w:rPr>
            </w:pPr>
            <w:r w:rsidRPr="0068339F">
              <w:rPr>
                <w:sz w:val="20"/>
                <w:szCs w:val="20"/>
              </w:rPr>
              <w:t>Rozpočtový informačný systém</w:t>
            </w:r>
          </w:p>
        </w:tc>
      </w:tr>
      <w:tr w:rsidR="000C52F4" w:rsidRPr="0068339F" w14:paraId="3C00AC91" w14:textId="77777777" w:rsidTr="00A305B0">
        <w:trPr>
          <w:trHeight w:val="20"/>
          <w:jc w:val="center"/>
        </w:trPr>
        <w:tc>
          <w:tcPr>
            <w:tcW w:w="587" w:type="pct"/>
            <w:shd w:val="clear" w:color="auto" w:fill="auto"/>
            <w:vAlign w:val="center"/>
          </w:tcPr>
          <w:p w14:paraId="0D0A6132" w14:textId="67DEAF87" w:rsidR="000C52F4" w:rsidRPr="0068339F" w:rsidRDefault="000C52F4" w:rsidP="00A305B0">
            <w:pPr>
              <w:rPr>
                <w:color w:val="0070C0"/>
                <w:sz w:val="20"/>
                <w:szCs w:val="20"/>
              </w:rPr>
            </w:pPr>
            <w:r w:rsidRPr="0068339F">
              <w:rPr>
                <w:color w:val="0070C0"/>
                <w:sz w:val="20"/>
                <w:szCs w:val="20"/>
              </w:rPr>
              <w:t>ESO</w:t>
            </w:r>
          </w:p>
        </w:tc>
        <w:tc>
          <w:tcPr>
            <w:tcW w:w="1682" w:type="pct"/>
            <w:shd w:val="clear" w:color="auto" w:fill="auto"/>
            <w:vAlign w:val="center"/>
          </w:tcPr>
          <w:p w14:paraId="623F833E" w14:textId="68CA5184" w:rsidR="000C52F4" w:rsidRPr="0068339F" w:rsidRDefault="000C52F4" w:rsidP="00A305B0">
            <w:pPr>
              <w:rPr>
                <w:sz w:val="20"/>
                <w:szCs w:val="20"/>
              </w:rPr>
            </w:pPr>
            <w:r w:rsidRPr="0068339F">
              <w:rPr>
                <w:sz w:val="20"/>
                <w:szCs w:val="20"/>
              </w:rPr>
              <w:t>Efektívna, Spoľahlivá a Otvorená verejná správa</w:t>
            </w:r>
          </w:p>
        </w:tc>
        <w:tc>
          <w:tcPr>
            <w:tcW w:w="1355" w:type="pct"/>
            <w:vAlign w:val="center"/>
          </w:tcPr>
          <w:p w14:paraId="399AD7B0" w14:textId="65215B83" w:rsidR="000C52F4" w:rsidRPr="0068339F" w:rsidRDefault="000C52F4" w:rsidP="00A305B0">
            <w:pPr>
              <w:rPr>
                <w:color w:val="0070C0"/>
                <w:sz w:val="20"/>
                <w:szCs w:val="20"/>
              </w:rPr>
            </w:pPr>
            <w:r w:rsidRPr="0068339F">
              <w:rPr>
                <w:color w:val="0070C0"/>
                <w:sz w:val="20"/>
                <w:szCs w:val="20"/>
              </w:rPr>
              <w:t>RVS</w:t>
            </w:r>
          </w:p>
        </w:tc>
        <w:tc>
          <w:tcPr>
            <w:tcW w:w="1377" w:type="pct"/>
            <w:vAlign w:val="center"/>
          </w:tcPr>
          <w:p w14:paraId="04513F93" w14:textId="38206661" w:rsidR="000C52F4" w:rsidRPr="0068339F" w:rsidRDefault="000C52F4" w:rsidP="00A305B0">
            <w:pPr>
              <w:rPr>
                <w:sz w:val="20"/>
                <w:szCs w:val="20"/>
              </w:rPr>
            </w:pPr>
            <w:r w:rsidRPr="0068339F">
              <w:rPr>
                <w:sz w:val="20"/>
                <w:szCs w:val="20"/>
              </w:rPr>
              <w:t>rozpočet verejnej správy</w:t>
            </w:r>
          </w:p>
        </w:tc>
      </w:tr>
      <w:tr w:rsidR="000C52F4" w:rsidRPr="0068339F" w14:paraId="3DD1A21C" w14:textId="77777777" w:rsidTr="00A305B0">
        <w:trPr>
          <w:trHeight w:val="283"/>
          <w:jc w:val="center"/>
        </w:trPr>
        <w:tc>
          <w:tcPr>
            <w:tcW w:w="587" w:type="pct"/>
            <w:shd w:val="clear" w:color="auto" w:fill="auto"/>
            <w:vAlign w:val="center"/>
          </w:tcPr>
          <w:p w14:paraId="00E8F911" w14:textId="65B703B2" w:rsidR="000C52F4" w:rsidRPr="0068339F" w:rsidRDefault="000C52F4" w:rsidP="00A305B0">
            <w:pPr>
              <w:rPr>
                <w:color w:val="0070C0"/>
                <w:sz w:val="20"/>
                <w:szCs w:val="20"/>
              </w:rPr>
            </w:pPr>
            <w:r w:rsidRPr="0068339F">
              <w:rPr>
                <w:color w:val="0070C0"/>
                <w:sz w:val="20"/>
                <w:szCs w:val="20"/>
              </w:rPr>
              <w:t>EÚ</w:t>
            </w:r>
          </w:p>
        </w:tc>
        <w:tc>
          <w:tcPr>
            <w:tcW w:w="1682" w:type="pct"/>
            <w:shd w:val="clear" w:color="auto" w:fill="auto"/>
            <w:vAlign w:val="center"/>
          </w:tcPr>
          <w:p w14:paraId="04A7B21C" w14:textId="0F4AB864" w:rsidR="000C52F4" w:rsidRPr="0068339F" w:rsidRDefault="000C52F4" w:rsidP="00A305B0">
            <w:pPr>
              <w:rPr>
                <w:sz w:val="20"/>
                <w:szCs w:val="20"/>
              </w:rPr>
            </w:pPr>
            <w:r w:rsidRPr="0068339F">
              <w:rPr>
                <w:sz w:val="20"/>
                <w:szCs w:val="20"/>
              </w:rPr>
              <w:t>Európska únia</w:t>
            </w:r>
          </w:p>
        </w:tc>
        <w:tc>
          <w:tcPr>
            <w:tcW w:w="1355" w:type="pct"/>
            <w:vAlign w:val="center"/>
          </w:tcPr>
          <w:p w14:paraId="306880BD" w14:textId="19D7D06F" w:rsidR="000C52F4" w:rsidRPr="0068339F" w:rsidRDefault="000C52F4" w:rsidP="00A305B0">
            <w:pPr>
              <w:rPr>
                <w:color w:val="0070C0"/>
                <w:sz w:val="20"/>
                <w:szCs w:val="20"/>
              </w:rPr>
            </w:pPr>
            <w:r w:rsidRPr="0068339F">
              <w:rPr>
                <w:color w:val="0070C0"/>
                <w:sz w:val="20"/>
                <w:szCs w:val="20"/>
              </w:rPr>
              <w:t>S</w:t>
            </w:r>
          </w:p>
        </w:tc>
        <w:tc>
          <w:tcPr>
            <w:tcW w:w="1377" w:type="pct"/>
            <w:vAlign w:val="center"/>
          </w:tcPr>
          <w:p w14:paraId="341FAA36" w14:textId="207643FF" w:rsidR="000C52F4" w:rsidRPr="0068339F" w:rsidRDefault="000C52F4" w:rsidP="00A305B0">
            <w:pPr>
              <w:rPr>
                <w:sz w:val="20"/>
                <w:szCs w:val="20"/>
              </w:rPr>
            </w:pPr>
            <w:r w:rsidRPr="0068339F">
              <w:rPr>
                <w:sz w:val="20"/>
                <w:szCs w:val="20"/>
              </w:rPr>
              <w:t>skutočnosť</w:t>
            </w:r>
          </w:p>
        </w:tc>
      </w:tr>
      <w:tr w:rsidR="000C52F4" w:rsidRPr="0068339F" w14:paraId="0FFBAB96" w14:textId="77777777" w:rsidTr="00A305B0">
        <w:trPr>
          <w:trHeight w:val="283"/>
          <w:jc w:val="center"/>
        </w:trPr>
        <w:tc>
          <w:tcPr>
            <w:tcW w:w="587" w:type="pct"/>
            <w:shd w:val="clear" w:color="auto" w:fill="auto"/>
            <w:vAlign w:val="center"/>
          </w:tcPr>
          <w:p w14:paraId="2E44EF1E" w14:textId="02552B6B" w:rsidR="000C52F4" w:rsidRPr="0068339F" w:rsidRDefault="000C52F4" w:rsidP="00A305B0">
            <w:pPr>
              <w:rPr>
                <w:color w:val="0070C0"/>
                <w:sz w:val="20"/>
                <w:szCs w:val="20"/>
              </w:rPr>
            </w:pPr>
            <w:r w:rsidRPr="0068339F">
              <w:rPr>
                <w:color w:val="0070C0"/>
                <w:sz w:val="20"/>
                <w:szCs w:val="20"/>
              </w:rPr>
              <w:t>EŠIF</w:t>
            </w:r>
          </w:p>
        </w:tc>
        <w:tc>
          <w:tcPr>
            <w:tcW w:w="1682" w:type="pct"/>
            <w:shd w:val="clear" w:color="auto" w:fill="auto"/>
            <w:vAlign w:val="center"/>
          </w:tcPr>
          <w:p w14:paraId="25961317" w14:textId="043849B1" w:rsidR="000C52F4" w:rsidRPr="0068339F" w:rsidRDefault="000C52F4" w:rsidP="00A305B0">
            <w:pPr>
              <w:rPr>
                <w:sz w:val="20"/>
                <w:szCs w:val="20"/>
              </w:rPr>
            </w:pPr>
            <w:r w:rsidRPr="0068339F">
              <w:rPr>
                <w:sz w:val="20"/>
                <w:szCs w:val="20"/>
              </w:rPr>
              <w:t>Európske štrukturálne a investičné fondy</w:t>
            </w:r>
          </w:p>
        </w:tc>
        <w:tc>
          <w:tcPr>
            <w:tcW w:w="1355" w:type="pct"/>
            <w:vAlign w:val="center"/>
          </w:tcPr>
          <w:p w14:paraId="09670DE2" w14:textId="58FBF4E6" w:rsidR="000C52F4" w:rsidRPr="0068339F" w:rsidRDefault="000C52F4" w:rsidP="00A305B0">
            <w:pPr>
              <w:rPr>
                <w:sz w:val="20"/>
                <w:szCs w:val="20"/>
              </w:rPr>
            </w:pPr>
            <w:r w:rsidRPr="0068339F">
              <w:rPr>
                <w:color w:val="0070C0"/>
                <w:sz w:val="20"/>
                <w:szCs w:val="20"/>
              </w:rPr>
              <w:t>s. c.</w:t>
            </w:r>
          </w:p>
        </w:tc>
        <w:tc>
          <w:tcPr>
            <w:tcW w:w="1377" w:type="pct"/>
            <w:vAlign w:val="center"/>
          </w:tcPr>
          <w:p w14:paraId="518C573D" w14:textId="6F73E7E9" w:rsidR="000C52F4" w:rsidRPr="0068339F" w:rsidRDefault="000C52F4" w:rsidP="00A305B0">
            <w:pPr>
              <w:rPr>
                <w:sz w:val="20"/>
                <w:szCs w:val="20"/>
              </w:rPr>
            </w:pPr>
            <w:r w:rsidRPr="0068339F">
              <w:rPr>
                <w:sz w:val="20"/>
                <w:szCs w:val="20"/>
              </w:rPr>
              <w:t>stále ceny</w:t>
            </w:r>
          </w:p>
        </w:tc>
      </w:tr>
      <w:tr w:rsidR="000C52F4" w:rsidRPr="0068339F" w14:paraId="0EB56ACF" w14:textId="77777777" w:rsidTr="00A305B0">
        <w:trPr>
          <w:trHeight w:val="20"/>
          <w:jc w:val="center"/>
        </w:trPr>
        <w:tc>
          <w:tcPr>
            <w:tcW w:w="587" w:type="pct"/>
            <w:shd w:val="clear" w:color="auto" w:fill="auto"/>
            <w:vAlign w:val="center"/>
          </w:tcPr>
          <w:p w14:paraId="44F24699" w14:textId="1D394986" w:rsidR="000C52F4" w:rsidRPr="0068339F" w:rsidRDefault="000C52F4" w:rsidP="00A305B0">
            <w:pPr>
              <w:rPr>
                <w:color w:val="0070C0"/>
                <w:sz w:val="20"/>
                <w:szCs w:val="20"/>
              </w:rPr>
            </w:pPr>
            <w:r w:rsidRPr="0068339F">
              <w:rPr>
                <w:color w:val="0070C0"/>
                <w:sz w:val="20"/>
                <w:szCs w:val="20"/>
              </w:rPr>
              <w:t>FSZP</w:t>
            </w:r>
          </w:p>
        </w:tc>
        <w:tc>
          <w:tcPr>
            <w:tcW w:w="1682" w:type="pct"/>
            <w:shd w:val="clear" w:color="auto" w:fill="auto"/>
            <w:vAlign w:val="center"/>
          </w:tcPr>
          <w:p w14:paraId="1D8B42C3" w14:textId="08B5BBC2" w:rsidR="000C52F4" w:rsidRPr="0068339F" w:rsidRDefault="000C52F4" w:rsidP="00A305B0">
            <w:pPr>
              <w:rPr>
                <w:sz w:val="20"/>
                <w:szCs w:val="20"/>
              </w:rPr>
            </w:pPr>
            <w:r w:rsidRPr="0068339F">
              <w:rPr>
                <w:sz w:val="20"/>
                <w:szCs w:val="20"/>
              </w:rPr>
              <w:t>Fondy sociálneho a zdravotného poistenia</w:t>
            </w:r>
          </w:p>
        </w:tc>
        <w:tc>
          <w:tcPr>
            <w:tcW w:w="1355" w:type="pct"/>
            <w:vAlign w:val="center"/>
          </w:tcPr>
          <w:p w14:paraId="028CEAE4" w14:textId="03CE83BD" w:rsidR="000C52F4" w:rsidRPr="0068339F" w:rsidRDefault="000C52F4" w:rsidP="00A305B0">
            <w:pPr>
              <w:rPr>
                <w:color w:val="0070C0"/>
                <w:sz w:val="20"/>
                <w:szCs w:val="20"/>
              </w:rPr>
            </w:pPr>
            <w:r w:rsidRPr="0068339F">
              <w:rPr>
                <w:color w:val="0070C0"/>
                <w:sz w:val="20"/>
                <w:szCs w:val="20"/>
              </w:rPr>
              <w:t>SR</w:t>
            </w:r>
          </w:p>
        </w:tc>
        <w:tc>
          <w:tcPr>
            <w:tcW w:w="1377" w:type="pct"/>
            <w:vAlign w:val="center"/>
          </w:tcPr>
          <w:p w14:paraId="731BDB35" w14:textId="4242E7AB" w:rsidR="000C52F4" w:rsidRPr="0068339F" w:rsidRDefault="000C52F4" w:rsidP="00A305B0">
            <w:pPr>
              <w:rPr>
                <w:sz w:val="20"/>
                <w:szCs w:val="20"/>
              </w:rPr>
            </w:pPr>
            <w:r w:rsidRPr="0068339F">
              <w:rPr>
                <w:sz w:val="20"/>
                <w:szCs w:val="20"/>
              </w:rPr>
              <w:t>Slovenská republika</w:t>
            </w:r>
          </w:p>
        </w:tc>
      </w:tr>
      <w:tr w:rsidR="000C52F4" w:rsidRPr="0068339F" w14:paraId="08516304" w14:textId="77777777" w:rsidTr="00A305B0">
        <w:trPr>
          <w:trHeight w:val="20"/>
          <w:jc w:val="center"/>
        </w:trPr>
        <w:tc>
          <w:tcPr>
            <w:tcW w:w="587" w:type="pct"/>
            <w:shd w:val="clear" w:color="auto" w:fill="auto"/>
            <w:vAlign w:val="center"/>
          </w:tcPr>
          <w:p w14:paraId="60CF36A1" w14:textId="324C9278" w:rsidR="000C52F4" w:rsidRPr="0068339F" w:rsidRDefault="000C52F4" w:rsidP="00A305B0">
            <w:pPr>
              <w:rPr>
                <w:color w:val="0070C0"/>
                <w:sz w:val="20"/>
                <w:szCs w:val="20"/>
              </w:rPr>
            </w:pPr>
            <w:r w:rsidRPr="0068339F">
              <w:rPr>
                <w:color w:val="0070C0"/>
                <w:sz w:val="20"/>
                <w:szCs w:val="20"/>
              </w:rPr>
              <w:t>HDP</w:t>
            </w:r>
          </w:p>
        </w:tc>
        <w:tc>
          <w:tcPr>
            <w:tcW w:w="1682" w:type="pct"/>
            <w:shd w:val="clear" w:color="auto" w:fill="auto"/>
            <w:vAlign w:val="center"/>
          </w:tcPr>
          <w:p w14:paraId="086F9782" w14:textId="7D55F14D" w:rsidR="000C52F4" w:rsidRPr="0068339F" w:rsidRDefault="000C52F4" w:rsidP="00A305B0">
            <w:pPr>
              <w:rPr>
                <w:sz w:val="20"/>
                <w:szCs w:val="20"/>
              </w:rPr>
            </w:pPr>
            <w:r w:rsidRPr="0068339F">
              <w:rPr>
                <w:sz w:val="20"/>
                <w:szCs w:val="20"/>
              </w:rPr>
              <w:t>hrubý domáci produkt</w:t>
            </w:r>
          </w:p>
        </w:tc>
        <w:tc>
          <w:tcPr>
            <w:tcW w:w="1355" w:type="pct"/>
            <w:vAlign w:val="center"/>
          </w:tcPr>
          <w:p w14:paraId="3C14019C" w14:textId="73C3910F" w:rsidR="000C52F4" w:rsidRPr="0068339F" w:rsidRDefault="000C52F4" w:rsidP="00A305B0">
            <w:pPr>
              <w:rPr>
                <w:color w:val="0070C0"/>
                <w:sz w:val="20"/>
                <w:szCs w:val="20"/>
              </w:rPr>
            </w:pPr>
            <w:r w:rsidRPr="0068339F">
              <w:rPr>
                <w:color w:val="0070C0"/>
                <w:sz w:val="20"/>
                <w:szCs w:val="20"/>
              </w:rPr>
              <w:t>SŠHR SR</w:t>
            </w:r>
          </w:p>
        </w:tc>
        <w:tc>
          <w:tcPr>
            <w:tcW w:w="1377" w:type="pct"/>
            <w:vAlign w:val="center"/>
          </w:tcPr>
          <w:p w14:paraId="668E9E07" w14:textId="28F6F097" w:rsidR="000C52F4" w:rsidRPr="0068339F" w:rsidRDefault="000C52F4" w:rsidP="00A305B0">
            <w:pPr>
              <w:rPr>
                <w:sz w:val="20"/>
                <w:szCs w:val="20"/>
              </w:rPr>
            </w:pPr>
            <w:r w:rsidRPr="0068339F">
              <w:rPr>
                <w:sz w:val="20"/>
                <w:szCs w:val="20"/>
              </w:rPr>
              <w:t>Správa štátnych hmotných rezerv SR</w:t>
            </w:r>
          </w:p>
        </w:tc>
      </w:tr>
      <w:tr w:rsidR="000C52F4" w:rsidRPr="0068339F" w14:paraId="79F6918C" w14:textId="77777777" w:rsidTr="00A305B0">
        <w:trPr>
          <w:trHeight w:val="283"/>
          <w:jc w:val="center"/>
        </w:trPr>
        <w:tc>
          <w:tcPr>
            <w:tcW w:w="587" w:type="pct"/>
            <w:shd w:val="clear" w:color="auto" w:fill="auto"/>
            <w:vAlign w:val="center"/>
          </w:tcPr>
          <w:p w14:paraId="35503638" w14:textId="436219C4" w:rsidR="000C52F4" w:rsidRPr="0068339F" w:rsidRDefault="000C52F4" w:rsidP="00A305B0">
            <w:pPr>
              <w:rPr>
                <w:color w:val="0070C0"/>
                <w:sz w:val="20"/>
                <w:szCs w:val="20"/>
              </w:rPr>
            </w:pPr>
            <w:r w:rsidRPr="0068339F">
              <w:rPr>
                <w:color w:val="0070C0"/>
                <w:sz w:val="20"/>
                <w:szCs w:val="20"/>
              </w:rPr>
              <w:t>HTA</w:t>
            </w:r>
          </w:p>
        </w:tc>
        <w:tc>
          <w:tcPr>
            <w:tcW w:w="1682" w:type="pct"/>
            <w:shd w:val="clear" w:color="auto" w:fill="auto"/>
            <w:vAlign w:val="center"/>
          </w:tcPr>
          <w:p w14:paraId="613CCACC" w14:textId="380B3C8B" w:rsidR="000C52F4" w:rsidRPr="0068339F" w:rsidRDefault="000C52F4" w:rsidP="00A305B0">
            <w:pPr>
              <w:rPr>
                <w:sz w:val="20"/>
                <w:szCs w:val="20"/>
              </w:rPr>
            </w:pPr>
            <w:r w:rsidRPr="0068339F">
              <w:rPr>
                <w:sz w:val="20"/>
                <w:szCs w:val="20"/>
              </w:rPr>
              <w:t>Hodnotenie zdravotníckych technológií</w:t>
            </w:r>
          </w:p>
        </w:tc>
        <w:tc>
          <w:tcPr>
            <w:tcW w:w="1355" w:type="pct"/>
            <w:vAlign w:val="center"/>
          </w:tcPr>
          <w:p w14:paraId="743CE6BF" w14:textId="437E68BE" w:rsidR="000C52F4" w:rsidRPr="0068339F" w:rsidRDefault="000C52F4" w:rsidP="00A305B0">
            <w:pPr>
              <w:rPr>
                <w:sz w:val="20"/>
                <w:szCs w:val="20"/>
              </w:rPr>
            </w:pPr>
            <w:r w:rsidRPr="0068339F">
              <w:rPr>
                <w:color w:val="0070C0"/>
                <w:sz w:val="20"/>
                <w:szCs w:val="20"/>
              </w:rPr>
              <w:t>ŠÚ SR</w:t>
            </w:r>
          </w:p>
        </w:tc>
        <w:tc>
          <w:tcPr>
            <w:tcW w:w="1377" w:type="pct"/>
            <w:vAlign w:val="center"/>
          </w:tcPr>
          <w:p w14:paraId="5F6D2A24" w14:textId="043943E7" w:rsidR="000C52F4" w:rsidRPr="0068339F" w:rsidRDefault="000C52F4" w:rsidP="00A305B0">
            <w:pPr>
              <w:rPr>
                <w:sz w:val="20"/>
                <w:szCs w:val="20"/>
              </w:rPr>
            </w:pPr>
            <w:r w:rsidRPr="0068339F">
              <w:rPr>
                <w:sz w:val="20"/>
                <w:szCs w:val="20"/>
              </w:rPr>
              <w:t>Štatistický úrad SR</w:t>
            </w:r>
          </w:p>
        </w:tc>
      </w:tr>
      <w:tr w:rsidR="000C52F4" w:rsidRPr="0068339F" w14:paraId="641B4009" w14:textId="77777777" w:rsidTr="00A305B0">
        <w:trPr>
          <w:trHeight w:val="283"/>
          <w:jc w:val="center"/>
        </w:trPr>
        <w:tc>
          <w:tcPr>
            <w:tcW w:w="587" w:type="pct"/>
            <w:shd w:val="clear" w:color="auto" w:fill="auto"/>
            <w:vAlign w:val="center"/>
          </w:tcPr>
          <w:p w14:paraId="033AAC56" w14:textId="027F5280" w:rsidR="000C52F4" w:rsidRPr="0068339F" w:rsidRDefault="000C52F4" w:rsidP="00A305B0">
            <w:pPr>
              <w:rPr>
                <w:color w:val="0070C0"/>
                <w:sz w:val="20"/>
                <w:szCs w:val="20"/>
              </w:rPr>
            </w:pPr>
            <w:r w:rsidRPr="0068339F">
              <w:rPr>
                <w:color w:val="0070C0"/>
                <w:sz w:val="20"/>
                <w:szCs w:val="20"/>
              </w:rPr>
              <w:t>IFP</w:t>
            </w:r>
          </w:p>
        </w:tc>
        <w:tc>
          <w:tcPr>
            <w:tcW w:w="1682" w:type="pct"/>
            <w:shd w:val="clear" w:color="auto" w:fill="auto"/>
            <w:vAlign w:val="center"/>
          </w:tcPr>
          <w:p w14:paraId="7CF2181C" w14:textId="55C53AF3" w:rsidR="000C52F4" w:rsidRPr="0068339F" w:rsidRDefault="000C52F4" w:rsidP="00A305B0">
            <w:pPr>
              <w:rPr>
                <w:sz w:val="20"/>
                <w:szCs w:val="20"/>
              </w:rPr>
            </w:pPr>
            <w:r w:rsidRPr="0068339F">
              <w:rPr>
                <w:sz w:val="20"/>
                <w:szCs w:val="20"/>
              </w:rPr>
              <w:t>Inštitút finančnej politiky</w:t>
            </w:r>
          </w:p>
        </w:tc>
        <w:tc>
          <w:tcPr>
            <w:tcW w:w="1355" w:type="pct"/>
            <w:vAlign w:val="center"/>
          </w:tcPr>
          <w:p w14:paraId="6E93E534" w14:textId="1371B6E1" w:rsidR="000C52F4" w:rsidRPr="0068339F" w:rsidRDefault="000C52F4" w:rsidP="00A305B0">
            <w:pPr>
              <w:rPr>
                <w:sz w:val="20"/>
                <w:szCs w:val="20"/>
              </w:rPr>
            </w:pPr>
            <w:r w:rsidRPr="0068339F">
              <w:rPr>
                <w:color w:val="0070C0"/>
                <w:sz w:val="20"/>
                <w:szCs w:val="20"/>
              </w:rPr>
              <w:t>ŠR</w:t>
            </w:r>
          </w:p>
        </w:tc>
        <w:tc>
          <w:tcPr>
            <w:tcW w:w="1377" w:type="pct"/>
            <w:vAlign w:val="center"/>
          </w:tcPr>
          <w:p w14:paraId="3ACCF68D" w14:textId="60883401" w:rsidR="000C52F4" w:rsidRPr="0068339F" w:rsidRDefault="000C52F4" w:rsidP="00A305B0">
            <w:pPr>
              <w:rPr>
                <w:sz w:val="20"/>
                <w:szCs w:val="20"/>
              </w:rPr>
            </w:pPr>
            <w:r w:rsidRPr="0068339F">
              <w:rPr>
                <w:sz w:val="20"/>
                <w:szCs w:val="20"/>
              </w:rPr>
              <w:t>štátny rozpočet</w:t>
            </w:r>
          </w:p>
        </w:tc>
      </w:tr>
      <w:tr w:rsidR="000C52F4" w:rsidRPr="0068339F" w14:paraId="4389F510" w14:textId="77777777" w:rsidTr="00A305B0">
        <w:trPr>
          <w:trHeight w:val="283"/>
          <w:jc w:val="center"/>
        </w:trPr>
        <w:tc>
          <w:tcPr>
            <w:tcW w:w="587" w:type="pct"/>
            <w:shd w:val="clear" w:color="auto" w:fill="auto"/>
            <w:vAlign w:val="center"/>
          </w:tcPr>
          <w:p w14:paraId="047477AF" w14:textId="06B2C374" w:rsidR="000C52F4" w:rsidRPr="0068339F" w:rsidRDefault="000C52F4" w:rsidP="00A305B0">
            <w:pPr>
              <w:rPr>
                <w:color w:val="0070C0"/>
                <w:sz w:val="20"/>
                <w:szCs w:val="20"/>
              </w:rPr>
            </w:pPr>
            <w:r w:rsidRPr="0068339F">
              <w:rPr>
                <w:color w:val="0070C0"/>
                <w:sz w:val="20"/>
                <w:szCs w:val="20"/>
              </w:rPr>
              <w:t>IROP</w:t>
            </w:r>
          </w:p>
        </w:tc>
        <w:tc>
          <w:tcPr>
            <w:tcW w:w="1682" w:type="pct"/>
            <w:shd w:val="clear" w:color="auto" w:fill="auto"/>
            <w:vAlign w:val="center"/>
          </w:tcPr>
          <w:p w14:paraId="032022F5" w14:textId="24124BA0" w:rsidR="000C52F4" w:rsidRPr="0068339F" w:rsidRDefault="000C52F4" w:rsidP="00A305B0">
            <w:pPr>
              <w:rPr>
                <w:sz w:val="20"/>
                <w:szCs w:val="20"/>
              </w:rPr>
            </w:pPr>
            <w:r w:rsidRPr="0068339F">
              <w:rPr>
                <w:sz w:val="20"/>
                <w:szCs w:val="20"/>
              </w:rPr>
              <w:t>Integrovaný regionálny operačný program</w:t>
            </w:r>
          </w:p>
        </w:tc>
        <w:tc>
          <w:tcPr>
            <w:tcW w:w="1355" w:type="pct"/>
            <w:vAlign w:val="center"/>
          </w:tcPr>
          <w:p w14:paraId="02E9D531" w14:textId="04BA72B1" w:rsidR="000C52F4" w:rsidRPr="0068339F" w:rsidRDefault="000C52F4" w:rsidP="00A305B0">
            <w:pPr>
              <w:rPr>
                <w:color w:val="0070C0"/>
                <w:sz w:val="20"/>
                <w:szCs w:val="20"/>
              </w:rPr>
            </w:pPr>
            <w:r w:rsidRPr="0068339F">
              <w:rPr>
                <w:color w:val="0070C0"/>
                <w:sz w:val="20"/>
                <w:szCs w:val="20"/>
              </w:rPr>
              <w:t>TEN-T</w:t>
            </w:r>
          </w:p>
        </w:tc>
        <w:tc>
          <w:tcPr>
            <w:tcW w:w="1377" w:type="pct"/>
            <w:vAlign w:val="center"/>
          </w:tcPr>
          <w:p w14:paraId="5FA47784" w14:textId="366DAF75" w:rsidR="000C52F4" w:rsidRPr="0068339F" w:rsidRDefault="000C52F4" w:rsidP="00A305B0">
            <w:pPr>
              <w:rPr>
                <w:sz w:val="20"/>
                <w:szCs w:val="20"/>
              </w:rPr>
            </w:pPr>
            <w:r w:rsidRPr="0068339F">
              <w:rPr>
                <w:sz w:val="20"/>
                <w:szCs w:val="20"/>
              </w:rPr>
              <w:t>Transeurópska dopravná sieť</w:t>
            </w:r>
          </w:p>
        </w:tc>
      </w:tr>
      <w:tr w:rsidR="000C52F4" w:rsidRPr="0068339F" w14:paraId="7AC4920F" w14:textId="77777777" w:rsidTr="00A305B0">
        <w:trPr>
          <w:trHeight w:val="283"/>
          <w:jc w:val="center"/>
        </w:trPr>
        <w:tc>
          <w:tcPr>
            <w:tcW w:w="587" w:type="pct"/>
            <w:shd w:val="clear" w:color="auto" w:fill="auto"/>
            <w:vAlign w:val="center"/>
          </w:tcPr>
          <w:p w14:paraId="1E8B5183" w14:textId="361F30BC" w:rsidR="000C52F4" w:rsidRPr="0068339F" w:rsidRDefault="000C52F4" w:rsidP="00A305B0">
            <w:pPr>
              <w:rPr>
                <w:color w:val="0070C0"/>
                <w:sz w:val="20"/>
                <w:szCs w:val="20"/>
              </w:rPr>
            </w:pPr>
            <w:r w:rsidRPr="0068339F">
              <w:rPr>
                <w:color w:val="0070C0"/>
                <w:sz w:val="20"/>
                <w:szCs w:val="20"/>
              </w:rPr>
              <w:t>KC</w:t>
            </w:r>
          </w:p>
        </w:tc>
        <w:tc>
          <w:tcPr>
            <w:tcW w:w="1682" w:type="pct"/>
            <w:shd w:val="clear" w:color="auto" w:fill="auto"/>
            <w:vAlign w:val="center"/>
          </w:tcPr>
          <w:p w14:paraId="61C2DB3D" w14:textId="613D9741" w:rsidR="000C52F4" w:rsidRPr="0068339F" w:rsidRDefault="000C52F4" w:rsidP="00A305B0">
            <w:pPr>
              <w:rPr>
                <w:sz w:val="20"/>
                <w:szCs w:val="20"/>
              </w:rPr>
            </w:pPr>
            <w:r w:rsidRPr="0068339F">
              <w:rPr>
                <w:sz w:val="20"/>
                <w:szCs w:val="20"/>
              </w:rPr>
              <w:t>klientske centrum</w:t>
            </w:r>
          </w:p>
        </w:tc>
        <w:tc>
          <w:tcPr>
            <w:tcW w:w="1355" w:type="pct"/>
            <w:vAlign w:val="center"/>
          </w:tcPr>
          <w:p w14:paraId="0B61AC66" w14:textId="3BB9A868" w:rsidR="000C52F4" w:rsidRPr="0068339F" w:rsidRDefault="000C52F4" w:rsidP="00A305B0">
            <w:pPr>
              <w:rPr>
                <w:sz w:val="20"/>
                <w:szCs w:val="20"/>
              </w:rPr>
            </w:pPr>
            <w:r w:rsidRPr="0068339F">
              <w:rPr>
                <w:color w:val="0070C0"/>
                <w:sz w:val="20"/>
                <w:szCs w:val="20"/>
              </w:rPr>
              <w:t>ŠZÚ SR</w:t>
            </w:r>
          </w:p>
        </w:tc>
        <w:tc>
          <w:tcPr>
            <w:tcW w:w="1377" w:type="pct"/>
            <w:vAlign w:val="center"/>
          </w:tcPr>
          <w:p w14:paraId="3D1F747C" w14:textId="770B4B1C" w:rsidR="000C52F4" w:rsidRPr="0068339F" w:rsidRDefault="000C52F4" w:rsidP="00A305B0">
            <w:pPr>
              <w:rPr>
                <w:sz w:val="20"/>
                <w:szCs w:val="20"/>
              </w:rPr>
            </w:pPr>
            <w:r w:rsidRPr="0068339F">
              <w:rPr>
                <w:sz w:val="20"/>
                <w:szCs w:val="20"/>
              </w:rPr>
              <w:t>štátny záverečný účet SR</w:t>
            </w:r>
          </w:p>
        </w:tc>
      </w:tr>
      <w:tr w:rsidR="000C52F4" w:rsidRPr="0068339F" w14:paraId="41681564" w14:textId="77777777" w:rsidTr="00A305B0">
        <w:trPr>
          <w:trHeight w:val="283"/>
          <w:jc w:val="center"/>
        </w:trPr>
        <w:tc>
          <w:tcPr>
            <w:tcW w:w="587" w:type="pct"/>
            <w:shd w:val="clear" w:color="auto" w:fill="auto"/>
            <w:vAlign w:val="center"/>
          </w:tcPr>
          <w:p w14:paraId="6224418F" w14:textId="4731E236" w:rsidR="000C52F4" w:rsidRPr="0068339F" w:rsidRDefault="000C52F4" w:rsidP="00A305B0">
            <w:pPr>
              <w:rPr>
                <w:color w:val="0070C0"/>
                <w:sz w:val="20"/>
                <w:szCs w:val="20"/>
              </w:rPr>
            </w:pPr>
            <w:r w:rsidRPr="0068339F">
              <w:rPr>
                <w:color w:val="0070C0"/>
                <w:sz w:val="20"/>
                <w:szCs w:val="20"/>
              </w:rPr>
              <w:t>MDV SR</w:t>
            </w:r>
          </w:p>
        </w:tc>
        <w:tc>
          <w:tcPr>
            <w:tcW w:w="1682" w:type="pct"/>
            <w:shd w:val="clear" w:color="auto" w:fill="auto"/>
            <w:vAlign w:val="center"/>
          </w:tcPr>
          <w:p w14:paraId="23F3EB62" w14:textId="637370F8" w:rsidR="000C52F4" w:rsidRPr="0068339F" w:rsidRDefault="000C52F4" w:rsidP="00A305B0">
            <w:pPr>
              <w:rPr>
                <w:sz w:val="20"/>
                <w:szCs w:val="20"/>
              </w:rPr>
            </w:pPr>
            <w:r w:rsidRPr="0068339F">
              <w:rPr>
                <w:sz w:val="20"/>
                <w:szCs w:val="20"/>
              </w:rPr>
              <w:t>Ministerstvo dopravy a výstavby SR</w:t>
            </w:r>
          </w:p>
        </w:tc>
        <w:tc>
          <w:tcPr>
            <w:tcW w:w="1355" w:type="pct"/>
            <w:vAlign w:val="center"/>
          </w:tcPr>
          <w:p w14:paraId="5F99DFAC" w14:textId="3DC766DE" w:rsidR="000C52F4" w:rsidRPr="0068339F" w:rsidRDefault="000C52F4" w:rsidP="00A305B0">
            <w:pPr>
              <w:rPr>
                <w:color w:val="0070C0"/>
                <w:sz w:val="20"/>
                <w:szCs w:val="20"/>
              </w:rPr>
            </w:pPr>
            <w:r w:rsidRPr="0068339F">
              <w:rPr>
                <w:color w:val="0070C0"/>
                <w:sz w:val="20"/>
                <w:szCs w:val="20"/>
              </w:rPr>
              <w:t>ÚHP</w:t>
            </w:r>
          </w:p>
        </w:tc>
        <w:tc>
          <w:tcPr>
            <w:tcW w:w="1377" w:type="pct"/>
            <w:vAlign w:val="center"/>
          </w:tcPr>
          <w:p w14:paraId="2D26B7DB" w14:textId="25CFA1F9" w:rsidR="000C52F4" w:rsidRPr="0068339F" w:rsidRDefault="000C52F4" w:rsidP="00A305B0">
            <w:pPr>
              <w:rPr>
                <w:sz w:val="20"/>
                <w:szCs w:val="20"/>
              </w:rPr>
            </w:pPr>
            <w:r w:rsidRPr="0068339F">
              <w:rPr>
                <w:sz w:val="20"/>
                <w:szCs w:val="20"/>
              </w:rPr>
              <w:t>Útvar hodnoty za peniaze</w:t>
            </w:r>
          </w:p>
        </w:tc>
      </w:tr>
      <w:tr w:rsidR="000C52F4" w:rsidRPr="0068339F" w14:paraId="33A3F59E" w14:textId="77777777" w:rsidTr="00A305B0">
        <w:trPr>
          <w:trHeight w:val="283"/>
          <w:jc w:val="center"/>
        </w:trPr>
        <w:tc>
          <w:tcPr>
            <w:tcW w:w="587" w:type="pct"/>
            <w:shd w:val="clear" w:color="auto" w:fill="auto"/>
            <w:vAlign w:val="center"/>
          </w:tcPr>
          <w:p w14:paraId="51096615" w14:textId="4C763793" w:rsidR="000C52F4" w:rsidRPr="0068339F" w:rsidRDefault="000C52F4" w:rsidP="00A305B0">
            <w:pPr>
              <w:rPr>
                <w:color w:val="0070C0"/>
                <w:sz w:val="20"/>
                <w:szCs w:val="20"/>
              </w:rPr>
            </w:pPr>
            <w:r w:rsidRPr="0068339F">
              <w:rPr>
                <w:color w:val="0070C0"/>
                <w:sz w:val="20"/>
                <w:szCs w:val="20"/>
              </w:rPr>
              <w:t>MF SR</w:t>
            </w:r>
          </w:p>
        </w:tc>
        <w:tc>
          <w:tcPr>
            <w:tcW w:w="1682" w:type="pct"/>
            <w:shd w:val="clear" w:color="auto" w:fill="auto"/>
            <w:vAlign w:val="center"/>
          </w:tcPr>
          <w:p w14:paraId="709E1BC7" w14:textId="7F966588" w:rsidR="000C52F4" w:rsidRPr="0068339F" w:rsidRDefault="000C52F4" w:rsidP="00A305B0">
            <w:pPr>
              <w:rPr>
                <w:sz w:val="20"/>
                <w:szCs w:val="20"/>
              </w:rPr>
            </w:pPr>
            <w:r w:rsidRPr="0068339F">
              <w:rPr>
                <w:sz w:val="20"/>
                <w:szCs w:val="20"/>
              </w:rPr>
              <w:t>Ministerstvo financií SR</w:t>
            </w:r>
          </w:p>
        </w:tc>
        <w:tc>
          <w:tcPr>
            <w:tcW w:w="1355" w:type="pct"/>
            <w:vAlign w:val="center"/>
          </w:tcPr>
          <w:p w14:paraId="7C9C8D90" w14:textId="0225FD33" w:rsidR="000C52F4" w:rsidRPr="0068339F" w:rsidRDefault="000C52F4" w:rsidP="00A305B0">
            <w:pPr>
              <w:rPr>
                <w:sz w:val="20"/>
                <w:szCs w:val="20"/>
              </w:rPr>
            </w:pPr>
            <w:r w:rsidRPr="0068339F">
              <w:rPr>
                <w:color w:val="0070C0"/>
                <w:sz w:val="20"/>
                <w:szCs w:val="20"/>
              </w:rPr>
              <w:t>ÚVO</w:t>
            </w:r>
          </w:p>
        </w:tc>
        <w:tc>
          <w:tcPr>
            <w:tcW w:w="1377" w:type="pct"/>
            <w:vAlign w:val="center"/>
          </w:tcPr>
          <w:p w14:paraId="1CEFB949" w14:textId="72B95095" w:rsidR="000C52F4" w:rsidRPr="0068339F" w:rsidRDefault="000C52F4" w:rsidP="00A305B0">
            <w:pPr>
              <w:rPr>
                <w:sz w:val="20"/>
                <w:szCs w:val="20"/>
              </w:rPr>
            </w:pPr>
            <w:r w:rsidRPr="0068339F">
              <w:rPr>
                <w:sz w:val="20"/>
                <w:szCs w:val="20"/>
              </w:rPr>
              <w:t>Úrad pre verejné obstarávanie</w:t>
            </w:r>
          </w:p>
        </w:tc>
      </w:tr>
      <w:tr w:rsidR="000C52F4" w:rsidRPr="0068339F" w14:paraId="4450F357" w14:textId="77777777" w:rsidTr="00A305B0">
        <w:trPr>
          <w:trHeight w:val="283"/>
          <w:jc w:val="center"/>
        </w:trPr>
        <w:tc>
          <w:tcPr>
            <w:tcW w:w="587" w:type="pct"/>
            <w:shd w:val="clear" w:color="auto" w:fill="auto"/>
            <w:vAlign w:val="center"/>
          </w:tcPr>
          <w:p w14:paraId="34128EE8" w14:textId="7C7BAEF7" w:rsidR="000C52F4" w:rsidRPr="0068339F" w:rsidRDefault="000C52F4" w:rsidP="00A305B0">
            <w:pPr>
              <w:rPr>
                <w:color w:val="0070C0"/>
                <w:sz w:val="20"/>
                <w:szCs w:val="20"/>
              </w:rPr>
            </w:pPr>
            <w:r w:rsidRPr="0068339F">
              <w:rPr>
                <w:color w:val="0070C0"/>
                <w:sz w:val="20"/>
                <w:szCs w:val="20"/>
              </w:rPr>
              <w:t>MH SR</w:t>
            </w:r>
          </w:p>
        </w:tc>
        <w:tc>
          <w:tcPr>
            <w:tcW w:w="1682" w:type="pct"/>
            <w:shd w:val="clear" w:color="auto" w:fill="auto"/>
            <w:vAlign w:val="center"/>
          </w:tcPr>
          <w:p w14:paraId="47013252" w14:textId="475C77C6" w:rsidR="000C52F4" w:rsidRPr="0068339F" w:rsidRDefault="000C52F4" w:rsidP="00A305B0">
            <w:pPr>
              <w:rPr>
                <w:sz w:val="20"/>
                <w:szCs w:val="20"/>
              </w:rPr>
            </w:pPr>
            <w:r w:rsidRPr="0068339F">
              <w:rPr>
                <w:sz w:val="20"/>
                <w:szCs w:val="20"/>
              </w:rPr>
              <w:t>Ministerstvo hospodárstva SR</w:t>
            </w:r>
          </w:p>
        </w:tc>
        <w:tc>
          <w:tcPr>
            <w:tcW w:w="1355" w:type="pct"/>
            <w:vAlign w:val="center"/>
          </w:tcPr>
          <w:p w14:paraId="13F45E0A" w14:textId="45E8A9CA" w:rsidR="000C52F4" w:rsidRPr="0068339F" w:rsidRDefault="000C52F4" w:rsidP="00A305B0">
            <w:pPr>
              <w:rPr>
                <w:sz w:val="20"/>
                <w:szCs w:val="20"/>
              </w:rPr>
            </w:pPr>
            <w:r w:rsidRPr="0068339F">
              <w:rPr>
                <w:color w:val="0070C0"/>
                <w:sz w:val="20"/>
                <w:szCs w:val="20"/>
              </w:rPr>
              <w:t>ÚV SR</w:t>
            </w:r>
          </w:p>
        </w:tc>
        <w:tc>
          <w:tcPr>
            <w:tcW w:w="1377" w:type="pct"/>
            <w:vAlign w:val="center"/>
          </w:tcPr>
          <w:p w14:paraId="20C86ED7" w14:textId="21B6DA44" w:rsidR="000C52F4" w:rsidRPr="0068339F" w:rsidRDefault="000C52F4" w:rsidP="00A305B0">
            <w:pPr>
              <w:rPr>
                <w:sz w:val="20"/>
                <w:szCs w:val="20"/>
              </w:rPr>
            </w:pPr>
            <w:r w:rsidRPr="0068339F">
              <w:rPr>
                <w:sz w:val="20"/>
                <w:szCs w:val="20"/>
              </w:rPr>
              <w:t>Úrad vlády SR</w:t>
            </w:r>
          </w:p>
        </w:tc>
      </w:tr>
      <w:tr w:rsidR="000C52F4" w:rsidRPr="0068339F" w14:paraId="0D67DC6E" w14:textId="77777777" w:rsidTr="00A305B0">
        <w:trPr>
          <w:trHeight w:val="20"/>
          <w:jc w:val="center"/>
        </w:trPr>
        <w:tc>
          <w:tcPr>
            <w:tcW w:w="587" w:type="pct"/>
            <w:shd w:val="clear" w:color="auto" w:fill="auto"/>
            <w:vAlign w:val="center"/>
          </w:tcPr>
          <w:p w14:paraId="70942426" w14:textId="607298D8" w:rsidR="000C52F4" w:rsidRPr="0068339F" w:rsidRDefault="000C52F4" w:rsidP="00A305B0">
            <w:pPr>
              <w:rPr>
                <w:color w:val="0070C0"/>
                <w:sz w:val="20"/>
                <w:szCs w:val="20"/>
              </w:rPr>
            </w:pPr>
            <w:r w:rsidRPr="0068339F">
              <w:rPr>
                <w:color w:val="0070C0"/>
                <w:sz w:val="20"/>
                <w:szCs w:val="20"/>
              </w:rPr>
              <w:t>MO</w:t>
            </w:r>
          </w:p>
        </w:tc>
        <w:tc>
          <w:tcPr>
            <w:tcW w:w="1682" w:type="pct"/>
            <w:shd w:val="clear" w:color="auto" w:fill="auto"/>
            <w:vAlign w:val="center"/>
          </w:tcPr>
          <w:p w14:paraId="7E3BB3F2" w14:textId="714E8718" w:rsidR="000C52F4" w:rsidRPr="0068339F" w:rsidRDefault="000C52F4" w:rsidP="00A305B0">
            <w:pPr>
              <w:rPr>
                <w:sz w:val="20"/>
                <w:szCs w:val="20"/>
              </w:rPr>
            </w:pPr>
            <w:r w:rsidRPr="0068339F">
              <w:rPr>
                <w:sz w:val="20"/>
                <w:szCs w:val="20"/>
              </w:rPr>
              <w:t>medzinárodné organizácie</w:t>
            </w:r>
          </w:p>
        </w:tc>
        <w:tc>
          <w:tcPr>
            <w:tcW w:w="1355" w:type="pct"/>
            <w:vAlign w:val="center"/>
          </w:tcPr>
          <w:p w14:paraId="53734BB7" w14:textId="794EEB62" w:rsidR="000C52F4" w:rsidRPr="0068339F" w:rsidRDefault="000C52F4" w:rsidP="00A305B0">
            <w:pPr>
              <w:rPr>
                <w:color w:val="0070C0"/>
                <w:sz w:val="20"/>
                <w:szCs w:val="20"/>
              </w:rPr>
            </w:pPr>
            <w:r w:rsidRPr="0068339F">
              <w:rPr>
                <w:color w:val="0070C0"/>
                <w:sz w:val="20"/>
                <w:szCs w:val="20"/>
              </w:rPr>
              <w:t>V4 + 2</w:t>
            </w:r>
          </w:p>
        </w:tc>
        <w:tc>
          <w:tcPr>
            <w:tcW w:w="1377" w:type="pct"/>
            <w:vAlign w:val="center"/>
          </w:tcPr>
          <w:p w14:paraId="092C8E9D" w14:textId="674DCAB8" w:rsidR="000C52F4" w:rsidRPr="0068339F" w:rsidRDefault="000C52F4" w:rsidP="00A305B0">
            <w:pPr>
              <w:rPr>
                <w:sz w:val="20"/>
                <w:szCs w:val="20"/>
              </w:rPr>
            </w:pPr>
            <w:r w:rsidRPr="0068339F">
              <w:rPr>
                <w:sz w:val="20"/>
                <w:szCs w:val="20"/>
              </w:rPr>
              <w:t>Slovenská republika, Česká republika, Poľsko, Maďarsko + Rakúsko a Slovinsko</w:t>
            </w:r>
          </w:p>
        </w:tc>
      </w:tr>
      <w:tr w:rsidR="000C52F4" w:rsidRPr="0068339F" w14:paraId="7725C067" w14:textId="77777777" w:rsidTr="00A305B0">
        <w:trPr>
          <w:trHeight w:val="283"/>
          <w:jc w:val="center"/>
        </w:trPr>
        <w:tc>
          <w:tcPr>
            <w:tcW w:w="587" w:type="pct"/>
            <w:shd w:val="clear" w:color="auto" w:fill="auto"/>
            <w:vAlign w:val="center"/>
          </w:tcPr>
          <w:p w14:paraId="64800EB2" w14:textId="415E244F" w:rsidR="000C52F4" w:rsidRPr="0068339F" w:rsidRDefault="000C52F4" w:rsidP="00A305B0">
            <w:pPr>
              <w:rPr>
                <w:color w:val="0070C0"/>
                <w:sz w:val="20"/>
                <w:szCs w:val="20"/>
              </w:rPr>
            </w:pPr>
            <w:r w:rsidRPr="0068339F">
              <w:rPr>
                <w:color w:val="0070C0"/>
                <w:sz w:val="20"/>
                <w:szCs w:val="20"/>
              </w:rPr>
              <w:t>MO SR</w:t>
            </w:r>
          </w:p>
        </w:tc>
        <w:tc>
          <w:tcPr>
            <w:tcW w:w="1682" w:type="pct"/>
            <w:shd w:val="clear" w:color="auto" w:fill="auto"/>
            <w:vAlign w:val="center"/>
          </w:tcPr>
          <w:p w14:paraId="1FC0BF59" w14:textId="53A3CC2E" w:rsidR="000C52F4" w:rsidRPr="0068339F" w:rsidRDefault="000C52F4" w:rsidP="00A305B0">
            <w:pPr>
              <w:rPr>
                <w:sz w:val="20"/>
                <w:szCs w:val="20"/>
              </w:rPr>
            </w:pPr>
            <w:r w:rsidRPr="0068339F">
              <w:rPr>
                <w:sz w:val="20"/>
                <w:szCs w:val="20"/>
              </w:rPr>
              <w:t>Ministerstvo obrany SR</w:t>
            </w:r>
          </w:p>
        </w:tc>
        <w:tc>
          <w:tcPr>
            <w:tcW w:w="1355" w:type="pct"/>
            <w:vAlign w:val="center"/>
          </w:tcPr>
          <w:p w14:paraId="40797666" w14:textId="3C91D907" w:rsidR="000C52F4" w:rsidRPr="0068339F" w:rsidRDefault="000C52F4" w:rsidP="00A305B0">
            <w:pPr>
              <w:rPr>
                <w:sz w:val="20"/>
                <w:szCs w:val="20"/>
              </w:rPr>
            </w:pPr>
            <w:r w:rsidRPr="0068339F">
              <w:rPr>
                <w:color w:val="0070C0"/>
                <w:sz w:val="20"/>
                <w:szCs w:val="20"/>
              </w:rPr>
              <w:t>VaI</w:t>
            </w:r>
          </w:p>
        </w:tc>
        <w:tc>
          <w:tcPr>
            <w:tcW w:w="1377" w:type="pct"/>
            <w:vAlign w:val="center"/>
          </w:tcPr>
          <w:p w14:paraId="0EC00252" w14:textId="1F9A6C15" w:rsidR="000C52F4" w:rsidRPr="0068339F" w:rsidRDefault="000C52F4" w:rsidP="00A305B0">
            <w:pPr>
              <w:rPr>
                <w:sz w:val="20"/>
                <w:szCs w:val="20"/>
              </w:rPr>
            </w:pPr>
            <w:r w:rsidRPr="0068339F">
              <w:rPr>
                <w:sz w:val="20"/>
                <w:szCs w:val="20"/>
              </w:rPr>
              <w:t>Výskum a inovácie</w:t>
            </w:r>
          </w:p>
        </w:tc>
      </w:tr>
      <w:tr w:rsidR="000C52F4" w:rsidRPr="0068339F" w14:paraId="2116DB96" w14:textId="77777777" w:rsidTr="00A305B0">
        <w:trPr>
          <w:trHeight w:val="20"/>
          <w:jc w:val="center"/>
        </w:trPr>
        <w:tc>
          <w:tcPr>
            <w:tcW w:w="587" w:type="pct"/>
            <w:shd w:val="clear" w:color="auto" w:fill="auto"/>
            <w:vAlign w:val="center"/>
          </w:tcPr>
          <w:p w14:paraId="7E532D98" w14:textId="2E87F013" w:rsidR="000C52F4" w:rsidRPr="0068339F" w:rsidRDefault="000C52F4" w:rsidP="00A305B0">
            <w:pPr>
              <w:rPr>
                <w:color w:val="0070C0"/>
                <w:sz w:val="20"/>
                <w:szCs w:val="20"/>
              </w:rPr>
            </w:pPr>
            <w:r w:rsidRPr="0068339F">
              <w:rPr>
                <w:color w:val="0070C0"/>
                <w:sz w:val="20"/>
                <w:szCs w:val="20"/>
              </w:rPr>
              <w:t>MPRV SR</w:t>
            </w:r>
          </w:p>
        </w:tc>
        <w:tc>
          <w:tcPr>
            <w:tcW w:w="1682" w:type="pct"/>
            <w:shd w:val="clear" w:color="auto" w:fill="auto"/>
            <w:vAlign w:val="center"/>
          </w:tcPr>
          <w:p w14:paraId="58091BED" w14:textId="37711900" w:rsidR="000C52F4" w:rsidRPr="0068339F" w:rsidRDefault="000C52F4" w:rsidP="00A305B0">
            <w:pPr>
              <w:rPr>
                <w:sz w:val="20"/>
                <w:szCs w:val="20"/>
              </w:rPr>
            </w:pPr>
            <w:r w:rsidRPr="0068339F">
              <w:rPr>
                <w:sz w:val="20"/>
                <w:szCs w:val="20"/>
              </w:rPr>
              <w:t>Ministerstvo pôdohospodárstva a rozvoja vidieka SR</w:t>
            </w:r>
          </w:p>
        </w:tc>
        <w:tc>
          <w:tcPr>
            <w:tcW w:w="1355" w:type="pct"/>
            <w:vAlign w:val="center"/>
          </w:tcPr>
          <w:p w14:paraId="708128BD" w14:textId="307F18EC" w:rsidR="000C52F4" w:rsidRPr="0068339F" w:rsidRDefault="000C52F4" w:rsidP="00A305B0">
            <w:pPr>
              <w:rPr>
                <w:sz w:val="20"/>
                <w:szCs w:val="20"/>
              </w:rPr>
            </w:pPr>
            <w:r>
              <w:rPr>
                <w:color w:val="0070C0"/>
                <w:sz w:val="20"/>
                <w:szCs w:val="20"/>
              </w:rPr>
              <w:t>VpDP</w:t>
            </w:r>
          </w:p>
        </w:tc>
        <w:tc>
          <w:tcPr>
            <w:tcW w:w="1377" w:type="pct"/>
            <w:vAlign w:val="center"/>
          </w:tcPr>
          <w:p w14:paraId="2604CC1A" w14:textId="70B24CD9" w:rsidR="000C52F4" w:rsidRPr="0068339F" w:rsidRDefault="000C52F4" w:rsidP="00A305B0">
            <w:pPr>
              <w:rPr>
                <w:sz w:val="20"/>
                <w:szCs w:val="20"/>
              </w:rPr>
            </w:pPr>
            <w:r>
              <w:rPr>
                <w:sz w:val="20"/>
                <w:szCs w:val="20"/>
              </w:rPr>
              <w:t>Výbor pre daňové prognózy</w:t>
            </w:r>
          </w:p>
        </w:tc>
      </w:tr>
      <w:tr w:rsidR="000C52F4" w:rsidRPr="0068339F" w14:paraId="7D15A0FB" w14:textId="77777777" w:rsidTr="00A305B0">
        <w:trPr>
          <w:trHeight w:val="20"/>
          <w:jc w:val="center"/>
        </w:trPr>
        <w:tc>
          <w:tcPr>
            <w:tcW w:w="587" w:type="pct"/>
            <w:shd w:val="clear" w:color="auto" w:fill="auto"/>
            <w:vAlign w:val="center"/>
          </w:tcPr>
          <w:p w14:paraId="111FBCFD" w14:textId="0477E97B" w:rsidR="000C52F4" w:rsidRPr="0068339F" w:rsidRDefault="000C52F4" w:rsidP="00A305B0">
            <w:pPr>
              <w:rPr>
                <w:color w:val="0070C0"/>
                <w:sz w:val="20"/>
                <w:szCs w:val="20"/>
              </w:rPr>
            </w:pPr>
            <w:r w:rsidRPr="0068339F">
              <w:rPr>
                <w:color w:val="0070C0"/>
                <w:sz w:val="20"/>
                <w:szCs w:val="20"/>
              </w:rPr>
              <w:t>MPSVR SR</w:t>
            </w:r>
          </w:p>
        </w:tc>
        <w:tc>
          <w:tcPr>
            <w:tcW w:w="1682" w:type="pct"/>
            <w:shd w:val="clear" w:color="auto" w:fill="auto"/>
            <w:vAlign w:val="center"/>
          </w:tcPr>
          <w:p w14:paraId="09A20078" w14:textId="74DB5E97" w:rsidR="000C52F4" w:rsidRPr="0068339F" w:rsidRDefault="000C52F4" w:rsidP="00A305B0">
            <w:pPr>
              <w:rPr>
                <w:sz w:val="20"/>
                <w:szCs w:val="20"/>
              </w:rPr>
            </w:pPr>
            <w:r w:rsidRPr="0068339F">
              <w:rPr>
                <w:sz w:val="20"/>
                <w:szCs w:val="20"/>
              </w:rPr>
              <w:t>Ministerstvo práce, sociálnych vecí a rodiny SR</w:t>
            </w:r>
          </w:p>
        </w:tc>
        <w:tc>
          <w:tcPr>
            <w:tcW w:w="1355" w:type="pct"/>
            <w:vAlign w:val="center"/>
          </w:tcPr>
          <w:p w14:paraId="26F8A4CE" w14:textId="0B448C7D" w:rsidR="000C52F4" w:rsidRPr="0068339F" w:rsidRDefault="000C52F4" w:rsidP="00A305B0">
            <w:pPr>
              <w:rPr>
                <w:color w:val="0070C0"/>
                <w:sz w:val="20"/>
                <w:szCs w:val="20"/>
              </w:rPr>
            </w:pPr>
            <w:r w:rsidRPr="0068339F">
              <w:rPr>
                <w:color w:val="0070C0"/>
                <w:sz w:val="20"/>
                <w:szCs w:val="20"/>
              </w:rPr>
              <w:t>VpMP</w:t>
            </w:r>
          </w:p>
        </w:tc>
        <w:tc>
          <w:tcPr>
            <w:tcW w:w="1377" w:type="pct"/>
            <w:vAlign w:val="center"/>
          </w:tcPr>
          <w:p w14:paraId="2BD748EE" w14:textId="0AC5107C" w:rsidR="000C52F4" w:rsidRPr="0068339F" w:rsidRDefault="000C52F4" w:rsidP="00A305B0">
            <w:pPr>
              <w:rPr>
                <w:sz w:val="20"/>
                <w:szCs w:val="20"/>
              </w:rPr>
            </w:pPr>
            <w:r w:rsidRPr="0068339F">
              <w:rPr>
                <w:sz w:val="20"/>
                <w:szCs w:val="20"/>
              </w:rPr>
              <w:t>Výbor pre makroekonomické prognózy</w:t>
            </w:r>
          </w:p>
        </w:tc>
      </w:tr>
      <w:tr w:rsidR="000C52F4" w:rsidRPr="0068339F" w14:paraId="7EC59F35" w14:textId="77777777" w:rsidTr="00A305B0">
        <w:trPr>
          <w:trHeight w:val="283"/>
          <w:jc w:val="center"/>
        </w:trPr>
        <w:tc>
          <w:tcPr>
            <w:tcW w:w="587" w:type="pct"/>
            <w:shd w:val="clear" w:color="auto" w:fill="auto"/>
            <w:vAlign w:val="center"/>
          </w:tcPr>
          <w:p w14:paraId="04F2D0AE" w14:textId="14C35C11" w:rsidR="000C52F4" w:rsidRPr="0068339F" w:rsidRDefault="000C52F4" w:rsidP="00A305B0">
            <w:pPr>
              <w:rPr>
                <w:color w:val="0070C0"/>
                <w:sz w:val="20"/>
                <w:szCs w:val="20"/>
              </w:rPr>
            </w:pPr>
            <w:r w:rsidRPr="0068339F">
              <w:rPr>
                <w:color w:val="0070C0"/>
                <w:sz w:val="20"/>
                <w:szCs w:val="20"/>
              </w:rPr>
              <w:t>MV SR</w:t>
            </w:r>
          </w:p>
        </w:tc>
        <w:tc>
          <w:tcPr>
            <w:tcW w:w="1682" w:type="pct"/>
            <w:shd w:val="clear" w:color="auto" w:fill="auto"/>
            <w:vAlign w:val="center"/>
          </w:tcPr>
          <w:p w14:paraId="723C45C0" w14:textId="625874CF" w:rsidR="000C52F4" w:rsidRPr="0068339F" w:rsidRDefault="000C52F4" w:rsidP="00A305B0">
            <w:pPr>
              <w:rPr>
                <w:sz w:val="20"/>
                <w:szCs w:val="20"/>
              </w:rPr>
            </w:pPr>
            <w:r w:rsidRPr="0068339F">
              <w:rPr>
                <w:sz w:val="20"/>
                <w:szCs w:val="20"/>
              </w:rPr>
              <w:t>Ministerstvo vnútra SR</w:t>
            </w:r>
          </w:p>
        </w:tc>
        <w:tc>
          <w:tcPr>
            <w:tcW w:w="1355" w:type="pct"/>
            <w:vAlign w:val="center"/>
          </w:tcPr>
          <w:p w14:paraId="0D4CCCD7" w14:textId="7B1C6555" w:rsidR="000C52F4" w:rsidRPr="0068339F" w:rsidRDefault="000C52F4" w:rsidP="00A305B0">
            <w:pPr>
              <w:rPr>
                <w:color w:val="0070C0"/>
                <w:sz w:val="20"/>
                <w:szCs w:val="20"/>
              </w:rPr>
            </w:pPr>
            <w:r w:rsidRPr="0068339F">
              <w:rPr>
                <w:color w:val="0070C0"/>
                <w:sz w:val="20"/>
                <w:szCs w:val="20"/>
              </w:rPr>
              <w:t>VO</w:t>
            </w:r>
          </w:p>
        </w:tc>
        <w:tc>
          <w:tcPr>
            <w:tcW w:w="1377" w:type="pct"/>
            <w:vAlign w:val="center"/>
          </w:tcPr>
          <w:p w14:paraId="565B11C5" w14:textId="3F1D7B58" w:rsidR="000C52F4" w:rsidRPr="0068339F" w:rsidRDefault="000C52F4" w:rsidP="00A305B0">
            <w:pPr>
              <w:rPr>
                <w:sz w:val="20"/>
                <w:szCs w:val="20"/>
              </w:rPr>
            </w:pPr>
            <w:r w:rsidRPr="0068339F">
              <w:rPr>
                <w:sz w:val="20"/>
                <w:szCs w:val="20"/>
              </w:rPr>
              <w:t>verejné obstarávanie</w:t>
            </w:r>
          </w:p>
        </w:tc>
      </w:tr>
      <w:tr w:rsidR="000C52F4" w:rsidRPr="0068339F" w14:paraId="11E1A4E6" w14:textId="77777777" w:rsidTr="00A305B0">
        <w:trPr>
          <w:trHeight w:val="20"/>
          <w:jc w:val="center"/>
        </w:trPr>
        <w:tc>
          <w:tcPr>
            <w:tcW w:w="587" w:type="pct"/>
            <w:shd w:val="clear" w:color="auto" w:fill="auto"/>
            <w:vAlign w:val="center"/>
          </w:tcPr>
          <w:p w14:paraId="7E79C2FD" w14:textId="0FF2B401" w:rsidR="000C52F4" w:rsidRPr="0068339F" w:rsidRDefault="000C52F4" w:rsidP="00A305B0">
            <w:pPr>
              <w:rPr>
                <w:color w:val="0070C0"/>
                <w:sz w:val="20"/>
                <w:szCs w:val="20"/>
              </w:rPr>
            </w:pPr>
            <w:r w:rsidRPr="0068339F">
              <w:rPr>
                <w:color w:val="0070C0"/>
                <w:sz w:val="20"/>
                <w:szCs w:val="20"/>
              </w:rPr>
              <w:t>MŠVVaŠ SR</w:t>
            </w:r>
          </w:p>
        </w:tc>
        <w:tc>
          <w:tcPr>
            <w:tcW w:w="1682" w:type="pct"/>
            <w:shd w:val="clear" w:color="auto" w:fill="auto"/>
            <w:vAlign w:val="center"/>
          </w:tcPr>
          <w:p w14:paraId="203A652A" w14:textId="58392A80" w:rsidR="000C52F4" w:rsidRPr="0068339F" w:rsidRDefault="000C52F4" w:rsidP="00A305B0">
            <w:pPr>
              <w:rPr>
                <w:sz w:val="20"/>
                <w:szCs w:val="20"/>
              </w:rPr>
            </w:pPr>
            <w:r w:rsidRPr="0068339F">
              <w:rPr>
                <w:sz w:val="20"/>
                <w:szCs w:val="20"/>
              </w:rPr>
              <w:t>Ministerstvo školstva, vedy, výskumu a športu SR</w:t>
            </w:r>
          </w:p>
        </w:tc>
        <w:tc>
          <w:tcPr>
            <w:tcW w:w="1355" w:type="pct"/>
            <w:vAlign w:val="center"/>
          </w:tcPr>
          <w:p w14:paraId="7B47BC78" w14:textId="669B5E00" w:rsidR="000C52F4" w:rsidRPr="0068339F" w:rsidRDefault="000C52F4" w:rsidP="00A305B0">
            <w:pPr>
              <w:rPr>
                <w:color w:val="0070C0"/>
                <w:sz w:val="20"/>
                <w:szCs w:val="20"/>
              </w:rPr>
            </w:pPr>
            <w:r w:rsidRPr="0068339F">
              <w:rPr>
                <w:color w:val="0070C0"/>
                <w:sz w:val="20"/>
                <w:szCs w:val="20"/>
              </w:rPr>
              <w:t>VPS</w:t>
            </w:r>
          </w:p>
        </w:tc>
        <w:tc>
          <w:tcPr>
            <w:tcW w:w="1377" w:type="pct"/>
            <w:vAlign w:val="center"/>
          </w:tcPr>
          <w:p w14:paraId="0A163AFD" w14:textId="40A3E7EB" w:rsidR="000C52F4" w:rsidRPr="0068339F" w:rsidRDefault="000C52F4" w:rsidP="00A305B0">
            <w:pPr>
              <w:rPr>
                <w:sz w:val="20"/>
                <w:szCs w:val="20"/>
              </w:rPr>
            </w:pPr>
            <w:r w:rsidRPr="0068339F">
              <w:rPr>
                <w:sz w:val="20"/>
                <w:szCs w:val="20"/>
              </w:rPr>
              <w:t>Všeobecná pokladničná správa</w:t>
            </w:r>
          </w:p>
        </w:tc>
      </w:tr>
      <w:tr w:rsidR="000C52F4" w:rsidRPr="0068339F" w14:paraId="687570C1" w14:textId="77777777" w:rsidTr="00A305B0">
        <w:trPr>
          <w:trHeight w:val="283"/>
          <w:jc w:val="center"/>
        </w:trPr>
        <w:tc>
          <w:tcPr>
            <w:tcW w:w="587" w:type="pct"/>
            <w:shd w:val="clear" w:color="auto" w:fill="auto"/>
            <w:vAlign w:val="center"/>
          </w:tcPr>
          <w:p w14:paraId="187FCCBF" w14:textId="067D3586" w:rsidR="000C52F4" w:rsidRPr="0068339F" w:rsidRDefault="000C52F4" w:rsidP="00A305B0">
            <w:pPr>
              <w:rPr>
                <w:color w:val="0070C0"/>
                <w:sz w:val="20"/>
                <w:szCs w:val="20"/>
              </w:rPr>
            </w:pPr>
            <w:r>
              <w:rPr>
                <w:color w:val="0070C0"/>
                <w:sz w:val="20"/>
                <w:szCs w:val="20"/>
              </w:rPr>
              <w:t>MTO</w:t>
            </w:r>
          </w:p>
        </w:tc>
        <w:tc>
          <w:tcPr>
            <w:tcW w:w="1682" w:type="pct"/>
            <w:shd w:val="clear" w:color="auto" w:fill="auto"/>
            <w:vAlign w:val="center"/>
          </w:tcPr>
          <w:p w14:paraId="79DE6FE9" w14:textId="647A7377" w:rsidR="000C52F4" w:rsidRPr="0068339F" w:rsidRDefault="000C52F4" w:rsidP="00A305B0">
            <w:pPr>
              <w:rPr>
                <w:sz w:val="20"/>
                <w:szCs w:val="20"/>
              </w:rPr>
            </w:pPr>
            <w:r>
              <w:rPr>
                <w:sz w:val="20"/>
                <w:szCs w:val="20"/>
              </w:rPr>
              <w:t>strednodobý rozpočtový cieľ</w:t>
            </w:r>
          </w:p>
        </w:tc>
        <w:tc>
          <w:tcPr>
            <w:tcW w:w="1355" w:type="pct"/>
            <w:vAlign w:val="center"/>
          </w:tcPr>
          <w:p w14:paraId="65782425" w14:textId="3B745C76" w:rsidR="000C52F4" w:rsidRPr="0068339F" w:rsidRDefault="000C52F4" w:rsidP="00A305B0">
            <w:pPr>
              <w:rPr>
                <w:sz w:val="20"/>
                <w:szCs w:val="20"/>
              </w:rPr>
            </w:pPr>
            <w:r w:rsidRPr="0068339F">
              <w:rPr>
                <w:color w:val="0070C0"/>
                <w:sz w:val="20"/>
                <w:szCs w:val="20"/>
              </w:rPr>
              <w:t>VÚC</w:t>
            </w:r>
          </w:p>
        </w:tc>
        <w:tc>
          <w:tcPr>
            <w:tcW w:w="1377" w:type="pct"/>
            <w:vAlign w:val="center"/>
          </w:tcPr>
          <w:p w14:paraId="4D0F8BDD" w14:textId="34143F54" w:rsidR="000C52F4" w:rsidRPr="0068339F" w:rsidRDefault="000C52F4" w:rsidP="00A305B0">
            <w:pPr>
              <w:rPr>
                <w:sz w:val="20"/>
                <w:szCs w:val="20"/>
              </w:rPr>
            </w:pPr>
            <w:r w:rsidRPr="0068339F">
              <w:rPr>
                <w:sz w:val="20"/>
                <w:szCs w:val="20"/>
              </w:rPr>
              <w:t>vyšší územný celok</w:t>
            </w:r>
          </w:p>
        </w:tc>
      </w:tr>
      <w:tr w:rsidR="000C52F4" w:rsidRPr="0068339F" w14:paraId="63656673" w14:textId="77777777" w:rsidTr="00A305B0">
        <w:trPr>
          <w:trHeight w:val="283"/>
          <w:jc w:val="center"/>
        </w:trPr>
        <w:tc>
          <w:tcPr>
            <w:tcW w:w="587" w:type="pct"/>
            <w:shd w:val="clear" w:color="auto" w:fill="auto"/>
            <w:vAlign w:val="center"/>
          </w:tcPr>
          <w:p w14:paraId="7C738349" w14:textId="1BF259F0" w:rsidR="000C52F4" w:rsidRPr="0068339F" w:rsidRDefault="000C52F4" w:rsidP="00A305B0">
            <w:pPr>
              <w:rPr>
                <w:color w:val="0070C0"/>
                <w:sz w:val="20"/>
                <w:szCs w:val="20"/>
              </w:rPr>
            </w:pPr>
            <w:r w:rsidRPr="0068339F">
              <w:rPr>
                <w:color w:val="0070C0"/>
                <w:sz w:val="20"/>
                <w:szCs w:val="20"/>
              </w:rPr>
              <w:t>MZ SR</w:t>
            </w:r>
          </w:p>
        </w:tc>
        <w:tc>
          <w:tcPr>
            <w:tcW w:w="1682" w:type="pct"/>
            <w:shd w:val="clear" w:color="auto" w:fill="auto"/>
            <w:vAlign w:val="center"/>
          </w:tcPr>
          <w:p w14:paraId="76808C4A" w14:textId="79B3A6ED" w:rsidR="000C52F4" w:rsidRPr="0068339F" w:rsidRDefault="000C52F4" w:rsidP="00A305B0">
            <w:pPr>
              <w:rPr>
                <w:sz w:val="20"/>
                <w:szCs w:val="20"/>
              </w:rPr>
            </w:pPr>
            <w:r w:rsidRPr="0068339F">
              <w:rPr>
                <w:sz w:val="20"/>
                <w:szCs w:val="20"/>
              </w:rPr>
              <w:t>Ministerstvo zdravotníctva SR</w:t>
            </w:r>
          </w:p>
        </w:tc>
        <w:tc>
          <w:tcPr>
            <w:tcW w:w="1355" w:type="pct"/>
            <w:vAlign w:val="center"/>
          </w:tcPr>
          <w:p w14:paraId="3C92EDFE" w14:textId="1035A92F" w:rsidR="000C52F4" w:rsidRPr="0068339F" w:rsidRDefault="000C52F4" w:rsidP="00A305B0">
            <w:pPr>
              <w:rPr>
                <w:color w:val="0070C0"/>
                <w:sz w:val="20"/>
                <w:szCs w:val="20"/>
              </w:rPr>
            </w:pPr>
            <w:r w:rsidRPr="0068339F">
              <w:rPr>
                <w:color w:val="0070C0"/>
                <w:sz w:val="20"/>
                <w:szCs w:val="20"/>
              </w:rPr>
              <w:t>VS</w:t>
            </w:r>
          </w:p>
        </w:tc>
        <w:tc>
          <w:tcPr>
            <w:tcW w:w="1377" w:type="pct"/>
            <w:vAlign w:val="center"/>
          </w:tcPr>
          <w:p w14:paraId="6BC0ED88" w14:textId="4F545F4A" w:rsidR="000C52F4" w:rsidRPr="0068339F" w:rsidRDefault="000C52F4" w:rsidP="00A305B0">
            <w:pPr>
              <w:rPr>
                <w:sz w:val="20"/>
                <w:szCs w:val="20"/>
              </w:rPr>
            </w:pPr>
            <w:r w:rsidRPr="0068339F">
              <w:rPr>
                <w:sz w:val="20"/>
                <w:szCs w:val="20"/>
              </w:rPr>
              <w:t>verejná správa</w:t>
            </w:r>
          </w:p>
        </w:tc>
      </w:tr>
      <w:tr w:rsidR="000C52F4" w:rsidRPr="0068339F" w14:paraId="54314834" w14:textId="77777777" w:rsidTr="00A305B0">
        <w:trPr>
          <w:trHeight w:val="283"/>
          <w:jc w:val="center"/>
        </w:trPr>
        <w:tc>
          <w:tcPr>
            <w:tcW w:w="587" w:type="pct"/>
            <w:shd w:val="clear" w:color="auto" w:fill="auto"/>
            <w:vAlign w:val="center"/>
          </w:tcPr>
          <w:p w14:paraId="44184748" w14:textId="378735C2" w:rsidR="000C52F4" w:rsidRPr="0068339F" w:rsidRDefault="000C52F4" w:rsidP="00A305B0">
            <w:pPr>
              <w:rPr>
                <w:color w:val="0070C0"/>
                <w:sz w:val="20"/>
                <w:szCs w:val="20"/>
              </w:rPr>
            </w:pPr>
            <w:r w:rsidRPr="0068339F">
              <w:rPr>
                <w:color w:val="0070C0"/>
                <w:sz w:val="20"/>
                <w:szCs w:val="20"/>
              </w:rPr>
              <w:t>MŽP SR</w:t>
            </w:r>
          </w:p>
        </w:tc>
        <w:tc>
          <w:tcPr>
            <w:tcW w:w="1682" w:type="pct"/>
            <w:shd w:val="clear" w:color="auto" w:fill="auto"/>
            <w:vAlign w:val="center"/>
          </w:tcPr>
          <w:p w14:paraId="72737882" w14:textId="25B9EFB9" w:rsidR="000C52F4" w:rsidRPr="0068339F" w:rsidRDefault="000C52F4" w:rsidP="00A305B0">
            <w:pPr>
              <w:rPr>
                <w:sz w:val="20"/>
                <w:szCs w:val="20"/>
              </w:rPr>
            </w:pPr>
            <w:r w:rsidRPr="0068339F">
              <w:rPr>
                <w:sz w:val="20"/>
                <w:szCs w:val="20"/>
              </w:rPr>
              <w:t>Ministerstvo životného prostredia SR</w:t>
            </w:r>
          </w:p>
        </w:tc>
        <w:tc>
          <w:tcPr>
            <w:tcW w:w="1355" w:type="pct"/>
            <w:vAlign w:val="center"/>
          </w:tcPr>
          <w:p w14:paraId="52E30DE2" w14:textId="75E4C5FA" w:rsidR="000C52F4" w:rsidRPr="0068339F" w:rsidRDefault="000C52F4" w:rsidP="00A305B0">
            <w:pPr>
              <w:rPr>
                <w:color w:val="0070C0"/>
                <w:sz w:val="20"/>
                <w:szCs w:val="20"/>
              </w:rPr>
            </w:pPr>
            <w:r w:rsidRPr="0068339F">
              <w:rPr>
                <w:color w:val="0070C0"/>
                <w:sz w:val="20"/>
                <w:szCs w:val="20"/>
              </w:rPr>
              <w:t>VZP</w:t>
            </w:r>
          </w:p>
        </w:tc>
        <w:tc>
          <w:tcPr>
            <w:tcW w:w="1377" w:type="pct"/>
            <w:vAlign w:val="center"/>
          </w:tcPr>
          <w:p w14:paraId="6B987E47" w14:textId="6BBD98AF" w:rsidR="000C52F4" w:rsidRPr="0068339F" w:rsidRDefault="000C52F4" w:rsidP="00A305B0">
            <w:pPr>
              <w:rPr>
                <w:sz w:val="20"/>
                <w:szCs w:val="20"/>
              </w:rPr>
            </w:pPr>
            <w:r w:rsidRPr="0068339F">
              <w:rPr>
                <w:sz w:val="20"/>
                <w:szCs w:val="20"/>
              </w:rPr>
              <w:t>verejné zdravotné poistenie</w:t>
            </w:r>
          </w:p>
        </w:tc>
      </w:tr>
      <w:tr w:rsidR="000C52F4" w:rsidRPr="0068339F" w14:paraId="01194880" w14:textId="77777777" w:rsidTr="00A305B0">
        <w:trPr>
          <w:trHeight w:val="20"/>
          <w:jc w:val="center"/>
        </w:trPr>
        <w:tc>
          <w:tcPr>
            <w:tcW w:w="587" w:type="pct"/>
            <w:shd w:val="clear" w:color="auto" w:fill="auto"/>
            <w:vAlign w:val="center"/>
          </w:tcPr>
          <w:p w14:paraId="060218D7" w14:textId="3394F177" w:rsidR="000C52F4" w:rsidRPr="0068339F" w:rsidRDefault="000C52F4" w:rsidP="00A305B0">
            <w:pPr>
              <w:rPr>
                <w:color w:val="0070C0"/>
                <w:sz w:val="20"/>
                <w:szCs w:val="20"/>
              </w:rPr>
            </w:pPr>
            <w:r w:rsidRPr="0068339F">
              <w:rPr>
                <w:color w:val="0070C0"/>
                <w:sz w:val="20"/>
                <w:szCs w:val="20"/>
              </w:rPr>
              <w:t>NCZI</w:t>
            </w:r>
          </w:p>
        </w:tc>
        <w:tc>
          <w:tcPr>
            <w:tcW w:w="1682" w:type="pct"/>
            <w:shd w:val="clear" w:color="auto" w:fill="auto"/>
            <w:vAlign w:val="center"/>
          </w:tcPr>
          <w:p w14:paraId="197F92F3" w14:textId="452D7151" w:rsidR="000C52F4" w:rsidRPr="0068339F" w:rsidRDefault="000C52F4" w:rsidP="00A305B0">
            <w:pPr>
              <w:rPr>
                <w:sz w:val="20"/>
                <w:szCs w:val="20"/>
              </w:rPr>
            </w:pPr>
            <w:r w:rsidRPr="0068339F">
              <w:rPr>
                <w:sz w:val="20"/>
                <w:szCs w:val="20"/>
              </w:rPr>
              <w:t>Národné centrum zdravotníckych informácií</w:t>
            </w:r>
          </w:p>
        </w:tc>
        <w:tc>
          <w:tcPr>
            <w:tcW w:w="1355" w:type="pct"/>
            <w:vAlign w:val="center"/>
          </w:tcPr>
          <w:p w14:paraId="4E353983" w14:textId="3F18091D" w:rsidR="000C52F4" w:rsidRPr="0068339F" w:rsidRDefault="000C52F4" w:rsidP="00A305B0">
            <w:pPr>
              <w:rPr>
                <w:color w:val="0070C0"/>
                <w:sz w:val="20"/>
                <w:szCs w:val="20"/>
              </w:rPr>
            </w:pPr>
            <w:r w:rsidRPr="0068339F">
              <w:rPr>
                <w:color w:val="0070C0"/>
                <w:sz w:val="20"/>
                <w:szCs w:val="20"/>
              </w:rPr>
              <w:t>ZSSK</w:t>
            </w:r>
          </w:p>
        </w:tc>
        <w:tc>
          <w:tcPr>
            <w:tcW w:w="1377" w:type="pct"/>
            <w:vAlign w:val="center"/>
          </w:tcPr>
          <w:p w14:paraId="6AEC2A22" w14:textId="7C841878" w:rsidR="000C52F4" w:rsidRPr="0068339F" w:rsidRDefault="000C52F4" w:rsidP="00A305B0">
            <w:pPr>
              <w:rPr>
                <w:sz w:val="20"/>
                <w:szCs w:val="20"/>
              </w:rPr>
            </w:pPr>
            <w:r w:rsidRPr="0068339F">
              <w:rPr>
                <w:sz w:val="20"/>
                <w:szCs w:val="20"/>
              </w:rPr>
              <w:t>Železničná spoločnosť Slovensko, a. s.</w:t>
            </w:r>
          </w:p>
        </w:tc>
      </w:tr>
      <w:tr w:rsidR="000C52F4" w:rsidRPr="0068339F" w14:paraId="5A8EF392" w14:textId="77777777" w:rsidTr="00A305B0">
        <w:trPr>
          <w:trHeight w:val="283"/>
          <w:jc w:val="center"/>
        </w:trPr>
        <w:tc>
          <w:tcPr>
            <w:tcW w:w="587" w:type="pct"/>
            <w:shd w:val="clear" w:color="auto" w:fill="auto"/>
            <w:vAlign w:val="center"/>
          </w:tcPr>
          <w:p w14:paraId="01ABC7A3" w14:textId="13EB5311" w:rsidR="000C52F4" w:rsidRPr="0068339F" w:rsidRDefault="00193D6C" w:rsidP="00A305B0">
            <w:pPr>
              <w:rPr>
                <w:color w:val="0070C0"/>
                <w:sz w:val="20"/>
                <w:szCs w:val="20"/>
              </w:rPr>
            </w:pPr>
            <w:r>
              <w:rPr>
                <w:color w:val="0070C0"/>
                <w:sz w:val="20"/>
                <w:szCs w:val="20"/>
              </w:rPr>
              <w:t>NDS</w:t>
            </w:r>
          </w:p>
        </w:tc>
        <w:tc>
          <w:tcPr>
            <w:tcW w:w="1682" w:type="pct"/>
            <w:shd w:val="clear" w:color="auto" w:fill="auto"/>
            <w:vAlign w:val="center"/>
          </w:tcPr>
          <w:p w14:paraId="36167C67" w14:textId="744841C4" w:rsidR="000C52F4" w:rsidRPr="0068339F" w:rsidRDefault="000C52F4" w:rsidP="00A305B0">
            <w:pPr>
              <w:rPr>
                <w:sz w:val="20"/>
                <w:szCs w:val="20"/>
              </w:rPr>
            </w:pPr>
            <w:r w:rsidRPr="0068339F">
              <w:rPr>
                <w:sz w:val="20"/>
                <w:szCs w:val="20"/>
              </w:rPr>
              <w:t xml:space="preserve">Národná diaľničná spoločnosť, a. s. </w:t>
            </w:r>
          </w:p>
        </w:tc>
        <w:tc>
          <w:tcPr>
            <w:tcW w:w="1355" w:type="pct"/>
            <w:vAlign w:val="center"/>
          </w:tcPr>
          <w:p w14:paraId="17AF3A23" w14:textId="3CAAF27C" w:rsidR="000C52F4" w:rsidRPr="0068339F" w:rsidRDefault="000C52F4" w:rsidP="00A305B0">
            <w:pPr>
              <w:rPr>
                <w:color w:val="0070C0"/>
                <w:sz w:val="20"/>
                <w:szCs w:val="20"/>
              </w:rPr>
            </w:pPr>
            <w:r w:rsidRPr="0068339F">
              <w:rPr>
                <w:color w:val="0070C0"/>
                <w:sz w:val="20"/>
                <w:szCs w:val="20"/>
              </w:rPr>
              <w:t>ZŠ</w:t>
            </w:r>
          </w:p>
        </w:tc>
        <w:tc>
          <w:tcPr>
            <w:tcW w:w="1377" w:type="pct"/>
            <w:vAlign w:val="center"/>
          </w:tcPr>
          <w:p w14:paraId="38561C78" w14:textId="04A1D036" w:rsidR="000C52F4" w:rsidRPr="0068339F" w:rsidRDefault="000C52F4" w:rsidP="00A305B0">
            <w:pPr>
              <w:rPr>
                <w:sz w:val="20"/>
                <w:szCs w:val="20"/>
              </w:rPr>
            </w:pPr>
            <w:r w:rsidRPr="0068339F">
              <w:rPr>
                <w:sz w:val="20"/>
                <w:szCs w:val="20"/>
              </w:rPr>
              <w:t>základná škola</w:t>
            </w:r>
          </w:p>
        </w:tc>
      </w:tr>
      <w:tr w:rsidR="000C52F4" w:rsidRPr="0068339F" w14:paraId="0F597314" w14:textId="77777777" w:rsidTr="00A305B0">
        <w:trPr>
          <w:trHeight w:val="283"/>
          <w:jc w:val="center"/>
        </w:trPr>
        <w:tc>
          <w:tcPr>
            <w:tcW w:w="587" w:type="pct"/>
            <w:shd w:val="clear" w:color="auto" w:fill="auto"/>
            <w:vAlign w:val="center"/>
          </w:tcPr>
          <w:p w14:paraId="392308EC" w14:textId="6336E2DC" w:rsidR="000C52F4" w:rsidRPr="0068339F" w:rsidRDefault="000C52F4" w:rsidP="00A305B0">
            <w:pPr>
              <w:rPr>
                <w:color w:val="0070C0"/>
                <w:sz w:val="20"/>
                <w:szCs w:val="20"/>
              </w:rPr>
            </w:pPr>
            <w:r w:rsidRPr="0068339F">
              <w:rPr>
                <w:color w:val="0070C0"/>
                <w:sz w:val="20"/>
                <w:szCs w:val="20"/>
              </w:rPr>
              <w:t>NKÚ SR</w:t>
            </w:r>
          </w:p>
        </w:tc>
        <w:tc>
          <w:tcPr>
            <w:tcW w:w="1682" w:type="pct"/>
            <w:shd w:val="clear" w:color="auto" w:fill="auto"/>
            <w:vAlign w:val="center"/>
          </w:tcPr>
          <w:p w14:paraId="101A1A42" w14:textId="5392294F" w:rsidR="000C52F4" w:rsidRPr="0068339F" w:rsidRDefault="000C52F4" w:rsidP="00A305B0">
            <w:pPr>
              <w:rPr>
                <w:sz w:val="20"/>
                <w:szCs w:val="20"/>
              </w:rPr>
            </w:pPr>
            <w:r w:rsidRPr="0068339F">
              <w:rPr>
                <w:sz w:val="20"/>
                <w:szCs w:val="20"/>
              </w:rPr>
              <w:t>Najvyšší kontrolný úrad SR</w:t>
            </w:r>
          </w:p>
        </w:tc>
        <w:tc>
          <w:tcPr>
            <w:tcW w:w="1355" w:type="pct"/>
            <w:vAlign w:val="center"/>
          </w:tcPr>
          <w:p w14:paraId="546E0541" w14:textId="4FAD4CCA" w:rsidR="000C52F4" w:rsidRPr="0068339F" w:rsidRDefault="000C52F4" w:rsidP="00A305B0">
            <w:pPr>
              <w:rPr>
                <w:color w:val="0070C0"/>
                <w:sz w:val="20"/>
                <w:szCs w:val="20"/>
              </w:rPr>
            </w:pPr>
            <w:r w:rsidRPr="0068339F">
              <w:rPr>
                <w:color w:val="0070C0"/>
                <w:sz w:val="20"/>
                <w:szCs w:val="20"/>
              </w:rPr>
              <w:t>ŽSR</w:t>
            </w:r>
          </w:p>
        </w:tc>
        <w:tc>
          <w:tcPr>
            <w:tcW w:w="1377" w:type="pct"/>
            <w:vAlign w:val="center"/>
          </w:tcPr>
          <w:p w14:paraId="1BCC800F" w14:textId="151BC4A8" w:rsidR="000C52F4" w:rsidRPr="0068339F" w:rsidRDefault="000C52F4" w:rsidP="00A305B0">
            <w:pPr>
              <w:rPr>
                <w:sz w:val="20"/>
                <w:szCs w:val="20"/>
              </w:rPr>
            </w:pPr>
            <w:r w:rsidRPr="0068339F">
              <w:rPr>
                <w:sz w:val="20"/>
                <w:szCs w:val="20"/>
              </w:rPr>
              <w:t>Železnice SR</w:t>
            </w:r>
          </w:p>
        </w:tc>
      </w:tr>
      <w:tr w:rsidR="000C52F4" w:rsidRPr="0068339F" w14:paraId="0CBA561F" w14:textId="77777777" w:rsidTr="00A305B0">
        <w:trPr>
          <w:trHeight w:val="283"/>
          <w:jc w:val="center"/>
        </w:trPr>
        <w:tc>
          <w:tcPr>
            <w:tcW w:w="587" w:type="pct"/>
            <w:shd w:val="clear" w:color="auto" w:fill="auto"/>
            <w:vAlign w:val="center"/>
          </w:tcPr>
          <w:p w14:paraId="75A07F82" w14:textId="3BA230E6" w:rsidR="000C52F4" w:rsidRPr="0068339F" w:rsidRDefault="000C52F4" w:rsidP="00A305B0">
            <w:pPr>
              <w:rPr>
                <w:color w:val="0070C0"/>
                <w:sz w:val="20"/>
                <w:szCs w:val="20"/>
              </w:rPr>
            </w:pPr>
            <w:r w:rsidRPr="0068339F">
              <w:rPr>
                <w:color w:val="0070C0"/>
                <w:sz w:val="20"/>
                <w:szCs w:val="20"/>
              </w:rPr>
              <w:t>NPC</w:t>
            </w:r>
          </w:p>
        </w:tc>
        <w:tc>
          <w:tcPr>
            <w:tcW w:w="1682" w:type="pct"/>
            <w:shd w:val="clear" w:color="auto" w:fill="auto"/>
            <w:vAlign w:val="center"/>
          </w:tcPr>
          <w:p w14:paraId="294895BD" w14:textId="5FCF803C" w:rsidR="000C52F4" w:rsidRPr="0068339F" w:rsidRDefault="000C52F4" w:rsidP="00A305B0">
            <w:pPr>
              <w:rPr>
                <w:sz w:val="20"/>
                <w:szCs w:val="20"/>
              </w:rPr>
            </w:pPr>
            <w:r w:rsidRPr="0068339F">
              <w:rPr>
                <w:sz w:val="20"/>
                <w:szCs w:val="20"/>
              </w:rPr>
              <w:t>Scenár nezmenených politík</w:t>
            </w:r>
          </w:p>
        </w:tc>
        <w:tc>
          <w:tcPr>
            <w:tcW w:w="1355" w:type="pct"/>
            <w:vAlign w:val="center"/>
          </w:tcPr>
          <w:p w14:paraId="60A542B5" w14:textId="67F3B641" w:rsidR="000C52F4" w:rsidRPr="0068339F" w:rsidRDefault="000C52F4" w:rsidP="00A305B0">
            <w:pPr>
              <w:rPr>
                <w:color w:val="0070C0"/>
                <w:sz w:val="20"/>
                <w:szCs w:val="20"/>
              </w:rPr>
            </w:pPr>
            <w:r w:rsidRPr="0068339F">
              <w:rPr>
                <w:color w:val="0070C0"/>
                <w:sz w:val="20"/>
                <w:szCs w:val="20"/>
              </w:rPr>
              <w:t>ZÚ</w:t>
            </w:r>
          </w:p>
        </w:tc>
        <w:tc>
          <w:tcPr>
            <w:tcW w:w="1377" w:type="pct"/>
            <w:vAlign w:val="center"/>
          </w:tcPr>
          <w:p w14:paraId="3EFD0BCC" w14:textId="2765BBE9" w:rsidR="000C52F4" w:rsidRPr="0068339F" w:rsidRDefault="000C52F4" w:rsidP="00A305B0">
            <w:pPr>
              <w:rPr>
                <w:sz w:val="20"/>
                <w:szCs w:val="20"/>
              </w:rPr>
            </w:pPr>
            <w:r w:rsidRPr="0068339F">
              <w:rPr>
                <w:sz w:val="20"/>
                <w:szCs w:val="20"/>
              </w:rPr>
              <w:t>záverečný účet</w:t>
            </w:r>
          </w:p>
        </w:tc>
      </w:tr>
    </w:tbl>
    <w:p w14:paraId="7AA75E33" w14:textId="46FA6256" w:rsidR="000C52F4" w:rsidRPr="000C52F4" w:rsidRDefault="000C52F4" w:rsidP="000C52F4"/>
    <w:p w14:paraId="528EC7D4" w14:textId="198DD083" w:rsidR="00AC4666" w:rsidRDefault="006A28DA" w:rsidP="0002327B">
      <w:pPr>
        <w:pStyle w:val="Nadpis1"/>
      </w:pPr>
      <w:bookmarkStart w:id="9" w:name="_Toc43218060"/>
      <w:r w:rsidRPr="006A28DA">
        <w:lastRenderedPageBreak/>
        <w:t>Zhrnutie</w:t>
      </w:r>
      <w:bookmarkEnd w:id="4"/>
      <w:bookmarkEnd w:id="8"/>
      <w:bookmarkEnd w:id="9"/>
    </w:p>
    <w:p w14:paraId="5AB30C5F" w14:textId="1548F162" w:rsidR="001B633C" w:rsidRPr="004C0F6D" w:rsidRDefault="001B633C" w:rsidP="00F958A4">
      <w:pPr>
        <w:spacing w:after="120"/>
        <w:jc w:val="both"/>
        <w:rPr>
          <w:rFonts w:eastAsia="Calibri" w:cs="Times New Roman"/>
        </w:rPr>
      </w:pPr>
      <w:r w:rsidRPr="004C0F6D">
        <w:rPr>
          <w:rFonts w:eastAsia="Calibri" w:cs="Times New Roman"/>
        </w:rPr>
        <w:t>Stanovisko NK</w:t>
      </w:r>
      <w:r>
        <w:rPr>
          <w:rFonts w:eastAsia="Calibri" w:cs="Times New Roman"/>
        </w:rPr>
        <w:t>Ú SR k návrhu ŠZÚ SR za rok 2019</w:t>
      </w:r>
      <w:r w:rsidRPr="004C0F6D">
        <w:rPr>
          <w:rFonts w:eastAsia="Calibri" w:cs="Times New Roman"/>
        </w:rPr>
        <w:t xml:space="preserve"> je vypracované v súlade s ustanovením § 5 ods. 1 zákona o NKÚ SR a vychádza z kontr</w:t>
      </w:r>
      <w:r>
        <w:rPr>
          <w:rFonts w:eastAsia="Calibri" w:cs="Times New Roman"/>
        </w:rPr>
        <w:t>ol vykonaných NKÚ SR v rok</w:t>
      </w:r>
      <w:r w:rsidR="00723069">
        <w:rPr>
          <w:rFonts w:eastAsia="Calibri" w:cs="Times New Roman"/>
        </w:rPr>
        <w:t>och</w:t>
      </w:r>
      <w:r>
        <w:rPr>
          <w:rFonts w:eastAsia="Calibri" w:cs="Times New Roman"/>
        </w:rPr>
        <w:t xml:space="preserve"> 2019</w:t>
      </w:r>
      <w:r w:rsidRPr="004C0F6D">
        <w:rPr>
          <w:rFonts w:eastAsia="Calibri" w:cs="Times New Roman"/>
        </w:rPr>
        <w:t xml:space="preserve"> </w:t>
      </w:r>
      <w:r w:rsidR="001365CE">
        <w:rPr>
          <w:rFonts w:eastAsia="Calibri" w:cs="Times New Roman"/>
        </w:rPr>
        <w:t xml:space="preserve">a 2020 </w:t>
      </w:r>
      <w:r w:rsidRPr="004C0F6D">
        <w:rPr>
          <w:rFonts w:eastAsia="Calibri" w:cs="Times New Roman"/>
        </w:rPr>
        <w:t>v kapitolách štátneho rozpočtu a v ostatných subjektoch VS. NKÚ SR na základe</w:t>
      </w:r>
      <w:r w:rsidR="0019674E">
        <w:rPr>
          <w:rFonts w:eastAsia="Calibri" w:cs="Times New Roman"/>
        </w:rPr>
        <w:t xml:space="preserve"> </w:t>
      </w:r>
      <w:r w:rsidRPr="004C0F6D">
        <w:rPr>
          <w:rFonts w:eastAsia="Calibri" w:cs="Times New Roman"/>
        </w:rPr>
        <w:t xml:space="preserve">výsledkov kontrol </w:t>
      </w:r>
      <w:r w:rsidR="00E2359C">
        <w:rPr>
          <w:rFonts w:eastAsia="Calibri" w:cs="Times New Roman"/>
        </w:rPr>
        <w:t xml:space="preserve">a </w:t>
      </w:r>
      <w:r w:rsidR="00222E0C">
        <w:rPr>
          <w:rFonts w:eastAsia="Calibri" w:cs="Times New Roman"/>
        </w:rPr>
        <w:t xml:space="preserve">analytickej činnosti </w:t>
      </w:r>
      <w:r w:rsidRPr="004C0F6D">
        <w:rPr>
          <w:rFonts w:eastAsia="Calibri" w:cs="Times New Roman"/>
        </w:rPr>
        <w:t>dospel k týmto záverom</w:t>
      </w:r>
      <w:r w:rsidR="00011E79">
        <w:rPr>
          <w:rFonts w:eastAsia="Calibri" w:cs="Times New Roman"/>
        </w:rPr>
        <w:t xml:space="preserve"> a odporúčaniam</w:t>
      </w:r>
      <w:r w:rsidRPr="004C0F6D">
        <w:rPr>
          <w:rFonts w:eastAsia="Calibri" w:cs="Times New Roman"/>
        </w:rPr>
        <w:t>.</w:t>
      </w:r>
    </w:p>
    <w:p w14:paraId="34482F70" w14:textId="42B086ED" w:rsidR="0042235A" w:rsidRPr="00075121" w:rsidRDefault="001B633C" w:rsidP="00AE1F64">
      <w:pPr>
        <w:spacing w:after="120"/>
        <w:jc w:val="both"/>
        <w:rPr>
          <w:rFonts w:eastAsia="Calibri" w:cs="Times New Roman"/>
          <w:b/>
        </w:rPr>
      </w:pPr>
      <w:r w:rsidRPr="004C0F6D">
        <w:rPr>
          <w:rFonts w:cs="TimesNewRomanPS-BoldMT"/>
          <w:bCs/>
        </w:rPr>
        <w:t>Schodok verejnej správy</w:t>
      </w:r>
      <w:r w:rsidRPr="004C0F6D">
        <w:rPr>
          <w:rFonts w:cs="TimesNewRomanPSMT"/>
        </w:rPr>
        <w:t xml:space="preserve"> S</w:t>
      </w:r>
      <w:r w:rsidR="001365CE">
        <w:rPr>
          <w:rFonts w:cs="TimesNewRomanPSMT"/>
        </w:rPr>
        <w:t>R</w:t>
      </w:r>
      <w:r w:rsidR="00654DA4">
        <w:rPr>
          <w:rFonts w:cs="TimesNewRomanPSMT"/>
        </w:rPr>
        <w:t>,</w:t>
      </w:r>
      <w:r w:rsidRPr="004C0F6D">
        <w:rPr>
          <w:rFonts w:cs="TimesNewRomanPSMT"/>
        </w:rPr>
        <w:t xml:space="preserve"> vykázaný v</w:t>
      </w:r>
      <w:r w:rsidR="009412D0">
        <w:rPr>
          <w:rFonts w:cs="TimesNewRomanPSMT"/>
        </w:rPr>
        <w:t> metodike ESA 2010 (</w:t>
      </w:r>
      <w:r w:rsidRPr="004C0F6D">
        <w:rPr>
          <w:rFonts w:cs="TimesNewRomanPSMT"/>
        </w:rPr>
        <w:t>jednotnej metodike pre členské krajiny</w:t>
      </w:r>
      <w:r>
        <w:rPr>
          <w:rFonts w:cs="TimesNewRomanPSMT"/>
        </w:rPr>
        <w:t xml:space="preserve"> EÚ)</w:t>
      </w:r>
      <w:r w:rsidR="00654DA4">
        <w:rPr>
          <w:rFonts w:cs="TimesNewRomanPSMT"/>
        </w:rPr>
        <w:t>,</w:t>
      </w:r>
      <w:r>
        <w:rPr>
          <w:rFonts w:cs="TimesNewRomanPSMT"/>
        </w:rPr>
        <w:t xml:space="preserve"> dosiahol v roku 2019</w:t>
      </w:r>
      <w:r w:rsidRPr="004C0F6D">
        <w:rPr>
          <w:rFonts w:cs="TimesNewRomanPSMT"/>
        </w:rPr>
        <w:t xml:space="preserve"> </w:t>
      </w:r>
      <w:r w:rsidR="00E2359C">
        <w:rPr>
          <w:rFonts w:eastAsia="Calibri" w:cs="Times New Roman"/>
        </w:rPr>
        <w:t xml:space="preserve">výšku </w:t>
      </w:r>
      <w:r w:rsidR="00E2359C" w:rsidRPr="004C0F6D">
        <w:rPr>
          <w:rFonts w:eastAsia="Calibri" w:cs="Times New Roman"/>
        </w:rPr>
        <w:t>1 220 mil. eur</w:t>
      </w:r>
      <w:r w:rsidR="00E2359C">
        <w:rPr>
          <w:rFonts w:eastAsia="Calibri" w:cs="Times New Roman"/>
        </w:rPr>
        <w:t>, čo predstavuje</w:t>
      </w:r>
      <w:r>
        <w:rPr>
          <w:rFonts w:cs="TimesNewRomanPSMT"/>
        </w:rPr>
        <w:t xml:space="preserve"> 1,3</w:t>
      </w:r>
      <w:r w:rsidRPr="004C0F6D">
        <w:rPr>
          <w:rFonts w:cs="TimesNewRomanPSMT"/>
        </w:rPr>
        <w:t xml:space="preserve"> % HDP</w:t>
      </w:r>
      <w:r w:rsidR="00E2359C">
        <w:rPr>
          <w:rFonts w:cs="TimesNewRomanPSMT"/>
        </w:rPr>
        <w:t>. Medziročne tak stúpol</w:t>
      </w:r>
      <w:r w:rsidRPr="004C0F6D">
        <w:rPr>
          <w:rFonts w:eastAsia="Calibri" w:cs="Times New Roman"/>
        </w:rPr>
        <w:t> o 9,6 %.</w:t>
      </w:r>
      <w:r w:rsidR="00E2359C">
        <w:rPr>
          <w:rFonts w:eastAsia="Calibri" w:cs="Times New Roman"/>
        </w:rPr>
        <w:t xml:space="preserve"> R</w:t>
      </w:r>
      <w:r w:rsidR="00E2359C">
        <w:rPr>
          <w:rFonts w:cs="TimesNewRomanPSMT"/>
        </w:rPr>
        <w:t xml:space="preserve">ozpočet pritom </w:t>
      </w:r>
      <w:r w:rsidR="00E2359C" w:rsidRPr="004C0F6D">
        <w:rPr>
          <w:rFonts w:eastAsia="Calibri" w:cs="Times New Roman"/>
        </w:rPr>
        <w:t>počítal s vyrovnaným hospodárením</w:t>
      </w:r>
      <w:r w:rsidR="00E2359C">
        <w:rPr>
          <w:rFonts w:eastAsia="Calibri" w:cs="Times New Roman"/>
        </w:rPr>
        <w:t>.</w:t>
      </w:r>
      <w:r w:rsidRPr="004C0F6D">
        <w:rPr>
          <w:rFonts w:eastAsia="Calibri" w:cs="Times New Roman"/>
        </w:rPr>
        <w:t xml:space="preserve"> </w:t>
      </w:r>
      <w:r w:rsidRPr="004C0F6D">
        <w:rPr>
          <w:rFonts w:eastAsia="Calibri" w:cs="Times New Roman"/>
          <w:b/>
        </w:rPr>
        <w:t>NKÚ SR konštatuje, že na základe predbežných výsledkov nebol hlavný cieľ rozpočt</w:t>
      </w:r>
      <w:r w:rsidR="0042235A">
        <w:rPr>
          <w:rFonts w:eastAsia="Calibri" w:cs="Times New Roman"/>
          <w:b/>
        </w:rPr>
        <w:t>u VS splnený.</w:t>
      </w:r>
      <w:r w:rsidR="00075121" w:rsidRPr="00075121">
        <w:t xml:space="preserve"> </w:t>
      </w:r>
      <w:r w:rsidR="00075121" w:rsidRPr="00075121">
        <w:rPr>
          <w:rFonts w:eastAsia="Calibri" w:cs="Times New Roman"/>
        </w:rPr>
        <w:t>Výsledky hospodárenia za rok 2019 ukazujú, že vláda neurobila dostatočné kroky k zlepšeniu hospodárenia, naopak, pr</w:t>
      </w:r>
      <w:r w:rsidR="00075121">
        <w:rPr>
          <w:rFonts w:eastAsia="Calibri" w:cs="Times New Roman"/>
        </w:rPr>
        <w:t>ispela k navýšeniu deficitu VS.</w:t>
      </w:r>
      <w:r w:rsidR="00075121" w:rsidRPr="00075121">
        <w:t xml:space="preserve"> </w:t>
      </w:r>
      <w:r w:rsidR="00075121" w:rsidRPr="00075121">
        <w:rPr>
          <w:b/>
        </w:rPr>
        <w:t>N</w:t>
      </w:r>
      <w:r w:rsidR="00075121" w:rsidRPr="00075121">
        <w:rPr>
          <w:rFonts w:eastAsia="Calibri" w:cs="Times New Roman"/>
          <w:b/>
        </w:rPr>
        <w:t xml:space="preserve">ajvýraznejšie sa na navýšení schodku </w:t>
      </w:r>
      <w:r w:rsidR="00D22F6F">
        <w:rPr>
          <w:rFonts w:eastAsia="Calibri" w:cs="Times New Roman"/>
          <w:b/>
        </w:rPr>
        <w:t>VS</w:t>
      </w:r>
      <w:r w:rsidR="00075121" w:rsidRPr="00075121">
        <w:rPr>
          <w:rFonts w:eastAsia="Calibri" w:cs="Times New Roman"/>
          <w:b/>
        </w:rPr>
        <w:t xml:space="preserve"> podieľal štátny rozpočet. K zvýšeniu schodku VS došlo aj vďaka zdravotníckym zariadeniam, obchodným spoločnostiam štátu, či ZSSK.</w:t>
      </w:r>
    </w:p>
    <w:p w14:paraId="5ABBA9C3" w14:textId="6F4FED6B" w:rsidR="007877F5" w:rsidRDefault="00AE1F64" w:rsidP="00B03642">
      <w:pPr>
        <w:spacing w:after="120"/>
        <w:jc w:val="both"/>
        <w:rPr>
          <w:rFonts w:eastAsia="Calibri" w:cs="Times New Roman"/>
        </w:rPr>
      </w:pPr>
      <w:r>
        <w:rPr>
          <w:rFonts w:eastAsia="Calibri" w:cs="Times New Roman"/>
        </w:rPr>
        <w:t>Tento výsledok hospodárenia bol dosiahnutý</w:t>
      </w:r>
      <w:r w:rsidR="00EB0DA4" w:rsidRPr="00EB0DA4">
        <w:rPr>
          <w:rFonts w:eastAsia="Calibri" w:cs="Times New Roman"/>
        </w:rPr>
        <w:t xml:space="preserve"> </w:t>
      </w:r>
      <w:r w:rsidR="00985DC5">
        <w:rPr>
          <w:rFonts w:eastAsia="Calibri" w:cs="Times New Roman"/>
        </w:rPr>
        <w:t>v podmienkach</w:t>
      </w:r>
      <w:r w:rsidR="00EB0DA4" w:rsidRPr="00EB0DA4">
        <w:rPr>
          <w:rFonts w:eastAsia="Calibri" w:cs="Times New Roman"/>
        </w:rPr>
        <w:t xml:space="preserve"> </w:t>
      </w:r>
      <w:r w:rsidR="00985DC5">
        <w:rPr>
          <w:rFonts w:eastAsia="Calibri" w:cs="Times New Roman"/>
        </w:rPr>
        <w:t>pomalšieho</w:t>
      </w:r>
      <w:r w:rsidR="00EB0DA4">
        <w:rPr>
          <w:rFonts w:eastAsia="Calibri" w:cs="Times New Roman"/>
        </w:rPr>
        <w:t xml:space="preserve"> rastu ekonomiky </w:t>
      </w:r>
      <w:r w:rsidR="00296FCF">
        <w:rPr>
          <w:rFonts w:eastAsia="Calibri" w:cs="Times New Roman"/>
        </w:rPr>
        <w:t>než</w:t>
      </w:r>
      <w:r w:rsidR="00EB0DA4">
        <w:rPr>
          <w:rFonts w:eastAsia="Calibri" w:cs="Times New Roman"/>
        </w:rPr>
        <w:t xml:space="preserve"> v roku 2018</w:t>
      </w:r>
      <w:r w:rsidR="00705D66">
        <w:rPr>
          <w:rFonts w:eastAsia="Calibri" w:cs="Times New Roman"/>
        </w:rPr>
        <w:t>.</w:t>
      </w:r>
      <w:r w:rsidR="00EB0DA4">
        <w:rPr>
          <w:rFonts w:eastAsia="Calibri" w:cs="Times New Roman"/>
        </w:rPr>
        <w:t xml:space="preserve"> </w:t>
      </w:r>
      <w:r w:rsidR="00705D66">
        <w:rPr>
          <w:rFonts w:eastAsia="Calibri" w:cs="Times New Roman"/>
        </w:rPr>
        <w:t>R</w:t>
      </w:r>
      <w:r w:rsidR="00EB0DA4">
        <w:rPr>
          <w:rFonts w:eastAsia="Calibri" w:cs="Times New Roman"/>
        </w:rPr>
        <w:t xml:space="preserve">eálny HDP </w:t>
      </w:r>
      <w:r w:rsidR="00985DC5">
        <w:rPr>
          <w:rFonts w:eastAsia="Calibri" w:cs="Times New Roman"/>
        </w:rPr>
        <w:t xml:space="preserve">v roku 2019 </w:t>
      </w:r>
      <w:r w:rsidR="00EB0DA4">
        <w:rPr>
          <w:rFonts w:eastAsia="Calibri" w:cs="Times New Roman"/>
        </w:rPr>
        <w:t>vzrástol medziročne o</w:t>
      </w:r>
      <w:r w:rsidR="00EB0DA4" w:rsidRPr="004C0F6D">
        <w:rPr>
          <w:rFonts w:eastAsia="Calibri" w:cs="Times New Roman"/>
        </w:rPr>
        <w:t xml:space="preserve"> 2,3 %, čo je o 1,75 p. b. menej ako </w:t>
      </w:r>
      <w:r w:rsidR="00705D66">
        <w:rPr>
          <w:rFonts w:eastAsia="Calibri" w:cs="Times New Roman"/>
        </w:rPr>
        <w:t xml:space="preserve">v predchádzajúcom </w:t>
      </w:r>
      <w:r w:rsidR="00EB0DA4" w:rsidRPr="004C0F6D">
        <w:rPr>
          <w:rFonts w:eastAsia="Calibri" w:cs="Times New Roman"/>
        </w:rPr>
        <w:t xml:space="preserve">roku. </w:t>
      </w:r>
      <w:r w:rsidR="00B56E6F">
        <w:rPr>
          <w:rFonts w:eastAsia="Calibri" w:cs="Times New Roman"/>
        </w:rPr>
        <w:t>Naproti tomu však mzdová báza rástla rýchlejšie než predpokladal rozpočet</w:t>
      </w:r>
      <w:r w:rsidR="00D22F6F">
        <w:rPr>
          <w:rFonts w:eastAsia="Calibri" w:cs="Times New Roman"/>
        </w:rPr>
        <w:t xml:space="preserve">, </w:t>
      </w:r>
      <w:r w:rsidR="00296FCF">
        <w:rPr>
          <w:rFonts w:eastAsia="Calibri" w:cs="Times New Roman"/>
        </w:rPr>
        <w:t>pretože</w:t>
      </w:r>
      <w:r w:rsidR="00D22F6F">
        <w:rPr>
          <w:rFonts w:eastAsia="Calibri" w:cs="Times New Roman"/>
        </w:rPr>
        <w:t xml:space="preserve"> trh práce sa vyvíjal nad očakávania. Vo výsledku tak </w:t>
      </w:r>
      <w:r w:rsidR="00296FCF">
        <w:rPr>
          <w:rFonts w:eastAsia="Calibri" w:cs="Times New Roman"/>
        </w:rPr>
        <w:t xml:space="preserve">– </w:t>
      </w:r>
      <w:r w:rsidR="00D22F6F">
        <w:rPr>
          <w:rFonts w:eastAsia="Calibri" w:cs="Times New Roman"/>
        </w:rPr>
        <w:t>a</w:t>
      </w:r>
      <w:r w:rsidR="00075121" w:rsidRPr="00075121">
        <w:rPr>
          <w:rFonts w:eastAsia="Calibri" w:cs="Times New Roman"/>
        </w:rPr>
        <w:t xml:space="preserve">j napriek tomu, že slovenská ekonomika nerástla plánovaným </w:t>
      </w:r>
      <w:r w:rsidR="00D22F6F">
        <w:rPr>
          <w:rFonts w:eastAsia="Calibri" w:cs="Times New Roman"/>
        </w:rPr>
        <w:t>t</w:t>
      </w:r>
      <w:r w:rsidR="00075121" w:rsidRPr="00075121">
        <w:rPr>
          <w:rFonts w:eastAsia="Calibri" w:cs="Times New Roman"/>
        </w:rPr>
        <w:t>empom</w:t>
      </w:r>
      <w:r w:rsidR="00296FCF">
        <w:rPr>
          <w:rFonts w:eastAsia="Calibri" w:cs="Times New Roman"/>
        </w:rPr>
        <w:t xml:space="preserve"> – </w:t>
      </w:r>
      <w:r w:rsidR="00075121" w:rsidRPr="00EE28B2">
        <w:rPr>
          <w:rFonts w:eastAsia="Calibri" w:cs="Times New Roman"/>
          <w:b/>
        </w:rPr>
        <w:t>príjmy VS prekonali očakávania</w:t>
      </w:r>
      <w:r w:rsidR="009412D0">
        <w:rPr>
          <w:rFonts w:eastAsia="Calibri" w:cs="Times New Roman"/>
          <w:b/>
        </w:rPr>
        <w:t xml:space="preserve"> rozpočtu</w:t>
      </w:r>
      <w:r w:rsidR="00EE28B2">
        <w:rPr>
          <w:rFonts w:eastAsia="Calibri" w:cs="Times New Roman"/>
          <w:b/>
        </w:rPr>
        <w:t xml:space="preserve"> o 6,2 %</w:t>
      </w:r>
      <w:r w:rsidR="00075121" w:rsidRPr="00075121">
        <w:rPr>
          <w:rFonts w:eastAsia="Calibri" w:cs="Times New Roman"/>
        </w:rPr>
        <w:t>.</w:t>
      </w:r>
      <w:r w:rsidR="00075121">
        <w:rPr>
          <w:rFonts w:eastAsia="Calibri" w:cs="Times New Roman"/>
        </w:rPr>
        <w:t xml:space="preserve"> </w:t>
      </w:r>
      <w:r w:rsidR="001B633C" w:rsidRPr="004C0F6D">
        <w:rPr>
          <w:rFonts w:eastAsia="Calibri" w:cs="Times New Roman"/>
        </w:rPr>
        <w:t>Podľa akruálnych výsledkov hospodárenia dosiahli prí</w:t>
      </w:r>
      <w:r w:rsidR="001B633C">
        <w:rPr>
          <w:rFonts w:eastAsia="Calibri" w:cs="Times New Roman"/>
        </w:rPr>
        <w:t>jmy VS v roku 201</w:t>
      </w:r>
      <w:r w:rsidR="00EE28B2">
        <w:rPr>
          <w:rFonts w:eastAsia="Calibri" w:cs="Times New Roman"/>
        </w:rPr>
        <w:t>9 výšku 39</w:t>
      </w:r>
      <w:r w:rsidR="00B03642">
        <w:rPr>
          <w:rFonts w:eastAsia="Calibri" w:cs="Times New Roman"/>
        </w:rPr>
        <w:t>,2 m</w:t>
      </w:r>
      <w:r w:rsidR="00EE28B2">
        <w:rPr>
          <w:rFonts w:eastAsia="Calibri" w:cs="Times New Roman"/>
        </w:rPr>
        <w:t>l</w:t>
      </w:r>
      <w:r w:rsidR="00B03642">
        <w:rPr>
          <w:rFonts w:eastAsia="Calibri" w:cs="Times New Roman"/>
        </w:rPr>
        <w:t>d</w:t>
      </w:r>
      <w:r w:rsidR="00EE28B2">
        <w:rPr>
          <w:rFonts w:eastAsia="Calibri" w:cs="Times New Roman"/>
        </w:rPr>
        <w:t>. eur, medziročne tak vzrástli o 7,6 %</w:t>
      </w:r>
      <w:r w:rsidR="001B633C" w:rsidRPr="004C0F6D">
        <w:rPr>
          <w:rFonts w:eastAsia="Calibri" w:cs="Times New Roman"/>
        </w:rPr>
        <w:t>.</w:t>
      </w:r>
      <w:r w:rsidR="001B633C">
        <w:rPr>
          <w:rFonts w:eastAsia="Calibri" w:cs="Times New Roman"/>
        </w:rPr>
        <w:t xml:space="preserve"> </w:t>
      </w:r>
      <w:r w:rsidR="00912FC4">
        <w:rPr>
          <w:rFonts w:eastAsia="Calibri" w:cs="Times New Roman"/>
        </w:rPr>
        <w:t>Z toho n</w:t>
      </w:r>
      <w:r w:rsidR="004967EE" w:rsidRPr="004967EE">
        <w:rPr>
          <w:rFonts w:eastAsia="Calibri" w:cs="Times New Roman"/>
        </w:rPr>
        <w:t>ajvyšší nárast oproti rozpočtovaným príjmom zaznamenali granty a transfery, ktoré prekročili rozpočet o 1 036,5 mil. eur.</w:t>
      </w:r>
      <w:r w:rsidR="004967EE">
        <w:rPr>
          <w:rFonts w:eastAsia="Calibri" w:cs="Times New Roman"/>
        </w:rPr>
        <w:t xml:space="preserve"> </w:t>
      </w:r>
      <w:r w:rsidR="001B633C" w:rsidRPr="004967EE">
        <w:rPr>
          <w:rFonts w:eastAsia="Calibri" w:cs="Times New Roman"/>
          <w:b/>
        </w:rPr>
        <w:t>Napriek medziročnému</w:t>
      </w:r>
      <w:r w:rsidR="00657BC7" w:rsidRPr="004967EE">
        <w:rPr>
          <w:rFonts w:eastAsia="Calibri" w:cs="Times New Roman"/>
          <w:b/>
        </w:rPr>
        <w:t xml:space="preserve"> rastu daňových príjmov o 5,9 %</w:t>
      </w:r>
      <w:r w:rsidR="001B633C" w:rsidRPr="004967EE">
        <w:rPr>
          <w:rFonts w:eastAsia="Calibri" w:cs="Times New Roman"/>
          <w:b/>
        </w:rPr>
        <w:t xml:space="preserve"> boli </w:t>
      </w:r>
      <w:r w:rsidR="00657BC7" w:rsidRPr="004967EE">
        <w:rPr>
          <w:rFonts w:eastAsia="Calibri" w:cs="Times New Roman"/>
          <w:b/>
        </w:rPr>
        <w:t xml:space="preserve">tieto príjmy </w:t>
      </w:r>
      <w:r w:rsidR="001B633C" w:rsidRPr="004967EE">
        <w:rPr>
          <w:rFonts w:eastAsia="Calibri" w:cs="Times New Roman"/>
          <w:b/>
        </w:rPr>
        <w:t>oproti schválenému rozpočtu nižšie o 143,2 mil. eur.</w:t>
      </w:r>
      <w:r w:rsidR="001B633C" w:rsidRPr="004C0F6D">
        <w:rPr>
          <w:rFonts w:eastAsia="Calibri" w:cs="Times New Roman"/>
        </w:rPr>
        <w:t xml:space="preserve"> </w:t>
      </w:r>
      <w:r w:rsidR="001B633C" w:rsidRPr="00075121">
        <w:rPr>
          <w:rFonts w:eastAsia="Calibri" w:cs="Times New Roman"/>
        </w:rPr>
        <w:t xml:space="preserve">Nenaplnenie </w:t>
      </w:r>
      <w:r w:rsidR="00AF56F0">
        <w:rPr>
          <w:rFonts w:eastAsia="Calibri" w:cs="Times New Roman"/>
        </w:rPr>
        <w:t xml:space="preserve">rozpočtovaných </w:t>
      </w:r>
      <w:r w:rsidR="001B633C" w:rsidRPr="00075121">
        <w:rPr>
          <w:rFonts w:eastAsia="Calibri" w:cs="Times New Roman"/>
        </w:rPr>
        <w:t>daňových príjmov bolo</w:t>
      </w:r>
      <w:r w:rsidR="001B633C" w:rsidRPr="004C0F6D">
        <w:rPr>
          <w:rFonts w:eastAsia="Calibri" w:cs="Times New Roman"/>
        </w:rPr>
        <w:t xml:space="preserve"> spôsobené najmä zrušením </w:t>
      </w:r>
      <w:r w:rsidR="001B633C">
        <w:rPr>
          <w:rFonts w:eastAsia="Calibri" w:cs="Times New Roman"/>
        </w:rPr>
        <w:t xml:space="preserve">osobitného odvodu obchodných reťazcov (150 mil. eur) a </w:t>
      </w:r>
      <w:r w:rsidR="001B633C" w:rsidRPr="004C0F6D">
        <w:rPr>
          <w:rFonts w:eastAsia="Calibri" w:cs="Times New Roman"/>
        </w:rPr>
        <w:t xml:space="preserve">nenaplnením </w:t>
      </w:r>
      <w:r w:rsidR="001B633C">
        <w:rPr>
          <w:rFonts w:eastAsia="Calibri" w:cs="Times New Roman"/>
        </w:rPr>
        <w:t>príjmov</w:t>
      </w:r>
      <w:r w:rsidR="001B633C" w:rsidRPr="004C0F6D">
        <w:rPr>
          <w:rFonts w:eastAsia="Calibri" w:cs="Times New Roman"/>
        </w:rPr>
        <w:t xml:space="preserve"> zo zavedenia</w:t>
      </w:r>
      <w:r w:rsidR="001B633C">
        <w:rPr>
          <w:rFonts w:eastAsia="Calibri" w:cs="Times New Roman"/>
        </w:rPr>
        <w:t xml:space="preserve"> eKasy </w:t>
      </w:r>
      <w:r w:rsidR="001B633C" w:rsidRPr="004C0F6D">
        <w:rPr>
          <w:rFonts w:eastAsia="Calibri" w:cs="Times New Roman"/>
        </w:rPr>
        <w:t>a nanomarkerov (90 mil. eur).</w:t>
      </w:r>
      <w:r w:rsidR="001B633C">
        <w:rPr>
          <w:rFonts w:eastAsia="Calibri" w:cs="Times New Roman"/>
        </w:rPr>
        <w:t xml:space="preserve"> N</w:t>
      </w:r>
      <w:r w:rsidR="001B633C" w:rsidRPr="004C0F6D">
        <w:rPr>
          <w:rFonts w:eastAsia="Calibri" w:cs="Times New Roman"/>
        </w:rPr>
        <w:t xml:space="preserve">ajrýchlejší medziročný rast zaznamenali </w:t>
      </w:r>
      <w:r w:rsidR="00366358">
        <w:rPr>
          <w:rFonts w:eastAsia="Calibri" w:cs="Times New Roman"/>
        </w:rPr>
        <w:t>DPFO</w:t>
      </w:r>
      <w:r w:rsidR="00D9070A">
        <w:rPr>
          <w:rFonts w:eastAsia="Calibri" w:cs="Times New Roman"/>
        </w:rPr>
        <w:t xml:space="preserve"> </w:t>
      </w:r>
      <w:r w:rsidR="001B633C" w:rsidRPr="004C0F6D">
        <w:rPr>
          <w:rFonts w:eastAsia="Calibri" w:cs="Times New Roman"/>
        </w:rPr>
        <w:t>zo závislej činnosti (</w:t>
      </w:r>
      <w:r w:rsidR="00E62E30">
        <w:rPr>
          <w:rFonts w:eastAsia="Calibri" w:cs="Times New Roman"/>
        </w:rPr>
        <w:t xml:space="preserve">o </w:t>
      </w:r>
      <w:r w:rsidR="001B633C" w:rsidRPr="004C0F6D">
        <w:rPr>
          <w:rFonts w:eastAsia="Calibri" w:cs="Times New Roman"/>
        </w:rPr>
        <w:t>10,2 %), </w:t>
      </w:r>
      <w:r w:rsidR="00236427">
        <w:rPr>
          <w:rFonts w:eastAsia="Calibri" w:cs="Times New Roman"/>
        </w:rPr>
        <w:t>DPH</w:t>
      </w:r>
      <w:r w:rsidR="001B633C" w:rsidRPr="004C0F6D">
        <w:rPr>
          <w:rFonts w:eastAsia="Calibri" w:cs="Times New Roman"/>
        </w:rPr>
        <w:t xml:space="preserve"> (8,1 %) a odvodové príjmy (6,1 %). </w:t>
      </w:r>
      <w:r w:rsidR="001B633C">
        <w:rPr>
          <w:rFonts w:eastAsia="Calibri" w:cs="Times New Roman"/>
        </w:rPr>
        <w:t>N</w:t>
      </w:r>
      <w:r w:rsidR="001B633C" w:rsidRPr="004C0F6D">
        <w:rPr>
          <w:rFonts w:eastAsia="Calibri" w:cs="Times New Roman"/>
        </w:rPr>
        <w:t xml:space="preserve">ajpomalšie rástli spotrebné dane </w:t>
      </w:r>
      <w:r w:rsidR="004967EE">
        <w:rPr>
          <w:rFonts w:eastAsia="Calibri" w:cs="Times New Roman"/>
        </w:rPr>
        <w:t>(</w:t>
      </w:r>
      <w:r w:rsidR="001B633C" w:rsidRPr="004C0F6D">
        <w:rPr>
          <w:rFonts w:eastAsia="Calibri" w:cs="Times New Roman"/>
        </w:rPr>
        <w:t>2,5 %</w:t>
      </w:r>
      <w:r w:rsidR="004967EE">
        <w:rPr>
          <w:rFonts w:eastAsia="Calibri" w:cs="Times New Roman"/>
        </w:rPr>
        <w:t>)</w:t>
      </w:r>
      <w:r w:rsidR="001B633C" w:rsidRPr="004C0F6D">
        <w:rPr>
          <w:rFonts w:eastAsia="Calibri" w:cs="Times New Roman"/>
        </w:rPr>
        <w:t xml:space="preserve">. </w:t>
      </w:r>
      <w:r w:rsidR="001B633C">
        <w:rPr>
          <w:rFonts w:eastAsia="Calibri" w:cs="Times New Roman"/>
        </w:rPr>
        <w:t>Príčinou n</w:t>
      </w:r>
      <w:r w:rsidR="001B633C" w:rsidRPr="004C0F6D">
        <w:rPr>
          <w:rFonts w:eastAsia="Calibri" w:cs="Times New Roman"/>
        </w:rPr>
        <w:t>enaplneni</w:t>
      </w:r>
      <w:r w:rsidR="00EB0DA4">
        <w:rPr>
          <w:rFonts w:eastAsia="Calibri" w:cs="Times New Roman"/>
        </w:rPr>
        <w:t>a</w:t>
      </w:r>
      <w:r w:rsidR="001B633C" w:rsidRPr="004C0F6D">
        <w:rPr>
          <w:rFonts w:eastAsia="Calibri" w:cs="Times New Roman"/>
        </w:rPr>
        <w:t xml:space="preserve"> rozpočtovanej sumy spotrebnej dane z minerálneho oleja </w:t>
      </w:r>
      <w:r w:rsidR="001B633C">
        <w:rPr>
          <w:rFonts w:eastAsia="Calibri" w:cs="Times New Roman"/>
        </w:rPr>
        <w:t>bolo oslabenie ekonomickej aktivity</w:t>
      </w:r>
      <w:r w:rsidR="00AF56F0">
        <w:rPr>
          <w:rFonts w:eastAsia="Calibri" w:cs="Times New Roman"/>
        </w:rPr>
        <w:t>.</w:t>
      </w:r>
    </w:p>
    <w:p w14:paraId="026992BA" w14:textId="7A48487F" w:rsidR="00743650" w:rsidRDefault="00743650" w:rsidP="00B03642">
      <w:pPr>
        <w:spacing w:after="120"/>
        <w:jc w:val="both"/>
      </w:pPr>
      <w:r w:rsidRPr="00D7280A">
        <w:rPr>
          <w:b/>
        </w:rPr>
        <w:t>Príjmy fondov sociálneho zabezpečenia boli vyššie oproti rozpočtu</w:t>
      </w:r>
      <w:r w:rsidR="00D83C34" w:rsidRPr="00D7280A">
        <w:rPr>
          <w:b/>
        </w:rPr>
        <w:t xml:space="preserve"> o 13 mil. eur</w:t>
      </w:r>
      <w:r w:rsidR="00C92E06" w:rsidRPr="00D7280A">
        <w:rPr>
          <w:b/>
        </w:rPr>
        <w:t>.</w:t>
      </w:r>
      <w:r w:rsidR="00C92E06" w:rsidRPr="00044087">
        <w:t xml:space="preserve"> </w:t>
      </w:r>
      <w:r w:rsidR="00D83C34" w:rsidRPr="00044087">
        <w:t xml:space="preserve"> </w:t>
      </w:r>
      <w:r w:rsidR="00C92E06" w:rsidRPr="00044087">
        <w:t xml:space="preserve">Najväčšiu zásluhu </w:t>
      </w:r>
      <w:r w:rsidR="00D7280A">
        <w:t>na vyššom výbere</w:t>
      </w:r>
      <w:r w:rsidR="00C92E06" w:rsidRPr="00044087">
        <w:t xml:space="preserve"> ma</w:t>
      </w:r>
      <w:r w:rsidR="00303354">
        <w:t>li</w:t>
      </w:r>
      <w:r w:rsidR="00C92E06" w:rsidRPr="00044087">
        <w:t xml:space="preserve"> sociálne odvody, kde sa prejavil priaznivý vývoj na trhu práce, vďaka čomu </w:t>
      </w:r>
      <w:r w:rsidR="00FF6725" w:rsidRPr="00044087">
        <w:t>boli</w:t>
      </w:r>
      <w:r w:rsidR="00044087">
        <w:t xml:space="preserve"> nakoniec</w:t>
      </w:r>
      <w:r w:rsidR="00FF6725" w:rsidRPr="00044087">
        <w:t xml:space="preserve"> vyššie </w:t>
      </w:r>
      <w:r w:rsidRPr="00044087">
        <w:t>o 33 mil. eur</w:t>
      </w:r>
      <w:r w:rsidR="00D83C34" w:rsidRPr="00044087">
        <w:t>. Naopak</w:t>
      </w:r>
      <w:r w:rsidR="00D7280A">
        <w:t>,</w:t>
      </w:r>
      <w:r w:rsidR="00D83C34" w:rsidRPr="00044087">
        <w:t xml:space="preserve"> </w:t>
      </w:r>
      <w:r w:rsidRPr="00044087">
        <w:t xml:space="preserve">zdravotné odvody </w:t>
      </w:r>
      <w:r w:rsidR="00D7280A">
        <w:t>boli oproti rozpočtu nižšie</w:t>
      </w:r>
      <w:r w:rsidR="00C92E06" w:rsidRPr="00044087">
        <w:t xml:space="preserve"> </w:t>
      </w:r>
      <w:r w:rsidRPr="00044087">
        <w:t>o 20 mil. eur</w:t>
      </w:r>
      <w:r w:rsidR="00D7280A">
        <w:t xml:space="preserve"> a to</w:t>
      </w:r>
      <w:r w:rsidR="00C92E06" w:rsidRPr="00044087">
        <w:t xml:space="preserve"> z dôvodu výrazne nižšieho vplyvu zdravotného zúčtovania</w:t>
      </w:r>
      <w:r w:rsidRPr="00044087">
        <w:t>. Výnos fondov sociálneho zabezpečenia bol negatívne ovplyvnený aj dodatočnými legislatívnymi opatreniami (oslobodenie rekreačných poukazov od daní a odvodov a oslobodenie nepeňažného benefitu pre zamestnanca na ubytovanie).</w:t>
      </w:r>
    </w:p>
    <w:p w14:paraId="7A8756AB" w14:textId="2560820A" w:rsidR="00B03642" w:rsidRDefault="00B03642" w:rsidP="00B03642">
      <w:pPr>
        <w:spacing w:after="120"/>
        <w:jc w:val="both"/>
        <w:rPr>
          <w:b/>
        </w:rPr>
      </w:pPr>
      <w:r>
        <w:t>Celkové výdavky VS dosiahli v minulom roku takmer 40,4 mld. eur, čo je oproti schválenému rozpočtu o </w:t>
      </w:r>
      <w:r w:rsidR="00AE756A">
        <w:t>9</w:t>
      </w:r>
      <w:r>
        <w:t xml:space="preserve">,5 </w:t>
      </w:r>
      <w:r w:rsidR="00AE756A">
        <w:t>% v</w:t>
      </w:r>
      <w:r>
        <w:t>iac.</w:t>
      </w:r>
      <w:r w:rsidR="00AE756A" w:rsidRPr="00AE756A">
        <w:t xml:space="preserve"> </w:t>
      </w:r>
      <w:r w:rsidR="00AE756A">
        <w:t xml:space="preserve">MF SR </w:t>
      </w:r>
      <w:r w:rsidR="00912FC4">
        <w:t>pre rok 2019 pôvodne plánovalo</w:t>
      </w:r>
      <w:r w:rsidR="00AE756A">
        <w:t xml:space="preserve"> </w:t>
      </w:r>
      <w:r w:rsidR="00AE756A" w:rsidRPr="00AE756A">
        <w:t>o takmer 460 mil. eur</w:t>
      </w:r>
      <w:r w:rsidR="00912FC4" w:rsidRPr="00912FC4">
        <w:t xml:space="preserve"> </w:t>
      </w:r>
      <w:r w:rsidR="00912FC4" w:rsidRPr="00AE756A">
        <w:t>nižšie výdavky oproti roku 2018</w:t>
      </w:r>
      <w:r w:rsidR="00AE756A" w:rsidRPr="00AE756A">
        <w:t>.</w:t>
      </w:r>
      <w:r>
        <w:t xml:space="preserve"> </w:t>
      </w:r>
      <w:r>
        <w:rPr>
          <w:b/>
        </w:rPr>
        <w:t>Výdavky rozpočtu VS rástli rýchlejším tempom ako príjmy a výrazným spôsobom navýšili deficit verejných financií.</w:t>
      </w:r>
    </w:p>
    <w:p w14:paraId="183F27D4" w14:textId="1A27FF7F" w:rsidR="00D22F6F" w:rsidRPr="00753742" w:rsidRDefault="00D22F6F" w:rsidP="00D22F6F">
      <w:pPr>
        <w:spacing w:after="120"/>
        <w:jc w:val="both"/>
        <w:rPr>
          <w:rFonts w:eastAsia="Calibri" w:cs="Times New Roman"/>
          <w:b/>
          <w:lang w:eastAsia="cs-CZ"/>
        </w:rPr>
      </w:pPr>
      <w:r w:rsidRPr="004C0F6D">
        <w:rPr>
          <w:rFonts w:eastAsia="Calibri" w:cs="Times New Roman"/>
        </w:rPr>
        <w:t xml:space="preserve">Konsolidovaný dlh VS v metodike ESA 2010 dosiahol k 31. 12. </w:t>
      </w:r>
      <w:r>
        <w:rPr>
          <w:rFonts w:eastAsia="Calibri" w:cs="Times New Roman"/>
        </w:rPr>
        <w:t>2019 sumu 45</w:t>
      </w:r>
      <w:r w:rsidRPr="004C0F6D">
        <w:rPr>
          <w:rFonts w:eastAsia="Calibri" w:cs="Times New Roman"/>
        </w:rPr>
        <w:t xml:space="preserve"> </w:t>
      </w:r>
      <w:r>
        <w:rPr>
          <w:rFonts w:eastAsia="Calibri" w:cs="Times New Roman"/>
        </w:rPr>
        <w:t>202</w:t>
      </w:r>
      <w:r w:rsidRPr="004C0F6D">
        <w:rPr>
          <w:rFonts w:eastAsia="Calibri" w:cs="Times New Roman"/>
        </w:rPr>
        <w:t xml:space="preserve"> </w:t>
      </w:r>
      <w:r>
        <w:rPr>
          <w:rFonts w:eastAsia="Calibri" w:cs="Times New Roman"/>
        </w:rPr>
        <w:t xml:space="preserve">mil. eur, čo predstavuje </w:t>
      </w:r>
      <w:r w:rsidRPr="00753742">
        <w:rPr>
          <w:rFonts w:eastAsia="Calibri" w:cs="Times New Roman"/>
          <w:b/>
        </w:rPr>
        <w:t>48 % HDP</w:t>
      </w:r>
      <w:r w:rsidRPr="004C0F6D">
        <w:rPr>
          <w:rFonts w:eastAsia="Calibri" w:cs="Times New Roman"/>
        </w:rPr>
        <w:t xml:space="preserve">. </w:t>
      </w:r>
      <w:r w:rsidRPr="00753742">
        <w:rPr>
          <w:rFonts w:eastAsia="Calibri" w:cs="Times New Roman"/>
        </w:rPr>
        <w:t>D</w:t>
      </w:r>
      <w:r w:rsidRPr="00753742">
        <w:rPr>
          <w:rFonts w:eastAsia="Calibri" w:cs="Times New Roman"/>
          <w:lang w:eastAsia="cs-CZ"/>
        </w:rPr>
        <w:t>lh VS sa tak prvýkrát od roku 2012 nachádzal mimo sankčného pásma podľa ústavného zákona o rozpočtovej zodpovednosti.</w:t>
      </w:r>
      <w:r w:rsidRPr="00753742">
        <w:rPr>
          <w:rFonts w:eastAsia="Calibri" w:cs="Times New Roman"/>
          <w:b/>
          <w:lang w:eastAsia="cs-CZ"/>
        </w:rPr>
        <w:t xml:space="preserve"> Slovensko patrí medzi krajiny s nižším dlhom, ale v dobrých ekonomických časoch nevyužilo šancu na jeho zníženie a vytvorenie rezervy na horšie časy.</w:t>
      </w:r>
    </w:p>
    <w:p w14:paraId="3E57D828" w14:textId="0F4FD6BE" w:rsidR="001B633C" w:rsidRDefault="001B633C" w:rsidP="001365CE">
      <w:pPr>
        <w:spacing w:after="120"/>
        <w:jc w:val="both"/>
        <w:rPr>
          <w:rFonts w:eastAsia="Times New Roman" w:cs="Arial"/>
          <w:b/>
          <w:lang w:eastAsia="sk-SK"/>
        </w:rPr>
      </w:pPr>
      <w:r w:rsidRPr="004C0F6D">
        <w:rPr>
          <w:rFonts w:eastAsia="Calibri" w:cs="Times New Roman"/>
        </w:rPr>
        <w:t>Hospodárenie ŠR</w:t>
      </w:r>
      <w:r w:rsidR="00D72E0A">
        <w:rPr>
          <w:rFonts w:eastAsia="Calibri" w:cs="Times New Roman"/>
        </w:rPr>
        <w:t>,</w:t>
      </w:r>
      <w:r w:rsidRPr="004C0F6D">
        <w:rPr>
          <w:rFonts w:eastAsia="Calibri" w:cs="Times New Roman"/>
        </w:rPr>
        <w:t xml:space="preserve"> vykázané na </w:t>
      </w:r>
      <w:r>
        <w:rPr>
          <w:rFonts w:eastAsia="Calibri" w:cs="Times New Roman"/>
        </w:rPr>
        <w:t>hotovostnom princípe</w:t>
      </w:r>
      <w:r w:rsidR="00D72E0A">
        <w:rPr>
          <w:rFonts w:eastAsia="Calibri" w:cs="Times New Roman"/>
        </w:rPr>
        <w:t>,</w:t>
      </w:r>
      <w:r>
        <w:rPr>
          <w:rFonts w:eastAsia="Calibri" w:cs="Times New Roman"/>
        </w:rPr>
        <w:t xml:space="preserve"> v roku 2019</w:t>
      </w:r>
      <w:r w:rsidRPr="004C0F6D">
        <w:rPr>
          <w:rFonts w:eastAsia="Calibri" w:cs="Times New Roman"/>
        </w:rPr>
        <w:t xml:space="preserve"> dosiahlo </w:t>
      </w:r>
      <w:r>
        <w:rPr>
          <w:rFonts w:eastAsia="Calibri" w:cs="Times New Roman"/>
        </w:rPr>
        <w:t>príjmy 15 826 mil. eur, výdavky 18 027 mil. eur a schodok 2 201</w:t>
      </w:r>
      <w:r w:rsidRPr="004C0F6D">
        <w:rPr>
          <w:rFonts w:eastAsia="Calibri" w:cs="Times New Roman"/>
        </w:rPr>
        <w:t xml:space="preserve"> mil. eur. Skutočný schodok ŠR bol v porovnaní so zákonom rozpočtovanou sumou vyšší o 160 mil. eur. </w:t>
      </w:r>
      <w:r w:rsidRPr="005A4B52">
        <w:rPr>
          <w:rFonts w:eastAsia="Calibri" w:cs="Times New Roman"/>
          <w:b/>
        </w:rPr>
        <w:t>H</w:t>
      </w:r>
      <w:r w:rsidRPr="005A4B52">
        <w:rPr>
          <w:rFonts w:eastAsia="Times New Roman" w:cs="Arial"/>
          <w:b/>
          <w:lang w:eastAsia="sk-SK"/>
        </w:rPr>
        <w:t>otovostný schodok ŠR bol hlavnou príčinou zvyšovania štátneho dlhu a tým aj dlhu VS</w:t>
      </w:r>
      <w:r w:rsidR="003E0E6F">
        <w:rPr>
          <w:rFonts w:eastAsia="Times New Roman" w:cs="Arial"/>
          <w:b/>
          <w:lang w:eastAsia="sk-SK"/>
        </w:rPr>
        <w:t>,</w:t>
      </w:r>
      <w:r w:rsidR="003E0E6F" w:rsidRPr="003E0E6F">
        <w:t xml:space="preserve"> </w:t>
      </w:r>
      <w:r w:rsidR="003E0E6F" w:rsidRPr="003E0E6F">
        <w:rPr>
          <w:rFonts w:eastAsia="Times New Roman" w:cs="Arial"/>
          <w:b/>
          <w:lang w:eastAsia="sk-SK"/>
        </w:rPr>
        <w:t xml:space="preserve">zámery rozpočtovej politiky vo vybraných oblastiach sa </w:t>
      </w:r>
      <w:r w:rsidR="003E0E6F">
        <w:rPr>
          <w:rFonts w:eastAsia="Times New Roman" w:cs="Arial"/>
          <w:b/>
          <w:lang w:eastAsia="sk-SK"/>
        </w:rPr>
        <w:t xml:space="preserve">však </w:t>
      </w:r>
      <w:r w:rsidR="003E0E6F" w:rsidRPr="003E0E6F">
        <w:rPr>
          <w:rFonts w:eastAsia="Times New Roman" w:cs="Arial"/>
          <w:b/>
          <w:lang w:eastAsia="sk-SK"/>
        </w:rPr>
        <w:t>podarilo naplniť.</w:t>
      </w:r>
    </w:p>
    <w:p w14:paraId="4B611D59" w14:textId="74AFC1D9" w:rsidR="003E0E6F" w:rsidRDefault="003E0E6F" w:rsidP="007877F5">
      <w:pPr>
        <w:spacing w:before="120" w:after="120"/>
        <w:jc w:val="both"/>
        <w:rPr>
          <w:rFonts w:eastAsia="Arial Narrow" w:cs="Arial Narrow"/>
          <w:b/>
        </w:rPr>
      </w:pPr>
      <w:r>
        <w:rPr>
          <w:lang w:eastAsia="sk-SK"/>
        </w:rPr>
        <w:t xml:space="preserve">Na príjmovej strane </w:t>
      </w:r>
      <w:r w:rsidR="00BA4EC3">
        <w:rPr>
          <w:lang w:eastAsia="sk-SK"/>
        </w:rPr>
        <w:t xml:space="preserve">bolo </w:t>
      </w:r>
      <w:r>
        <w:rPr>
          <w:lang w:eastAsia="sk-SK"/>
        </w:rPr>
        <w:t>problematick</w:t>
      </w:r>
      <w:r w:rsidR="00BA4EC3">
        <w:rPr>
          <w:lang w:eastAsia="sk-SK"/>
        </w:rPr>
        <w:t>é</w:t>
      </w:r>
      <w:r>
        <w:rPr>
          <w:lang w:eastAsia="sk-SK"/>
        </w:rPr>
        <w:t xml:space="preserve"> rozpočtovanie kapitálových príjmov, ktoré </w:t>
      </w:r>
      <w:r w:rsidR="00BA4EC3">
        <w:rPr>
          <w:lang w:eastAsia="sk-SK"/>
        </w:rPr>
        <w:t>bývaj</w:t>
      </w:r>
      <w:r>
        <w:rPr>
          <w:lang w:eastAsia="sk-SK"/>
        </w:rPr>
        <w:t xml:space="preserve">ú každoročne nadhodnocované. Uvedené súvisí s rozpočtovaním </w:t>
      </w:r>
      <w:r w:rsidRPr="00645A2F">
        <w:rPr>
          <w:rFonts w:cs="Arial"/>
          <w:color w:val="000000"/>
        </w:rPr>
        <w:t>predaja prebytočného majetku v kapitole MV SR</w:t>
      </w:r>
      <w:r>
        <w:rPr>
          <w:rFonts w:cs="Arial"/>
          <w:color w:val="000000"/>
        </w:rPr>
        <w:t xml:space="preserve">, kde </w:t>
      </w:r>
      <w:r w:rsidR="00BA4EC3">
        <w:rPr>
          <w:rFonts w:cs="Arial"/>
          <w:color w:val="000000"/>
        </w:rPr>
        <w:t xml:space="preserve">nedošlo k jeho naplneniu </w:t>
      </w:r>
      <w:r>
        <w:rPr>
          <w:rFonts w:cs="Arial"/>
          <w:color w:val="000000"/>
        </w:rPr>
        <w:t xml:space="preserve">už </w:t>
      </w:r>
      <w:r w:rsidRPr="00645A2F">
        <w:rPr>
          <w:rFonts w:cs="Arial"/>
          <w:color w:val="000000"/>
        </w:rPr>
        <w:t>8</w:t>
      </w:r>
      <w:r w:rsidR="00BA4EC3">
        <w:rPr>
          <w:rFonts w:cs="Arial"/>
          <w:color w:val="000000"/>
        </w:rPr>
        <w:t>.</w:t>
      </w:r>
      <w:r w:rsidRPr="00645A2F">
        <w:rPr>
          <w:rFonts w:cs="Arial"/>
          <w:color w:val="000000"/>
        </w:rPr>
        <w:t xml:space="preserve"> rok. </w:t>
      </w:r>
      <w:r w:rsidRPr="00645A2F">
        <w:rPr>
          <w:rFonts w:cs="Arial"/>
          <w:b/>
          <w:color w:val="000000"/>
        </w:rPr>
        <w:t xml:space="preserve">Z toho dôvodu NKÚ SR navrhuje </w:t>
      </w:r>
      <w:r w:rsidR="00BA4EC3">
        <w:rPr>
          <w:rFonts w:cs="Arial"/>
          <w:b/>
          <w:color w:val="000000"/>
        </w:rPr>
        <w:t xml:space="preserve">do budúcna </w:t>
      </w:r>
      <w:r w:rsidRPr="00645A2F">
        <w:rPr>
          <w:rFonts w:cs="Arial"/>
          <w:b/>
          <w:color w:val="000000"/>
        </w:rPr>
        <w:t>uprav</w:t>
      </w:r>
      <w:r w:rsidR="00BA4EC3">
        <w:rPr>
          <w:rFonts w:cs="Arial"/>
          <w:b/>
          <w:color w:val="000000"/>
        </w:rPr>
        <w:t>ovať</w:t>
      </w:r>
      <w:r w:rsidRPr="00645A2F">
        <w:rPr>
          <w:rFonts w:cs="Arial"/>
          <w:b/>
          <w:color w:val="000000"/>
        </w:rPr>
        <w:t xml:space="preserve"> rozpočet podľa reálne očakávaného príjmu z predaja prebytočného majetku.</w:t>
      </w:r>
      <w:r w:rsidR="007877F5">
        <w:rPr>
          <w:rFonts w:cs="Arial"/>
          <w:b/>
          <w:color w:val="000000"/>
        </w:rPr>
        <w:t xml:space="preserve"> </w:t>
      </w:r>
      <w:r>
        <w:rPr>
          <w:rFonts w:cs="Arial"/>
          <w:color w:val="000000"/>
        </w:rPr>
        <w:t xml:space="preserve">Na strane výdavkov </w:t>
      </w:r>
      <w:r w:rsidR="007877F5" w:rsidRPr="008317DA">
        <w:rPr>
          <w:b/>
        </w:rPr>
        <w:t>NKÚ SR konštatuje, že v</w:t>
      </w:r>
      <w:r w:rsidR="007877F5" w:rsidRPr="008317DA">
        <w:rPr>
          <w:rFonts w:eastAsia="Arial Narrow" w:cs="Arial Narrow"/>
          <w:b/>
        </w:rPr>
        <w:t xml:space="preserve">ýška kapitálových výdavkov </w:t>
      </w:r>
      <w:r w:rsidR="00BA4EC3">
        <w:rPr>
          <w:rFonts w:eastAsia="Arial Narrow" w:cs="Arial Narrow"/>
          <w:b/>
        </w:rPr>
        <w:t>opäť</w:t>
      </w:r>
      <w:r w:rsidR="007877F5" w:rsidRPr="008317DA">
        <w:rPr>
          <w:rFonts w:eastAsia="Arial Narrow" w:cs="Arial Narrow"/>
          <w:b/>
        </w:rPr>
        <w:t xml:space="preserve"> ne</w:t>
      </w:r>
      <w:r w:rsidR="00BA4EC3">
        <w:rPr>
          <w:rFonts w:eastAsia="Arial Narrow" w:cs="Arial Narrow"/>
          <w:b/>
        </w:rPr>
        <w:t>prispela</w:t>
      </w:r>
      <w:r w:rsidR="007877F5" w:rsidRPr="008317DA">
        <w:rPr>
          <w:rFonts w:eastAsia="Arial Narrow" w:cs="Arial Narrow"/>
          <w:b/>
        </w:rPr>
        <w:t xml:space="preserve"> </w:t>
      </w:r>
      <w:r w:rsidR="00BA4EC3">
        <w:rPr>
          <w:rFonts w:eastAsia="Arial Narrow" w:cs="Arial Narrow"/>
          <w:b/>
        </w:rPr>
        <w:t xml:space="preserve">k </w:t>
      </w:r>
      <w:r w:rsidR="007877F5" w:rsidRPr="008317DA">
        <w:rPr>
          <w:rFonts w:eastAsia="Arial Narrow" w:cs="Arial Narrow"/>
          <w:b/>
        </w:rPr>
        <w:t>odstrán</w:t>
      </w:r>
      <w:r w:rsidR="00BA4EC3">
        <w:rPr>
          <w:rFonts w:eastAsia="Arial Narrow" w:cs="Arial Narrow"/>
          <w:b/>
        </w:rPr>
        <w:t>eniu</w:t>
      </w:r>
      <w:r w:rsidR="007877F5" w:rsidRPr="008317DA">
        <w:rPr>
          <w:rFonts w:eastAsia="Arial Narrow" w:cs="Arial Narrow"/>
          <w:b/>
        </w:rPr>
        <w:t xml:space="preserve"> modernizačn</w:t>
      </w:r>
      <w:r w:rsidR="00BA4EC3">
        <w:rPr>
          <w:rFonts w:eastAsia="Arial Narrow" w:cs="Arial Narrow"/>
          <w:b/>
        </w:rPr>
        <w:t>ého</w:t>
      </w:r>
      <w:r w:rsidR="007877F5" w:rsidRPr="008317DA">
        <w:rPr>
          <w:rFonts w:eastAsia="Arial Narrow" w:cs="Arial Narrow"/>
          <w:b/>
        </w:rPr>
        <w:t xml:space="preserve"> dlh</w:t>
      </w:r>
      <w:r w:rsidR="00BA4EC3">
        <w:rPr>
          <w:rFonts w:eastAsia="Arial Narrow" w:cs="Arial Narrow"/>
          <w:b/>
        </w:rPr>
        <w:t>u</w:t>
      </w:r>
      <w:r w:rsidR="007877F5" w:rsidRPr="008317DA">
        <w:rPr>
          <w:rFonts w:eastAsia="Arial Narrow" w:cs="Arial Narrow"/>
          <w:b/>
        </w:rPr>
        <w:t>, a tak rekonštrukcie, modernizácie a nákupy objektov a ich realizácia sa budú musieť opätovne presunúť na ďalšie roky</w:t>
      </w:r>
      <w:r w:rsidR="007877F5">
        <w:rPr>
          <w:rFonts w:eastAsia="Arial Narrow" w:cs="Arial Narrow"/>
          <w:b/>
        </w:rPr>
        <w:t>.</w:t>
      </w:r>
    </w:p>
    <w:p w14:paraId="35D826DA" w14:textId="176FDA36" w:rsidR="007877F5" w:rsidRPr="005A4B52" w:rsidRDefault="007877F5" w:rsidP="007877F5">
      <w:pPr>
        <w:spacing w:before="120" w:after="120"/>
        <w:jc w:val="both"/>
        <w:rPr>
          <w:rFonts w:eastAsia="Times New Roman" w:cs="Arial"/>
          <w:b/>
          <w:lang w:eastAsia="sk-SK"/>
        </w:rPr>
      </w:pPr>
      <w:r w:rsidRPr="008317DA">
        <w:rPr>
          <w:b/>
        </w:rPr>
        <w:t>NKÚ SR už dlhodobo poukazuje na</w:t>
      </w:r>
      <w:r w:rsidRPr="00504A44">
        <w:t xml:space="preserve"> </w:t>
      </w:r>
      <w:r w:rsidRPr="00504A44">
        <w:rPr>
          <w:b/>
          <w:bCs/>
        </w:rPr>
        <w:t xml:space="preserve">nedostatočnú úroveň plánovania výdavkov jednotlivých kapitol, nedostatočne fungujúce programové rozpočtovanie a rozpočtovanie rezerv ŠR. </w:t>
      </w:r>
      <w:r w:rsidRPr="00504A44">
        <w:t>Prejavom prvého nedostatku sú rozpočtové opatrenia, ktorých počet v roku 2019 v porovnaní s rokom 2012 vzrástol o 81 %</w:t>
      </w:r>
      <w:r>
        <w:t>.</w:t>
      </w:r>
      <w:r w:rsidRPr="007877F5">
        <w:t xml:space="preserve"> </w:t>
      </w:r>
      <w:r>
        <w:t xml:space="preserve">Používanie rozpočtových </w:t>
      </w:r>
      <w:r>
        <w:lastRenderedPageBreak/>
        <w:t>opatrení na</w:t>
      </w:r>
      <w:r w:rsidR="00BA4EC3">
        <w:t>d</w:t>
      </w:r>
      <w:r>
        <w:t xml:space="preserve"> rám</w:t>
      </w:r>
      <w:r w:rsidR="00BA4EC3">
        <w:t>e</w:t>
      </w:r>
      <w:r>
        <w:t>c objektívnej potreby presunu prostriedkov z</w:t>
      </w:r>
      <w:r w:rsidRPr="007877F5">
        <w:t>nižuje transparentnosť rozpočtu</w:t>
      </w:r>
      <w:r>
        <w:t>.</w:t>
      </w:r>
      <w:r w:rsidRPr="007877F5">
        <w:t xml:space="preserve"> </w:t>
      </w:r>
      <w:r>
        <w:t>T</w:t>
      </w:r>
      <w:r w:rsidRPr="007877F5">
        <w:t>ieto plánované výdavky mali byť súčasťou rozpočtu jednotlivých kapitol a nie kapitoly VPS.</w:t>
      </w:r>
    </w:p>
    <w:p w14:paraId="25946261" w14:textId="37B633D9" w:rsidR="00743650" w:rsidRPr="00CA4722" w:rsidRDefault="00743650" w:rsidP="00743650">
      <w:pPr>
        <w:pStyle w:val="Bezriadkovania"/>
        <w:jc w:val="both"/>
        <w:rPr>
          <w:b/>
          <w:szCs w:val="22"/>
        </w:rPr>
      </w:pPr>
      <w:r w:rsidRPr="00CA4722">
        <w:rPr>
          <w:szCs w:val="22"/>
        </w:rPr>
        <w:t xml:space="preserve">Výdavky štátneho rozpočtu na realizáciu programov boli </w:t>
      </w:r>
      <w:r w:rsidR="00723069">
        <w:rPr>
          <w:szCs w:val="22"/>
        </w:rPr>
        <w:t xml:space="preserve">v roku 2019 </w:t>
      </w:r>
      <w:r w:rsidRPr="00CA4722">
        <w:rPr>
          <w:szCs w:val="22"/>
        </w:rPr>
        <w:t xml:space="preserve">rozdelené do 72 programov. Merateľné ukazovatele priradené k jednotlivým programom sú však len formálne, nehovoria o výsledkoch a poskytujú minimálnu pridanú hodnotu pri rozhodovaní. Síce sa vie, kam výdavky smerujú, ale na základe stanovených merateľných ukazovateľov nemožno posúdiť hospodárnosť, efektívnosť a účinnosť použitia týchto výdavkov. Uvedené potvrdzujú aj kontrolné zistenia NKÚ SR na MV SR a MDV SR. </w:t>
      </w:r>
      <w:r w:rsidRPr="00CA4722">
        <w:rPr>
          <w:b/>
          <w:szCs w:val="22"/>
        </w:rPr>
        <w:t xml:space="preserve">NKÚ SR konštatuje, že v súčasnosti nastavené merateľné ukazovatele a rozpočty </w:t>
      </w:r>
      <w:r w:rsidR="00723069">
        <w:rPr>
          <w:b/>
          <w:szCs w:val="22"/>
        </w:rPr>
        <w:t xml:space="preserve">na týchto rezortoch </w:t>
      </w:r>
      <w:r w:rsidRPr="00CA4722">
        <w:rPr>
          <w:b/>
          <w:szCs w:val="22"/>
        </w:rPr>
        <w:t>neposkytujú komplexný a efektívny nástroj na monitorovanie a hodnotenie programov vlády SR.</w:t>
      </w:r>
    </w:p>
    <w:p w14:paraId="1B9882F6" w14:textId="56FF21C9" w:rsidR="007877F5" w:rsidRPr="00733B45" w:rsidRDefault="007877F5" w:rsidP="007877F5">
      <w:pPr>
        <w:spacing w:before="120" w:after="120"/>
        <w:jc w:val="both"/>
        <w:rPr>
          <w:b/>
        </w:rPr>
      </w:pPr>
      <w:r w:rsidRPr="00733B45">
        <w:rPr>
          <w:b/>
        </w:rPr>
        <w:t xml:space="preserve">NKÚ SR </w:t>
      </w:r>
      <w:r>
        <w:rPr>
          <w:b/>
        </w:rPr>
        <w:t xml:space="preserve">tiež </w:t>
      </w:r>
      <w:r w:rsidRPr="00733B45">
        <w:rPr>
          <w:b/>
        </w:rPr>
        <w:t>opakovane upozorňuje na viaceré problémy spojené s čerpaním rezerv, ktoré môžu byť použité na iné účely v súlade s rozhodnutím vlády alebo ministra financií.</w:t>
      </w:r>
    </w:p>
    <w:p w14:paraId="30ADF29E" w14:textId="43F530D7" w:rsidR="001B633C" w:rsidRPr="004C0F6D" w:rsidRDefault="001B633C" w:rsidP="001365CE">
      <w:pPr>
        <w:spacing w:after="120"/>
        <w:jc w:val="both"/>
        <w:rPr>
          <w:rFonts w:eastAsia="Calibri" w:cs="Times New Roman"/>
        </w:rPr>
      </w:pPr>
      <w:r w:rsidRPr="004C0F6D">
        <w:rPr>
          <w:rFonts w:eastAsia="Calibri" w:cs="Times New Roman"/>
        </w:rPr>
        <w:t>V rámci kontrol</w:t>
      </w:r>
      <w:r w:rsidR="00236427">
        <w:rPr>
          <w:rFonts w:eastAsia="Calibri" w:cs="Times New Roman"/>
        </w:rPr>
        <w:t>nej akcie</w:t>
      </w:r>
      <w:r w:rsidRPr="004C0F6D">
        <w:rPr>
          <w:rFonts w:eastAsia="Calibri" w:cs="Times New Roman"/>
        </w:rPr>
        <w:t xml:space="preserve"> </w:t>
      </w:r>
      <w:r w:rsidRPr="004C0F6D">
        <w:rPr>
          <w:rFonts w:eastAsia="Calibri" w:cs="Times New Roman"/>
          <w:i/>
        </w:rPr>
        <w:t xml:space="preserve">„Stanovisko </w:t>
      </w:r>
      <w:r w:rsidR="003A0142">
        <w:rPr>
          <w:rFonts w:eastAsia="Calibri" w:cs="Times New Roman"/>
          <w:i/>
        </w:rPr>
        <w:t xml:space="preserve">NKÚ SR </w:t>
      </w:r>
      <w:r w:rsidRPr="004C0F6D">
        <w:rPr>
          <w:rFonts w:eastAsia="Calibri" w:cs="Times New Roman"/>
          <w:i/>
        </w:rPr>
        <w:t>k návrhu štátneho záverečného účtu za rok 2019“</w:t>
      </w:r>
      <w:r w:rsidRPr="004C0F6D">
        <w:rPr>
          <w:rFonts w:eastAsia="Calibri" w:cs="Times New Roman"/>
        </w:rPr>
        <w:t xml:space="preserve"> boli vykonané</w:t>
      </w:r>
      <w:r w:rsidR="004B6F51">
        <w:rPr>
          <w:rFonts w:eastAsia="Calibri" w:cs="Times New Roman"/>
        </w:rPr>
        <w:t xml:space="preserve"> tzv. rýchle </w:t>
      </w:r>
      <w:r w:rsidRPr="004C0F6D">
        <w:rPr>
          <w:rFonts w:eastAsia="Calibri" w:cs="Times New Roman"/>
        </w:rPr>
        <w:t xml:space="preserve">kontroly v 4 kapitolách ŠR. </w:t>
      </w:r>
      <w:r w:rsidR="00BA4EC3">
        <w:rPr>
          <w:rFonts w:eastAsia="Calibri" w:cs="Times New Roman"/>
        </w:rPr>
        <w:t>B</w:t>
      </w:r>
      <w:r w:rsidRPr="004C0F6D">
        <w:rPr>
          <w:rFonts w:eastAsia="Calibri" w:cs="Times New Roman"/>
        </w:rPr>
        <w:t>oli zamerané na kontrolu úplnosti návrhov ZÚ kapitol, rozpočtového hospodárenia, programovej štruktúry, čerpanie EÚ fondov, hodnotenie vývoja vo vybraných oblastiach a identifik</w:t>
      </w:r>
      <w:r w:rsidR="000630E4">
        <w:rPr>
          <w:rFonts w:eastAsia="Calibri" w:cs="Times New Roman"/>
        </w:rPr>
        <w:t>áciu</w:t>
      </w:r>
      <w:r w:rsidRPr="004C0F6D">
        <w:rPr>
          <w:rFonts w:eastAsia="Calibri" w:cs="Times New Roman"/>
        </w:rPr>
        <w:t xml:space="preserve"> príklad</w:t>
      </w:r>
      <w:r w:rsidR="000630E4">
        <w:rPr>
          <w:rFonts w:eastAsia="Calibri" w:cs="Times New Roman"/>
        </w:rPr>
        <w:t>ov</w:t>
      </w:r>
      <w:r w:rsidRPr="004C0F6D">
        <w:rPr>
          <w:rFonts w:eastAsia="Calibri" w:cs="Times New Roman"/>
        </w:rPr>
        <w:t xml:space="preserve"> potenciálneho nehospodárneho nakladania s verejnými zdrojmi. </w:t>
      </w:r>
    </w:p>
    <w:p w14:paraId="1C416FBE" w14:textId="3FD9A5EB" w:rsidR="001B633C" w:rsidRDefault="001B633C" w:rsidP="001365CE">
      <w:pPr>
        <w:pStyle w:val="Bezriadkovania"/>
        <w:spacing w:after="120"/>
        <w:jc w:val="both"/>
        <w:rPr>
          <w:rFonts w:eastAsia="Calibri"/>
          <w:bCs/>
        </w:rPr>
      </w:pPr>
      <w:r w:rsidRPr="00F518B6">
        <w:t xml:space="preserve">V kapitole </w:t>
      </w:r>
      <w:r>
        <w:rPr>
          <w:b/>
        </w:rPr>
        <w:t xml:space="preserve">Ministerstva vnútra SR </w:t>
      </w:r>
      <w:r w:rsidR="003E7F82">
        <w:t xml:space="preserve">bolo </w:t>
      </w:r>
      <w:r w:rsidRPr="00F518B6">
        <w:t xml:space="preserve">zistené </w:t>
      </w:r>
      <w:r w:rsidRPr="007877F5">
        <w:rPr>
          <w:b/>
        </w:rPr>
        <w:t xml:space="preserve">zaostávanie pri </w:t>
      </w:r>
      <w:r w:rsidR="00030FAE" w:rsidRPr="007877F5">
        <w:rPr>
          <w:b/>
        </w:rPr>
        <w:t>dokončovaní realizácie</w:t>
      </w:r>
      <w:r w:rsidRPr="007877F5">
        <w:rPr>
          <w:b/>
        </w:rPr>
        <w:t xml:space="preserve"> klientskych centier a nedost</w:t>
      </w:r>
      <w:r w:rsidR="003172B2" w:rsidRPr="007877F5">
        <w:rPr>
          <w:b/>
        </w:rPr>
        <w:t>atky v systemizácii policajtov</w:t>
      </w:r>
      <w:r w:rsidR="003172B2">
        <w:t>.</w:t>
      </w:r>
      <w:r>
        <w:t xml:space="preserve"> </w:t>
      </w:r>
      <w:r w:rsidR="003172B2">
        <w:rPr>
          <w:color w:val="000000"/>
        </w:rPr>
        <w:t xml:space="preserve">Napriek pôvodne verejne deklarovanému cieľu otvoriť klientske centrá v rokoch 2014 a 2015, </w:t>
      </w:r>
      <w:r w:rsidR="003A1AB0">
        <w:rPr>
          <w:color w:val="000000"/>
        </w:rPr>
        <w:t>pätina z nich (16 centier)</w:t>
      </w:r>
      <w:r w:rsidR="0001533F">
        <w:rPr>
          <w:color w:val="000000"/>
        </w:rPr>
        <w:t xml:space="preserve"> n</w:t>
      </w:r>
      <w:r w:rsidR="003172B2">
        <w:rPr>
          <w:color w:val="000000"/>
        </w:rPr>
        <w:t xml:space="preserve">ebude otvorená </w:t>
      </w:r>
      <w:r w:rsidR="003A1AB0">
        <w:rPr>
          <w:color w:val="000000"/>
        </w:rPr>
        <w:t>ani v roku 2020.</w:t>
      </w:r>
      <w:r w:rsidR="003172B2">
        <w:rPr>
          <w:color w:val="000000"/>
        </w:rPr>
        <w:t xml:space="preserve"> </w:t>
      </w:r>
      <w:r w:rsidR="003172B2" w:rsidRPr="004C0F6D">
        <w:rPr>
          <w:rFonts w:eastAsia="Calibri"/>
          <w:bCs/>
        </w:rPr>
        <w:t>Podľa medzinárodného porovnania je na Slovensku v pomere k počtu obyvateľov o 20 % viac policajtov ako je priemer v</w:t>
      </w:r>
      <w:r w:rsidR="00D72E0A">
        <w:rPr>
          <w:rFonts w:eastAsia="Calibri"/>
          <w:bCs/>
        </w:rPr>
        <w:t> </w:t>
      </w:r>
      <w:r w:rsidR="003172B2" w:rsidRPr="004C0F6D">
        <w:rPr>
          <w:rFonts w:eastAsia="Calibri"/>
          <w:bCs/>
        </w:rPr>
        <w:t>EÚ</w:t>
      </w:r>
      <w:r w:rsidR="00D72E0A">
        <w:rPr>
          <w:rFonts w:eastAsia="Calibri"/>
          <w:bCs/>
        </w:rPr>
        <w:t>, pritom</w:t>
      </w:r>
      <w:r w:rsidR="002B5548">
        <w:rPr>
          <w:color w:val="000000"/>
        </w:rPr>
        <w:t xml:space="preserve"> n</w:t>
      </w:r>
      <w:r w:rsidR="002B5548" w:rsidRPr="00FB01B3">
        <w:rPr>
          <w:color w:val="000000"/>
        </w:rPr>
        <w:t xml:space="preserve">edôvera verejnosti k polícii je </w:t>
      </w:r>
      <w:r w:rsidR="002B5548">
        <w:rPr>
          <w:color w:val="000000"/>
        </w:rPr>
        <w:t xml:space="preserve">v rámci EÚ 28 </w:t>
      </w:r>
      <w:r w:rsidR="002B5548" w:rsidRPr="00FB01B3">
        <w:rPr>
          <w:color w:val="000000"/>
        </w:rPr>
        <w:t>najvyššia</w:t>
      </w:r>
      <w:r w:rsidR="002B5548">
        <w:rPr>
          <w:color w:val="000000"/>
        </w:rPr>
        <w:t xml:space="preserve">. </w:t>
      </w:r>
      <w:r w:rsidR="00D72E0A">
        <w:rPr>
          <w:color w:val="000000"/>
        </w:rPr>
        <w:t>A r</w:t>
      </w:r>
      <w:r w:rsidR="00E86116">
        <w:rPr>
          <w:color w:val="000000"/>
        </w:rPr>
        <w:t>ezort</w:t>
      </w:r>
      <w:r w:rsidR="00284690">
        <w:rPr>
          <w:color w:val="000000"/>
        </w:rPr>
        <w:t xml:space="preserve"> pôvodne </w:t>
      </w:r>
      <w:r w:rsidR="00E86116">
        <w:rPr>
          <w:color w:val="000000"/>
        </w:rPr>
        <w:t>p</w:t>
      </w:r>
      <w:r w:rsidR="0047095F">
        <w:rPr>
          <w:color w:val="000000"/>
        </w:rPr>
        <w:t>lán</w:t>
      </w:r>
      <w:r w:rsidR="003E4B7E">
        <w:rPr>
          <w:color w:val="000000"/>
        </w:rPr>
        <w:t>oval</w:t>
      </w:r>
      <w:r w:rsidR="0047095F">
        <w:rPr>
          <w:color w:val="000000"/>
        </w:rPr>
        <w:t xml:space="preserve"> zvýšenie počtu policajtov. Tieto plány sa </w:t>
      </w:r>
      <w:r w:rsidR="00D72E0A">
        <w:rPr>
          <w:color w:val="000000"/>
        </w:rPr>
        <w:t>však</w:t>
      </w:r>
      <w:r w:rsidR="0047095F">
        <w:rPr>
          <w:color w:val="000000"/>
        </w:rPr>
        <w:t xml:space="preserve"> nenap</w:t>
      </w:r>
      <w:r w:rsidR="003E4B7E">
        <w:rPr>
          <w:color w:val="000000"/>
        </w:rPr>
        <w:t xml:space="preserve">lnili </w:t>
      </w:r>
      <w:r w:rsidR="0047095F">
        <w:rPr>
          <w:color w:val="000000"/>
        </w:rPr>
        <w:t>a nevyužité mzdové prostriedky na to určené sa využ</w:t>
      </w:r>
      <w:r w:rsidR="003E4B7E">
        <w:rPr>
          <w:color w:val="000000"/>
        </w:rPr>
        <w:t>ili</w:t>
      </w:r>
      <w:r w:rsidR="0047095F">
        <w:rPr>
          <w:color w:val="000000"/>
        </w:rPr>
        <w:t xml:space="preserve"> na navyšovanie miezd</w:t>
      </w:r>
      <w:r w:rsidR="009A3C82">
        <w:rPr>
          <w:rFonts w:eastAsia="Calibri"/>
        </w:rPr>
        <w:t>.</w:t>
      </w:r>
    </w:p>
    <w:p w14:paraId="1568856C" w14:textId="784B2B1C" w:rsidR="001B633C" w:rsidRDefault="001B633C" w:rsidP="001365CE">
      <w:pPr>
        <w:pStyle w:val="Bezriadkovania"/>
        <w:spacing w:after="120"/>
        <w:jc w:val="both"/>
        <w:rPr>
          <w:rFonts w:eastAsia="Calibri"/>
        </w:rPr>
      </w:pPr>
      <w:r>
        <w:t xml:space="preserve">V rámci </w:t>
      </w:r>
      <w:r w:rsidRPr="003439C0">
        <w:rPr>
          <w:b/>
        </w:rPr>
        <w:t>Ministerstva školstva, vedy, výskumu a</w:t>
      </w:r>
      <w:r>
        <w:rPr>
          <w:b/>
        </w:rPr>
        <w:t> </w:t>
      </w:r>
      <w:r w:rsidRPr="003439C0">
        <w:rPr>
          <w:b/>
        </w:rPr>
        <w:t>športu SR</w:t>
      </w:r>
      <w:r>
        <w:t xml:space="preserve"> bol </w:t>
      </w:r>
      <w:r w:rsidR="005F427F">
        <w:t>potvrdený príklad</w:t>
      </w:r>
      <w:r>
        <w:t xml:space="preserve"> </w:t>
      </w:r>
      <w:r w:rsidRPr="007877F5">
        <w:rPr>
          <w:b/>
        </w:rPr>
        <w:t xml:space="preserve">nehospodárneho nakladania s rozpočtovanými prostriedkami </w:t>
      </w:r>
      <w:r w:rsidR="005F427F" w:rsidRPr="007877F5">
        <w:rPr>
          <w:b/>
        </w:rPr>
        <w:t>pri zavádzaní riešenia EDUNET SK</w:t>
      </w:r>
      <w:r w:rsidR="00895B10">
        <w:t>.</w:t>
      </w:r>
      <w:r>
        <w:t xml:space="preserve"> </w:t>
      </w:r>
      <w:r w:rsidR="00895B10">
        <w:t>P</w:t>
      </w:r>
      <w:r w:rsidR="005F427F">
        <w:t xml:space="preserve">reukázalo sa </w:t>
      </w:r>
      <w:r w:rsidR="00360C35">
        <w:t>aj to</w:t>
      </w:r>
      <w:r w:rsidR="005F427F">
        <w:t xml:space="preserve">, že rezort </w:t>
      </w:r>
      <w:r w:rsidR="005F427F" w:rsidRPr="007877F5">
        <w:rPr>
          <w:rFonts w:eastAsia="Calibri"/>
          <w:b/>
        </w:rPr>
        <w:t>dlhodobo nedostatočne pokrýva požiadavky škôl na učebnice</w:t>
      </w:r>
      <w:r w:rsidR="00360C35" w:rsidRPr="007877F5">
        <w:rPr>
          <w:b/>
        </w:rPr>
        <w:t xml:space="preserve"> </w:t>
      </w:r>
      <w:r w:rsidR="00360C35" w:rsidRPr="007877F5">
        <w:rPr>
          <w:rFonts w:eastAsia="Calibri"/>
          <w:b/>
        </w:rPr>
        <w:t>a neplní ciele v zabezpečovaní nových titulov učebníc</w:t>
      </w:r>
      <w:r w:rsidR="005F427F">
        <w:rPr>
          <w:rFonts w:eastAsia="Calibri"/>
        </w:rPr>
        <w:t>.</w:t>
      </w:r>
    </w:p>
    <w:p w14:paraId="65D338F4" w14:textId="59E6796C" w:rsidR="001B633C" w:rsidRDefault="001B633C" w:rsidP="001365CE">
      <w:pPr>
        <w:spacing w:after="120"/>
        <w:jc w:val="both"/>
        <w:rPr>
          <w:rFonts w:eastAsia="Calibri" w:cs="Times New Roman"/>
          <w:highlight w:val="yellow"/>
        </w:rPr>
      </w:pPr>
      <w:r w:rsidRPr="00F518B6">
        <w:rPr>
          <w:rFonts w:eastAsia="Calibri" w:cs="Times New Roman"/>
        </w:rPr>
        <w:t>Kontrolou v</w:t>
      </w:r>
      <w:r>
        <w:rPr>
          <w:rFonts w:eastAsia="Calibri" w:cs="Times New Roman"/>
        </w:rPr>
        <w:t xml:space="preserve"> rezorte </w:t>
      </w:r>
      <w:r w:rsidRPr="003439C0">
        <w:rPr>
          <w:rFonts w:eastAsia="Calibri" w:cs="Times New Roman"/>
          <w:b/>
        </w:rPr>
        <w:t>Ministerstva zdravotníctva</w:t>
      </w:r>
      <w:r>
        <w:rPr>
          <w:rFonts w:eastAsia="Calibri" w:cs="Times New Roman"/>
          <w:b/>
        </w:rPr>
        <w:t xml:space="preserve"> SR</w:t>
      </w:r>
      <w:r>
        <w:rPr>
          <w:rFonts w:eastAsia="Calibri" w:cs="Times New Roman"/>
        </w:rPr>
        <w:t xml:space="preserve"> boli identifikované </w:t>
      </w:r>
      <w:r w:rsidRPr="007877F5">
        <w:rPr>
          <w:rFonts w:eastAsia="Calibri" w:cs="Times New Roman"/>
          <w:b/>
        </w:rPr>
        <w:t>riziká v štátnej liekovej politike</w:t>
      </w:r>
      <w:r>
        <w:rPr>
          <w:rFonts w:eastAsia="Calibri" w:cs="Times New Roman"/>
        </w:rPr>
        <w:t xml:space="preserve">, ktoré môžu viesť k neudržateľnosti </w:t>
      </w:r>
      <w:r w:rsidR="00F958A4">
        <w:rPr>
          <w:rFonts w:eastAsia="Calibri" w:cs="Times New Roman"/>
        </w:rPr>
        <w:t>systému financovania liekov</w:t>
      </w:r>
      <w:r w:rsidR="00236427">
        <w:rPr>
          <w:rFonts w:eastAsia="Calibri" w:cs="Times New Roman"/>
        </w:rPr>
        <w:t>.</w:t>
      </w:r>
      <w:r w:rsidR="00F958A4">
        <w:rPr>
          <w:rFonts w:eastAsia="Calibri" w:cs="Times New Roman"/>
        </w:rPr>
        <w:t xml:space="preserve"> </w:t>
      </w:r>
      <w:r w:rsidR="00236427" w:rsidRPr="007877F5">
        <w:rPr>
          <w:rFonts w:eastAsia="Calibri" w:cs="Times New Roman"/>
          <w:b/>
        </w:rPr>
        <w:t>V</w:t>
      </w:r>
      <w:r w:rsidRPr="007877F5">
        <w:rPr>
          <w:rFonts w:eastAsia="Calibri" w:cs="Times New Roman"/>
          <w:b/>
        </w:rPr>
        <w:t> rámci reziden</w:t>
      </w:r>
      <w:r w:rsidR="004353B5" w:rsidRPr="007877F5">
        <w:rPr>
          <w:rFonts w:eastAsia="Calibri" w:cs="Times New Roman"/>
          <w:b/>
        </w:rPr>
        <w:t>t</w:t>
      </w:r>
      <w:r w:rsidRPr="007877F5">
        <w:rPr>
          <w:rFonts w:eastAsia="Calibri" w:cs="Times New Roman"/>
          <w:b/>
        </w:rPr>
        <w:t xml:space="preserve">ského štúdia bolo zistené, že </w:t>
      </w:r>
      <w:r w:rsidR="004353B5" w:rsidRPr="007877F5">
        <w:rPr>
          <w:rFonts w:eastAsia="Calibri" w:cs="Times New Roman"/>
          <w:b/>
        </w:rPr>
        <w:t xml:space="preserve">významnejšie </w:t>
      </w:r>
      <w:r w:rsidRPr="007877F5">
        <w:rPr>
          <w:rFonts w:eastAsia="Calibri" w:cs="Times New Roman"/>
          <w:b/>
        </w:rPr>
        <w:t>neprispieva</w:t>
      </w:r>
      <w:r w:rsidR="004353B5" w:rsidRPr="007877F5">
        <w:rPr>
          <w:rFonts w:eastAsia="Calibri" w:cs="Times New Roman"/>
          <w:b/>
        </w:rPr>
        <w:t>l</w:t>
      </w:r>
      <w:r w:rsidRPr="007877F5">
        <w:rPr>
          <w:rFonts w:eastAsia="Calibri" w:cs="Times New Roman"/>
          <w:b/>
        </w:rPr>
        <w:t xml:space="preserve"> k plneniu svojho </w:t>
      </w:r>
      <w:r w:rsidR="00F958A4" w:rsidRPr="007877F5">
        <w:rPr>
          <w:rFonts w:eastAsia="Calibri" w:cs="Times New Roman"/>
          <w:b/>
        </w:rPr>
        <w:t>základného cieľa, ktorým bolo zvýšenie počtu všeobecných lekárov a pediatrov</w:t>
      </w:r>
      <w:r w:rsidRPr="007877F5">
        <w:rPr>
          <w:rFonts w:eastAsia="Calibri" w:cs="Times New Roman"/>
          <w:b/>
        </w:rPr>
        <w:t>.</w:t>
      </w:r>
      <w:r w:rsidRPr="004C0F6D">
        <w:rPr>
          <w:rFonts w:eastAsia="Calibri" w:cs="Times New Roman"/>
        </w:rPr>
        <w:t xml:space="preserve"> </w:t>
      </w:r>
      <w:r>
        <w:rPr>
          <w:rFonts w:eastAsia="Calibri" w:cs="Times New Roman"/>
        </w:rPr>
        <w:t xml:space="preserve">Počet </w:t>
      </w:r>
      <w:r w:rsidRPr="004C0F6D">
        <w:rPr>
          <w:rFonts w:eastAsia="Calibri" w:cs="Times New Roman"/>
        </w:rPr>
        <w:t xml:space="preserve">ambulancií všeobecných lekárov pre dospelých a všeobecných lekárov pre deti a dorast </w:t>
      </w:r>
      <w:r>
        <w:rPr>
          <w:rFonts w:eastAsia="Calibri" w:cs="Times New Roman"/>
        </w:rPr>
        <w:t>sa naďalej zniž</w:t>
      </w:r>
      <w:r w:rsidR="004353B5">
        <w:rPr>
          <w:rFonts w:eastAsia="Calibri" w:cs="Times New Roman"/>
        </w:rPr>
        <w:t>oval</w:t>
      </w:r>
      <w:r w:rsidRPr="005F427F">
        <w:rPr>
          <w:rFonts w:eastAsia="Calibri" w:cs="Times New Roman"/>
        </w:rPr>
        <w:t xml:space="preserve">. </w:t>
      </w:r>
      <w:r w:rsidR="005F427F">
        <w:rPr>
          <w:rFonts w:eastAsia="Calibri" w:cs="Times New Roman"/>
        </w:rPr>
        <w:t xml:space="preserve">Pri </w:t>
      </w:r>
      <w:r w:rsidR="00F958A4">
        <w:rPr>
          <w:rFonts w:eastAsia="Calibri" w:cs="Times New Roman"/>
        </w:rPr>
        <w:t>hodnotení oddlžovania</w:t>
      </w:r>
      <w:r w:rsidR="005F427F">
        <w:rPr>
          <w:rFonts w:eastAsia="Calibri" w:cs="Times New Roman"/>
        </w:rPr>
        <w:t xml:space="preserve"> nemocníc </w:t>
      </w:r>
      <w:r w:rsidR="005F427F" w:rsidRPr="005F427F">
        <w:rPr>
          <w:rFonts w:eastAsia="Calibri" w:cs="Times New Roman"/>
        </w:rPr>
        <w:t xml:space="preserve">NKÚ SR opakovane upozorňuje, že </w:t>
      </w:r>
      <w:r w:rsidR="005F427F" w:rsidRPr="007877F5">
        <w:rPr>
          <w:rFonts w:eastAsia="Calibri" w:cs="Times New Roman"/>
          <w:b/>
        </w:rPr>
        <w:t>rast výnosov od zdravotných poisťovní nepostačuje na pokrytie medziročného rastu prevádzkových nákladov nemocníc</w:t>
      </w:r>
      <w:r w:rsidR="005F427F" w:rsidRPr="005F427F">
        <w:rPr>
          <w:rFonts w:eastAsia="Calibri" w:cs="Times New Roman"/>
        </w:rPr>
        <w:t>.</w:t>
      </w:r>
    </w:p>
    <w:p w14:paraId="733CD5BC" w14:textId="1D9FE241" w:rsidR="001B633C" w:rsidRDefault="00B87D62" w:rsidP="001365CE">
      <w:pPr>
        <w:shd w:val="clear" w:color="auto" w:fill="FFFFFF"/>
        <w:autoSpaceDE w:val="0"/>
        <w:autoSpaceDN w:val="0"/>
        <w:adjustRightInd w:val="0"/>
        <w:spacing w:after="120"/>
        <w:jc w:val="both"/>
        <w:rPr>
          <w:rFonts w:eastAsia="Calibri" w:cs="Times New Roman"/>
        </w:rPr>
      </w:pPr>
      <w:r>
        <w:rPr>
          <w:rFonts w:eastAsia="Calibri" w:cs="Times New Roman"/>
        </w:rPr>
        <w:t>Na</w:t>
      </w:r>
      <w:r w:rsidR="001B633C">
        <w:rPr>
          <w:rFonts w:eastAsia="Calibri" w:cs="Times New Roman"/>
        </w:rPr>
        <w:t> </w:t>
      </w:r>
      <w:r w:rsidR="001B633C" w:rsidRPr="003439C0">
        <w:rPr>
          <w:rFonts w:eastAsia="Calibri" w:cs="Times New Roman"/>
          <w:b/>
        </w:rPr>
        <w:t>Ministerstve dopravy a výstavby SR</w:t>
      </w:r>
      <w:r w:rsidR="001B633C">
        <w:rPr>
          <w:rFonts w:eastAsia="Calibri" w:cs="Times New Roman"/>
        </w:rPr>
        <w:t xml:space="preserve"> bolo zistené, že </w:t>
      </w:r>
      <w:r w:rsidR="00895B10">
        <w:rPr>
          <w:rFonts w:eastAsia="Calibri" w:cs="Times New Roman"/>
        </w:rPr>
        <w:t xml:space="preserve">niektoré </w:t>
      </w:r>
      <w:r w:rsidR="001B633C" w:rsidRPr="007877F5">
        <w:rPr>
          <w:rFonts w:eastAsia="Calibri" w:cs="Times New Roman"/>
          <w:b/>
        </w:rPr>
        <w:t>stanovené ciele v oblasti dopravy neboli ani v roku 2019 naplnené</w:t>
      </w:r>
      <w:r w:rsidR="001B633C">
        <w:rPr>
          <w:rFonts w:eastAsia="Calibri" w:cs="Times New Roman"/>
        </w:rPr>
        <w:t xml:space="preserve">. </w:t>
      </w:r>
      <w:r w:rsidR="001B633C" w:rsidRPr="00F518B6">
        <w:rPr>
          <w:rFonts w:eastAsia="Calibri" w:cs="Times New Roman"/>
        </w:rPr>
        <w:t>P</w:t>
      </w:r>
      <w:r w:rsidR="001B633C">
        <w:rPr>
          <w:rFonts w:eastAsia="Calibri" w:cs="Times New Roman"/>
        </w:rPr>
        <w:t xml:space="preserve">lán odovzdať </w:t>
      </w:r>
      <w:r w:rsidR="00895B10">
        <w:rPr>
          <w:rFonts w:eastAsia="Calibri" w:cs="Times New Roman"/>
        </w:rPr>
        <w:t xml:space="preserve">zo ŠR </w:t>
      </w:r>
      <w:r w:rsidR="001B633C">
        <w:rPr>
          <w:rFonts w:eastAsia="Calibri" w:cs="Times New Roman"/>
        </w:rPr>
        <w:t xml:space="preserve">do užívania </w:t>
      </w:r>
      <w:r w:rsidR="005F5DFA">
        <w:rPr>
          <w:rFonts w:eastAsia="Calibri" w:cs="Times New Roman"/>
        </w:rPr>
        <w:t xml:space="preserve">takmer </w:t>
      </w:r>
      <w:r w:rsidR="001B633C">
        <w:rPr>
          <w:rFonts w:eastAsia="Calibri" w:cs="Times New Roman"/>
        </w:rPr>
        <w:t>29</w:t>
      </w:r>
      <w:r w:rsidR="001B633C" w:rsidRPr="00F518B6">
        <w:rPr>
          <w:rFonts w:eastAsia="Calibri" w:cs="Times New Roman"/>
        </w:rPr>
        <w:t xml:space="preserve"> km nových diaľnic nebol splnený</w:t>
      </w:r>
      <w:r w:rsidR="001B633C">
        <w:rPr>
          <w:rFonts w:eastAsia="Calibri" w:cs="Times New Roman"/>
        </w:rPr>
        <w:t xml:space="preserve">. </w:t>
      </w:r>
      <w:r w:rsidR="001B633C" w:rsidRPr="00F518B6">
        <w:rPr>
          <w:rFonts w:eastAsia="Calibri" w:cs="Times New Roman"/>
        </w:rPr>
        <w:t>Zaostávaním budovania n</w:t>
      </w:r>
      <w:r w:rsidR="001B633C">
        <w:rPr>
          <w:rFonts w:eastAsia="Calibri" w:cs="Times New Roman"/>
        </w:rPr>
        <w:t>iektorých projektov</w:t>
      </w:r>
      <w:r w:rsidR="001B633C" w:rsidRPr="00F518B6">
        <w:rPr>
          <w:rFonts w:eastAsia="Calibri" w:cs="Times New Roman"/>
        </w:rPr>
        <w:t xml:space="preserve"> </w:t>
      </w:r>
      <w:r w:rsidR="001B633C">
        <w:rPr>
          <w:rFonts w:eastAsia="Calibri" w:cs="Times New Roman"/>
        </w:rPr>
        <w:t>hrozí riziko, že ne</w:t>
      </w:r>
      <w:r w:rsidR="007E6F14">
        <w:rPr>
          <w:rFonts w:eastAsia="Calibri" w:cs="Times New Roman"/>
        </w:rPr>
        <w:t>bu</w:t>
      </w:r>
      <w:r w:rsidR="001B633C">
        <w:rPr>
          <w:rFonts w:eastAsia="Calibri" w:cs="Times New Roman"/>
        </w:rPr>
        <w:t>dú môcť byť financované z</w:t>
      </w:r>
      <w:r w:rsidR="000F50EC">
        <w:rPr>
          <w:rFonts w:eastAsia="Calibri" w:cs="Times New Roman"/>
        </w:rPr>
        <w:t xml:space="preserve"> fondov </w:t>
      </w:r>
      <w:r w:rsidR="001B633C">
        <w:rPr>
          <w:rFonts w:eastAsia="Calibri" w:cs="Times New Roman"/>
        </w:rPr>
        <w:t>EÚ, ale budú musieť byť použité prostriedky ŠR.</w:t>
      </w:r>
      <w:r w:rsidR="007E6F14">
        <w:rPr>
          <w:rFonts w:eastAsia="Calibri" w:cs="Times New Roman"/>
        </w:rPr>
        <w:t xml:space="preserve"> </w:t>
      </w:r>
      <w:r w:rsidR="001B633C" w:rsidRPr="00F518B6">
        <w:rPr>
          <w:rFonts w:eastAsia="Calibri" w:cs="Times New Roman"/>
          <w:color w:val="000000"/>
        </w:rPr>
        <w:t xml:space="preserve">V roku 2019 na 1 km ciest I. triedy vo veľmi dobrom stave </w:t>
      </w:r>
      <w:r w:rsidR="00CA04C0" w:rsidRPr="00F518B6">
        <w:rPr>
          <w:rFonts w:eastAsia="Calibri" w:cs="Times New Roman"/>
          <w:color w:val="000000"/>
        </w:rPr>
        <w:t xml:space="preserve">pripadalo </w:t>
      </w:r>
      <w:r w:rsidR="001B633C" w:rsidRPr="00F518B6">
        <w:rPr>
          <w:rFonts w:eastAsia="Calibri" w:cs="Times New Roman"/>
          <w:color w:val="000000"/>
        </w:rPr>
        <w:t>približne 0,8 km ciest v nevyhovujúcom a</w:t>
      </w:r>
      <w:r w:rsidR="00C63F64">
        <w:rPr>
          <w:rFonts w:eastAsia="Calibri" w:cs="Times New Roman"/>
          <w:color w:val="000000"/>
        </w:rPr>
        <w:t>lebo</w:t>
      </w:r>
      <w:r w:rsidR="001B633C" w:rsidRPr="00F518B6">
        <w:rPr>
          <w:rFonts w:eastAsia="Calibri" w:cs="Times New Roman"/>
          <w:color w:val="000000"/>
        </w:rPr>
        <w:t> havarijnom stave</w:t>
      </w:r>
      <w:r w:rsidR="001B633C">
        <w:rPr>
          <w:rFonts w:eastAsia="Calibri" w:cs="Times New Roman"/>
          <w:color w:val="000000"/>
        </w:rPr>
        <w:t>. Na zabezpečenie kvalitnejších a bezpečnejších ciest</w:t>
      </w:r>
      <w:r w:rsidR="001B633C" w:rsidRPr="004C0F6D">
        <w:rPr>
          <w:rFonts w:eastAsia="Calibri" w:cs="Times New Roman"/>
          <w:color w:val="000000"/>
        </w:rPr>
        <w:t xml:space="preserve"> </w:t>
      </w:r>
      <w:r w:rsidR="001B633C">
        <w:rPr>
          <w:rFonts w:eastAsia="Calibri" w:cs="Times New Roman"/>
          <w:color w:val="000000"/>
        </w:rPr>
        <w:t xml:space="preserve">bude </w:t>
      </w:r>
      <w:r w:rsidR="00895B10">
        <w:rPr>
          <w:rFonts w:eastAsia="Calibri" w:cs="Times New Roman"/>
          <w:color w:val="000000"/>
        </w:rPr>
        <w:t xml:space="preserve">do budúcna </w:t>
      </w:r>
      <w:r w:rsidR="001B633C" w:rsidRPr="004C0F6D">
        <w:rPr>
          <w:rFonts w:eastAsia="Calibri" w:cs="Times New Roman"/>
          <w:color w:val="000000"/>
        </w:rPr>
        <w:t xml:space="preserve">nevyhnutné nastaviť ambicióznejšie plány aj zvýšiť výdavky. </w:t>
      </w:r>
      <w:r w:rsidR="00895B10" w:rsidRPr="00895B10">
        <w:rPr>
          <w:rFonts w:eastAsia="Calibri" w:cs="Times New Roman"/>
          <w:color w:val="000000"/>
        </w:rPr>
        <w:t>Nesplnený plán z roku 2018 o obnove 35 vlakových súprav v železničnej osobnej doprave sa nepodarilo zrealizovať ani v roku 2019, keď boli obnovené iba 4 vlakové súpravy. Rezort dopravy tak bude aj ďalšie roky iba doháňať zameškané plnenie plánu.</w:t>
      </w:r>
    </w:p>
    <w:p w14:paraId="7FE0791D" w14:textId="53AC0F42" w:rsidR="001B633C" w:rsidRDefault="001B633C" w:rsidP="001365CE">
      <w:pPr>
        <w:spacing w:after="120"/>
        <w:jc w:val="both"/>
        <w:rPr>
          <w:rFonts w:eastAsia="Calibri" w:cs="Times New Roman"/>
        </w:rPr>
      </w:pPr>
      <w:r w:rsidRPr="00360C35">
        <w:rPr>
          <w:rFonts w:eastAsia="Calibri" w:cs="Times New Roman"/>
          <w:b/>
        </w:rPr>
        <w:t>Čistá finančná pozícia</w:t>
      </w:r>
      <w:r w:rsidR="007E6F14" w:rsidRPr="00360C35">
        <w:rPr>
          <w:rFonts w:eastAsia="Calibri" w:cs="Times New Roman"/>
          <w:b/>
        </w:rPr>
        <w:t xml:space="preserve"> SR </w:t>
      </w:r>
      <w:r w:rsidR="00360C35" w:rsidRPr="00360C35">
        <w:rPr>
          <w:rFonts w:eastAsia="Calibri" w:cs="Times New Roman"/>
          <w:b/>
        </w:rPr>
        <w:t>voči EÚ</w:t>
      </w:r>
      <w:r w:rsidR="00360C35">
        <w:rPr>
          <w:rFonts w:eastAsia="Calibri" w:cs="Times New Roman"/>
        </w:rPr>
        <w:t xml:space="preserve"> </w:t>
      </w:r>
      <w:r w:rsidRPr="003439C0">
        <w:rPr>
          <w:rFonts w:eastAsia="Calibri" w:cs="Times New Roman"/>
        </w:rPr>
        <w:t xml:space="preserve">dosiahla sumu </w:t>
      </w:r>
      <w:r w:rsidRPr="003439C0">
        <w:rPr>
          <w:rFonts w:eastAsia="Times New Roman" w:cs="Times New Roman"/>
          <w:bCs/>
          <w:lang w:eastAsia="sk-SK"/>
        </w:rPr>
        <w:t xml:space="preserve">1 275 </w:t>
      </w:r>
      <w:r w:rsidRPr="003439C0">
        <w:rPr>
          <w:rFonts w:eastAsia="Calibri" w:cs="Times New Roman"/>
        </w:rPr>
        <w:t xml:space="preserve"> mil. eur. V porovnaní s rokom 2018 to predstavuje medziročný pokles o</w:t>
      </w:r>
      <w:r w:rsidR="00B028A8">
        <w:rPr>
          <w:rFonts w:eastAsia="Calibri" w:cs="Times New Roman"/>
        </w:rPr>
        <w:t> 4 %</w:t>
      </w:r>
      <w:r w:rsidR="00895B10">
        <w:rPr>
          <w:rFonts w:eastAsia="Calibri" w:cs="Times New Roman"/>
        </w:rPr>
        <w:t>.</w:t>
      </w:r>
      <w:r w:rsidRPr="003439C0">
        <w:rPr>
          <w:rFonts w:eastAsia="Calibri" w:cs="Times New Roman"/>
        </w:rPr>
        <w:t xml:space="preserve"> </w:t>
      </w:r>
      <w:r w:rsidR="00AF56FC">
        <w:rPr>
          <w:rFonts w:eastAsia="Calibri" w:cs="Times New Roman"/>
        </w:rPr>
        <w:t>N</w:t>
      </w:r>
      <w:r w:rsidRPr="003439C0">
        <w:rPr>
          <w:rFonts w:eastAsia="Calibri" w:cs="Times New Roman"/>
        </w:rPr>
        <w:t>a</w:t>
      </w:r>
      <w:r w:rsidR="00AF56FC">
        <w:rPr>
          <w:rFonts w:eastAsia="Calibri" w:cs="Times New Roman"/>
        </w:rPr>
        <w:t>opak</w:t>
      </w:r>
      <w:r w:rsidR="00274F66">
        <w:rPr>
          <w:rFonts w:eastAsia="Calibri" w:cs="Times New Roman"/>
        </w:rPr>
        <w:t>,</w:t>
      </w:r>
      <w:r w:rsidRPr="003439C0">
        <w:rPr>
          <w:rFonts w:eastAsia="Calibri" w:cs="Times New Roman"/>
        </w:rPr>
        <w:t xml:space="preserve"> v porovnaní so schváleným rozpočtom na rok 2019 je to nárast o</w:t>
      </w:r>
      <w:r w:rsidR="00B028A8">
        <w:rPr>
          <w:rFonts w:eastAsia="Calibri" w:cs="Times New Roman"/>
        </w:rPr>
        <w:t> 79 %</w:t>
      </w:r>
      <w:r w:rsidRPr="003439C0">
        <w:rPr>
          <w:rFonts w:eastAsia="Calibri" w:cs="Times New Roman"/>
        </w:rPr>
        <w:t xml:space="preserve">. </w:t>
      </w:r>
      <w:r w:rsidR="00AF56FC">
        <w:rPr>
          <w:rFonts w:eastAsia="Calibri" w:cs="Times New Roman"/>
        </w:rPr>
        <w:t>Za šesť rokov</w:t>
      </w:r>
      <w:r w:rsidRPr="003439C0">
        <w:rPr>
          <w:rFonts w:eastAsia="Calibri" w:cs="Times New Roman"/>
        </w:rPr>
        <w:t xml:space="preserve"> implementácie programového obdobia 2014 – 2020</w:t>
      </w:r>
      <w:r w:rsidR="00AF56FC">
        <w:rPr>
          <w:rFonts w:eastAsia="Calibri" w:cs="Times New Roman"/>
        </w:rPr>
        <w:t xml:space="preserve"> dosiahlo</w:t>
      </w:r>
      <w:r w:rsidRPr="003439C0">
        <w:rPr>
          <w:rFonts w:eastAsia="Calibri" w:cs="Times New Roman"/>
        </w:rPr>
        <w:t xml:space="preserve"> čerpanie všetkých OP k 31. </w:t>
      </w:r>
      <w:r w:rsidR="000F50EC">
        <w:rPr>
          <w:rFonts w:eastAsia="Calibri" w:cs="Times New Roman"/>
        </w:rPr>
        <w:t>decembru</w:t>
      </w:r>
      <w:r w:rsidRPr="003439C0">
        <w:rPr>
          <w:rFonts w:eastAsia="Calibri" w:cs="Times New Roman"/>
        </w:rPr>
        <w:t xml:space="preserve"> 2019 sumu </w:t>
      </w:r>
      <w:r w:rsidRPr="003439C0">
        <w:rPr>
          <w:rFonts w:eastAsia="Times New Roman" w:cs="Arial"/>
          <w:lang w:eastAsia="sk-SK"/>
        </w:rPr>
        <w:t xml:space="preserve">3 936 </w:t>
      </w:r>
      <w:r w:rsidR="00274F66">
        <w:rPr>
          <w:rFonts w:eastAsia="Times New Roman" w:cs="Arial"/>
          <w:lang w:eastAsia="sk-SK"/>
        </w:rPr>
        <w:t> </w:t>
      </w:r>
      <w:r w:rsidRPr="003439C0">
        <w:rPr>
          <w:rFonts w:eastAsia="Times New Roman" w:cs="Arial"/>
          <w:lang w:eastAsia="sk-SK"/>
        </w:rPr>
        <w:t>048 tis.</w:t>
      </w:r>
      <w:r w:rsidRPr="003439C0">
        <w:rPr>
          <w:rFonts w:eastAsia="Calibri" w:cs="Times New Roman"/>
        </w:rPr>
        <w:t xml:space="preserve"> eur, čo predstavuje </w:t>
      </w:r>
      <w:r w:rsidRPr="00705D66">
        <w:rPr>
          <w:rFonts w:eastAsia="Calibri" w:cs="Times New Roman"/>
          <w:b/>
        </w:rPr>
        <w:t>28,55 % z celkovej alokácie</w:t>
      </w:r>
      <w:r>
        <w:rPr>
          <w:rFonts w:eastAsia="Calibri" w:cs="Times New Roman"/>
        </w:rPr>
        <w:t xml:space="preserve"> (EÚ zdroj </w:t>
      </w:r>
      <w:r w:rsidRPr="003439C0">
        <w:rPr>
          <w:rFonts w:eastAsia="Calibri" w:cs="Times New Roman"/>
        </w:rPr>
        <w:t>bez PRV).</w:t>
      </w:r>
      <w:r>
        <w:rPr>
          <w:rFonts w:eastAsia="Calibri" w:cs="Times New Roman"/>
        </w:rPr>
        <w:t xml:space="preserve"> </w:t>
      </w:r>
      <w:r w:rsidRPr="007877F5">
        <w:rPr>
          <w:rFonts w:eastAsia="Calibri" w:cs="Times New Roman"/>
          <w:b/>
        </w:rPr>
        <w:t xml:space="preserve">Problematickým sa javí 2. programové obdobie. </w:t>
      </w:r>
      <w:r w:rsidR="00360C35" w:rsidRPr="007877F5">
        <w:rPr>
          <w:rFonts w:eastAsia="Calibri" w:cs="Times New Roman"/>
          <w:b/>
        </w:rPr>
        <w:t>Naďalej</w:t>
      </w:r>
      <w:r w:rsidRPr="007877F5">
        <w:rPr>
          <w:rFonts w:eastAsia="Calibri" w:cs="Times New Roman"/>
          <w:b/>
        </w:rPr>
        <w:t xml:space="preserve"> sa </w:t>
      </w:r>
      <w:r w:rsidR="00360C35" w:rsidRPr="007877F5">
        <w:rPr>
          <w:rFonts w:eastAsia="Calibri" w:cs="Times New Roman"/>
          <w:b/>
        </w:rPr>
        <w:t xml:space="preserve">v ňom </w:t>
      </w:r>
      <w:r w:rsidRPr="007877F5">
        <w:rPr>
          <w:rFonts w:eastAsia="Calibri" w:cs="Times New Roman"/>
          <w:b/>
        </w:rPr>
        <w:t>objavujú rozsiahle vratky a nezrovnalosti, ktoré dos</w:t>
      </w:r>
      <w:r w:rsidR="00705D66" w:rsidRPr="007877F5">
        <w:rPr>
          <w:rFonts w:eastAsia="Calibri" w:cs="Times New Roman"/>
          <w:b/>
        </w:rPr>
        <w:t>iahli</w:t>
      </w:r>
      <w:r w:rsidRPr="007877F5">
        <w:rPr>
          <w:rFonts w:eastAsia="Calibri" w:cs="Times New Roman"/>
          <w:b/>
        </w:rPr>
        <w:t xml:space="preserve"> výšku až 1 mld. eur. </w:t>
      </w:r>
      <w:r w:rsidRPr="004C0F6D">
        <w:rPr>
          <w:rFonts w:eastAsia="Calibri" w:cs="Times New Roman"/>
        </w:rPr>
        <w:t xml:space="preserve">Opravy a finančné nezrovnalosti </w:t>
      </w:r>
      <w:r>
        <w:rPr>
          <w:rFonts w:eastAsia="Calibri" w:cs="Times New Roman"/>
        </w:rPr>
        <w:t>v 3. programovom období zatiaľ dosiahli celkovú výšku 135 mil. eur</w:t>
      </w:r>
      <w:r w:rsidRPr="004C0F6D">
        <w:rPr>
          <w:rFonts w:eastAsia="Calibri" w:cs="Times New Roman"/>
        </w:rPr>
        <w:t xml:space="preserve">, čo </w:t>
      </w:r>
      <w:r w:rsidR="000F50EC">
        <w:rPr>
          <w:rFonts w:eastAsia="Calibri" w:cs="Times New Roman"/>
        </w:rPr>
        <w:t>len</w:t>
      </w:r>
      <w:r w:rsidRPr="004C0F6D">
        <w:rPr>
          <w:rFonts w:eastAsia="Calibri" w:cs="Times New Roman"/>
        </w:rPr>
        <w:t xml:space="preserve"> potvrdzuje pravidelné kontrolné zistenia NKÚ SR, ktorý dlhodobo poukazuje na problémové čerpanie európskych fondov</w:t>
      </w:r>
      <w:r w:rsidR="00236427">
        <w:rPr>
          <w:rFonts w:eastAsia="Calibri" w:cs="Times New Roman"/>
        </w:rPr>
        <w:t>.</w:t>
      </w:r>
    </w:p>
    <w:p w14:paraId="7765E2BE" w14:textId="482E0133" w:rsidR="00743650" w:rsidRDefault="00743650" w:rsidP="00743650">
      <w:pPr>
        <w:pStyle w:val="Bezriadkovania"/>
        <w:spacing w:after="120"/>
        <w:jc w:val="both"/>
        <w:rPr>
          <w:szCs w:val="22"/>
        </w:rPr>
      </w:pPr>
      <w:r w:rsidRPr="00CA4722">
        <w:rPr>
          <w:b/>
          <w:szCs w:val="22"/>
        </w:rPr>
        <w:t>Hospodárenie územnej samosprávy</w:t>
      </w:r>
      <w:r w:rsidRPr="00CA4722">
        <w:rPr>
          <w:szCs w:val="22"/>
        </w:rPr>
        <w:t xml:space="preserve"> dosiahlo na hotovostnej báze v roku 2019 prebytok 641 mil. eur, z toho prebytok obcí tvoril cca 64 %, zvyšok tvoril prebytok VÚC. Prebytok bol pozitívne ovplyvnený vyššími daňovými príjmami </w:t>
      </w:r>
      <w:r w:rsidR="00D83C34">
        <w:rPr>
          <w:szCs w:val="22"/>
        </w:rPr>
        <w:t xml:space="preserve">(DPFO zo závislej činnosti) </w:t>
      </w:r>
      <w:r w:rsidRPr="00CA4722">
        <w:rPr>
          <w:szCs w:val="22"/>
        </w:rPr>
        <w:t xml:space="preserve">a finančnými operáciami. </w:t>
      </w:r>
      <w:r w:rsidR="00044087">
        <w:t>Nedaňové a kapitálové príjmy</w:t>
      </w:r>
      <w:r w:rsidR="000F50EC">
        <w:t>,</w:t>
      </w:r>
      <w:r w:rsidR="00044087">
        <w:t xml:space="preserve"> naopak</w:t>
      </w:r>
      <w:r w:rsidR="000F50EC">
        <w:t>,</w:t>
      </w:r>
      <w:r w:rsidR="00044087">
        <w:t xml:space="preserve"> poklesli, čím negatívne ovplyvnili jeho výšku. Rovnako aj nárast bežných a kapitálových výdavkov oslabil úroveň dosiahnutého prebytku. Na druhej </w:t>
      </w:r>
      <w:r w:rsidR="00044087">
        <w:lastRenderedPageBreak/>
        <w:t xml:space="preserve">strane, vďaka vyšším kapitálovým výdavkom obce investovali najmä do rekonštrukcií </w:t>
      </w:r>
      <w:r w:rsidR="00044087" w:rsidRPr="00CA4722">
        <w:rPr>
          <w:szCs w:val="22"/>
        </w:rPr>
        <w:t>a výstavby infraštruktúry (kanalizácie, nájomné byty, komunikácie, rekonštrukcie budov).</w:t>
      </w:r>
    </w:p>
    <w:p w14:paraId="713E33BF" w14:textId="3C28AD11" w:rsidR="006E4416" w:rsidRDefault="006E4416" w:rsidP="006E4416">
      <w:pPr>
        <w:pStyle w:val="Bezriadkovania"/>
        <w:spacing w:after="120"/>
        <w:jc w:val="both"/>
      </w:pPr>
      <w:r w:rsidRPr="006E4416">
        <w:rPr>
          <w:b/>
        </w:rPr>
        <w:t xml:space="preserve">Záverom NKÚ SR </w:t>
      </w:r>
      <w:r w:rsidR="00F312AA">
        <w:rPr>
          <w:b/>
        </w:rPr>
        <w:t>zdôrazňuje</w:t>
      </w:r>
      <w:r w:rsidRPr="006E4416">
        <w:rPr>
          <w:b/>
        </w:rPr>
        <w:t>, že všetky dôležité príjmy VS v minulom roku rástli.</w:t>
      </w:r>
      <w:r>
        <w:t xml:space="preserve"> Daňové príjmy VS (v ESA 2010) medziročne vzrástli o 943,5 mil. eur (5,9 %), fondy sociálneho a zdravotného poistenia o 696,8 mil. eur (6,1 %) - z toho príjmy Sociálnej poisťovne o 345,4 mil. eur (4,4 %) a zdravotných poisťovní o 351,4 mil. eur (9,6 %). Daňové príjmy ŠR na hotovostnej báze vzrástli medziročne o 370,7 mil. eur (3,1 %) a príjmy územnej samosprávy na hotovostnej báze o 675,6 mil. eur (9,9 %) - z toho obce o 438,3 mil. eur (8,3 %) a VÚC o 237,3 mil. eur (15 %).</w:t>
      </w:r>
    </w:p>
    <w:p w14:paraId="36443A13" w14:textId="78A1C019" w:rsidR="001B633C" w:rsidRPr="004C0F6D" w:rsidRDefault="000C581C" w:rsidP="001365CE">
      <w:pPr>
        <w:spacing w:after="120"/>
        <w:jc w:val="both"/>
        <w:rPr>
          <w:rFonts w:eastAsia="Calibri" w:cs="Times New Roman"/>
        </w:rPr>
      </w:pPr>
      <w:r>
        <w:rPr>
          <w:rFonts w:eastAsia="Calibri" w:cs="Times New Roman"/>
        </w:rPr>
        <w:t>P</w:t>
      </w:r>
      <w:r w:rsidR="001B633C" w:rsidRPr="004C0F6D">
        <w:rPr>
          <w:rFonts w:eastAsia="Calibri" w:cs="Times New Roman"/>
        </w:rPr>
        <w:t xml:space="preserve">o zohľadnení ekonomického rámca rozpočtového hospodárenia SR, hospodárenia VS v metodike ESA 2010, zámerov, cieľov a opatrení rozpočtovej politiky, vybraných štrukturálnych politík, vzťahov ŠR k EÚ a hospodárenia územnej samosprávy </w:t>
      </w:r>
      <w:r w:rsidR="007F7CCA">
        <w:rPr>
          <w:rFonts w:eastAsia="Calibri" w:cs="Times New Roman"/>
        </w:rPr>
        <w:t xml:space="preserve">– </w:t>
      </w:r>
      <w:r>
        <w:rPr>
          <w:rFonts w:eastAsia="Calibri" w:cs="Times New Roman"/>
        </w:rPr>
        <w:t xml:space="preserve">NKÚ SR </w:t>
      </w:r>
      <w:r w:rsidR="001B633C" w:rsidRPr="004C0F6D">
        <w:rPr>
          <w:rFonts w:eastAsia="Calibri" w:cs="Times New Roman"/>
          <w:b/>
        </w:rPr>
        <w:t>nemá zásadné pripomienky</w:t>
      </w:r>
      <w:r w:rsidR="002F58BF">
        <w:rPr>
          <w:rFonts w:eastAsia="Calibri" w:cs="Times New Roman"/>
          <w:b/>
        </w:rPr>
        <w:t xml:space="preserve"> </w:t>
      </w:r>
      <w:r w:rsidR="001B633C">
        <w:rPr>
          <w:rFonts w:eastAsia="Calibri" w:cs="Times New Roman"/>
        </w:rPr>
        <w:t>k návrhu ŠZÚ SR za rok 2019</w:t>
      </w:r>
      <w:r w:rsidR="002F58BF">
        <w:rPr>
          <w:rFonts w:eastAsia="Calibri" w:cs="Times New Roman"/>
        </w:rPr>
        <w:t>.</w:t>
      </w:r>
    </w:p>
    <w:p w14:paraId="4A94EAC1" w14:textId="3FD9D7C6" w:rsidR="00F958A4" w:rsidRDefault="001B633C" w:rsidP="00AC1442">
      <w:pPr>
        <w:tabs>
          <w:tab w:val="left" w:pos="0"/>
        </w:tabs>
        <w:spacing w:after="120"/>
        <w:contextualSpacing/>
        <w:jc w:val="both"/>
      </w:pPr>
      <w:r w:rsidRPr="004C0F6D">
        <w:rPr>
          <w:rFonts w:eastAsia="Calibri" w:cs="Times New Roman"/>
        </w:rPr>
        <w:t xml:space="preserve">Zároveň odporúča NR SR zobrať na vedomie, že schodok ŠR vykázaný v </w:t>
      </w:r>
      <w:r w:rsidR="00BE0A08">
        <w:rPr>
          <w:rFonts w:eastAsia="Calibri" w:cs="Times New Roman"/>
        </w:rPr>
        <w:t>ŠZÚ</w:t>
      </w:r>
      <w:r>
        <w:rPr>
          <w:rFonts w:eastAsia="Calibri" w:cs="Times New Roman"/>
        </w:rPr>
        <w:t xml:space="preserve"> SR za rok 2019 vo výške 2 201 mil. eur </w:t>
      </w:r>
      <w:r w:rsidRPr="004C0F6D">
        <w:rPr>
          <w:rFonts w:eastAsia="Calibri" w:cs="Times New Roman"/>
        </w:rPr>
        <w:t xml:space="preserve">bol krytý finančnými prostriedkami získanými z predaja štátnych dlhopisov v hodnote </w:t>
      </w:r>
      <w:r>
        <w:rPr>
          <w:rFonts w:eastAsia="Calibri" w:cs="Times New Roman"/>
        </w:rPr>
        <w:t xml:space="preserve">1 900 </w:t>
      </w:r>
      <w:r w:rsidRPr="004C0F6D">
        <w:rPr>
          <w:rFonts w:eastAsia="Calibri" w:cs="Times New Roman"/>
        </w:rPr>
        <w:t>mil. eur a</w:t>
      </w:r>
      <w:r>
        <w:rPr>
          <w:rFonts w:eastAsia="Calibri" w:cs="Times New Roman"/>
        </w:rPr>
        <w:t> prijatými bankovými úvermi v hodnote 3</w:t>
      </w:r>
      <w:r w:rsidRPr="004C0F6D">
        <w:rPr>
          <w:rFonts w:eastAsia="Calibri" w:cs="Times New Roman"/>
        </w:rPr>
        <w:t>00 mil. eur.</w:t>
      </w:r>
      <w:r w:rsidR="00F958A4">
        <w:br w:type="page"/>
      </w:r>
    </w:p>
    <w:p w14:paraId="1866D159" w14:textId="77777777" w:rsidR="00FF468A" w:rsidRPr="0002327B" w:rsidRDefault="00FF468A" w:rsidP="008E2BB2">
      <w:pPr>
        <w:pStyle w:val="Nadpis1"/>
        <w:numPr>
          <w:ilvl w:val="0"/>
          <w:numId w:val="23"/>
        </w:numPr>
        <w:rPr>
          <w:rFonts w:eastAsia="Times New Roman"/>
        </w:rPr>
      </w:pPr>
      <w:bookmarkStart w:id="10" w:name="_Toc515523242"/>
      <w:bookmarkStart w:id="11" w:name="_Toc43218061"/>
      <w:r w:rsidRPr="008E2BB2">
        <w:lastRenderedPageBreak/>
        <w:t>Ekonomický</w:t>
      </w:r>
      <w:r w:rsidRPr="00066EFF">
        <w:t xml:space="preserve"> </w:t>
      </w:r>
      <w:r w:rsidRPr="008E2BB2">
        <w:t>rámec</w:t>
      </w:r>
      <w:r>
        <w:t xml:space="preserve"> rozpočtového hospodárenia </w:t>
      </w:r>
      <w:r w:rsidRPr="0002327B">
        <w:rPr>
          <w:rFonts w:eastAsia="Times New Roman"/>
        </w:rPr>
        <w:t xml:space="preserve">SR </w:t>
      </w:r>
      <w:bookmarkEnd w:id="10"/>
      <w:r w:rsidRPr="0002327B">
        <w:rPr>
          <w:rFonts w:eastAsia="Times New Roman"/>
        </w:rPr>
        <w:t>v roku 201</w:t>
      </w:r>
      <w:r w:rsidR="00AC4666" w:rsidRPr="0002327B">
        <w:rPr>
          <w:rFonts w:eastAsia="Times New Roman"/>
        </w:rPr>
        <w:t>9</w:t>
      </w:r>
      <w:bookmarkEnd w:id="11"/>
    </w:p>
    <w:p w14:paraId="32932C65" w14:textId="36A54D19" w:rsidR="00995AB9" w:rsidRDefault="00995AB9" w:rsidP="00DD2703">
      <w:pPr>
        <w:spacing w:before="120" w:after="120"/>
        <w:jc w:val="both"/>
      </w:pPr>
      <w:r w:rsidRPr="00DD2703">
        <w:rPr>
          <w:b/>
        </w:rPr>
        <w:t>Slovenská ekonomika v roku kopírovala vývoj vo vonkajšom ekonomickom prostredí a výrazne zvoľnila rast na 2,3 %, čo je o 1,75 p. b. menej ako v roku 2018.</w:t>
      </w:r>
      <w:r w:rsidRPr="00B82058">
        <w:t xml:space="preserve"> </w:t>
      </w:r>
      <w:r>
        <w:t xml:space="preserve">Reálny HDP celosvetovo vzrástol </w:t>
      </w:r>
      <w:r w:rsidR="00360C35">
        <w:t xml:space="preserve">medziročne </w:t>
      </w:r>
      <w:r>
        <w:t>o 2,9 %, v porovnaní s rokom 2018 menej o 0,7 p. b. Na svetový obchod naviazala aj ekonomika eurozóny, ktorá minulý rok vzrástla o 1,2 %, čo je oproti roku 2018 tiež menej o 0,7 p. b. Toto spomalenie reflektuje na postupné ochladzovanie ekonomiky</w:t>
      </w:r>
      <w:r w:rsidR="00956038">
        <w:t>,</w:t>
      </w:r>
      <w:r>
        <w:t xml:space="preserve"> prameniace z viacerých príčin. Externým faktorom bola pretrvávajúca obchodná vojna medzi USA a Čínou, čo vytváralo neistotu v medzinárodnom obchode. Vnútorným spomaľujúcim faktorom bol predovšetkým výpadok nemeckého automobilového priemyslu a riziká spojené s tvrdým Brexitom. Spomalenie nemeckého automobilového priemyslu sa postupne prelievalo do iných sektorov priemyslu, ale aj do ostatných krajín EÚ.</w:t>
      </w:r>
    </w:p>
    <w:p w14:paraId="531AEE44" w14:textId="3D64043E" w:rsidR="00995AB9" w:rsidRDefault="00995AB9" w:rsidP="00DD2703">
      <w:pPr>
        <w:spacing w:before="120" w:after="120"/>
        <w:jc w:val="both"/>
      </w:pPr>
      <w:r w:rsidRPr="002A31D4">
        <w:rPr>
          <w:b/>
        </w:rPr>
        <w:t xml:space="preserve">Nepriaznivý vývoj zahraničného dopytu sa premietol predovšetkým do slovenského exportne orientovaného priemyslu. Trh práce však tlaku odolal a pri historicky nízkej nezamestnanosti, ktorá bola na úrovni 5,75 %, si zamestnanci na mzdách polepšili </w:t>
      </w:r>
      <w:r w:rsidR="002A5FC7">
        <w:rPr>
          <w:rFonts w:eastAsia="Calibri" w:cs="Times New Roman"/>
        </w:rPr>
        <w:t xml:space="preserve">– </w:t>
      </w:r>
      <w:r w:rsidRPr="002A31D4">
        <w:rPr>
          <w:b/>
        </w:rPr>
        <w:t>najviac od roku 2008, keď im reálne mzdy vzrástli medziročne o 5 %.</w:t>
      </w:r>
      <w:r>
        <w:t xml:space="preserve"> V míňaní však domácnosti zostali opatrné a dodatočné príjmy sa pretavili do rekordných úspor. </w:t>
      </w:r>
      <w:r w:rsidR="008B6103">
        <w:t>V</w:t>
      </w:r>
      <w:r>
        <w:t>ládna spotreba sa zvýšila najmä vďaka zvyšovaniu tarifných platov zamestnancov vo verejnom sektore.</w:t>
      </w:r>
      <w:r>
        <w:rPr>
          <w:rStyle w:val="Odkaznapoznmkupodiarou"/>
        </w:rPr>
        <w:footnoteReference w:id="1"/>
      </w:r>
      <w:r>
        <w:t xml:space="preserve"> Zo sektorového pohľadu k reálnemu rastu HDP v roku 2019 najviac prispela pridaná hodnota v službách </w:t>
      </w:r>
      <w:r w:rsidR="002A5FC7">
        <w:rPr>
          <w:rFonts w:eastAsia="Calibri" w:cs="Times New Roman"/>
        </w:rPr>
        <w:t>–</w:t>
      </w:r>
      <w:r>
        <w:t xml:space="preserve"> rastom 2,8 %. Pridaná hodnota v priemysle stagnovala, mierne </w:t>
      </w:r>
      <w:r w:rsidR="00C272B8">
        <w:t>pozitívne</w:t>
      </w:r>
      <w:r>
        <w:t xml:space="preserve"> prispeli k rastu poľnohospodárstvo a stavebníctvo. Z pohľadu makroekonomických základní pre daňové a odvodové príjmy, makroekonomický vývoj v roku 2019 nedosiahol očakávania rozpočtovej prognózy MF SR.</w:t>
      </w:r>
    </w:p>
    <w:p w14:paraId="714B8E36" w14:textId="177A3D4F" w:rsidR="00995AB9" w:rsidRDefault="00995AB9" w:rsidP="004F4CD7">
      <w:pPr>
        <w:spacing w:before="120" w:after="120"/>
        <w:jc w:val="both"/>
      </w:pPr>
      <w:r w:rsidRPr="00CD2438">
        <w:t>Makroekonomické predpoklady rozpočtu VS na rok 2019 vychádzali z prognózy VpMP z 12. 9. 2018</w:t>
      </w:r>
      <w:r w:rsidR="004F4CD7" w:rsidRPr="00CD2438">
        <w:t xml:space="preserve"> (Tabuľka 1 v Prílohe).</w:t>
      </w:r>
      <w:r w:rsidR="004F4CD7" w:rsidRPr="004F4CD7">
        <w:t xml:space="preserve"> </w:t>
      </w:r>
      <w:r w:rsidRPr="004F4CD7">
        <w:t>Reálny rast ekonomiky bol nižší ako prognóza MF SR</w:t>
      </w:r>
      <w:r w:rsidR="00C272B8">
        <w:t>,</w:t>
      </w:r>
      <w:r w:rsidRPr="004F4CD7">
        <w:t xml:space="preserve"> použitá pri zostavovaní rozpočtu VS pre rok 2019,</w:t>
      </w:r>
      <w:r>
        <w:t xml:space="preserve"> zatiaľ čo vládna spotreba a investície rástli oproti prognóze rýchlejšie</w:t>
      </w:r>
      <w:r w:rsidR="002A460A">
        <w:t xml:space="preserve"> (Graf 1)</w:t>
      </w:r>
      <w:r>
        <w:t>. Rast HDP smerom nadol výrazne ovplyvnil zahraničný obchod a očakávania prognózy nedosiahla ani súkromná spotreba. Export aj import rástli pomalšie</w:t>
      </w:r>
      <w:r w:rsidR="00C272B8">
        <w:t>,</w:t>
      </w:r>
      <w:r>
        <w:t xml:space="preserve"> ako sa očakávalo v prognóze, avšak export spomalil výraznejšie a to o 6,22 p. b. Nominálnemu HDP mierne pomohol vyšší rast cien. Trh práce sa vyvíjal nad očakávania, </w:t>
      </w:r>
      <w:r w:rsidR="00C272B8">
        <w:t>keďže</w:t>
      </w:r>
      <w:r>
        <w:t xml:space="preserve"> rástla rýchlejšie nielen zamestnanosť, ale aj priemerná mzda. </w:t>
      </w:r>
      <w:r w:rsidRPr="00CD2438">
        <w:rPr>
          <w:b/>
        </w:rPr>
        <w:t>Z makroekonomického pohľadu bol rok 2019 pre dane a odvody neutrálny, pretože aj napriek mzdovej báze, ktorá prekonala očakávania, rástli ostatné makro</w:t>
      </w:r>
      <w:r w:rsidR="008B6103" w:rsidRPr="00CD2438">
        <w:rPr>
          <w:b/>
        </w:rPr>
        <w:t xml:space="preserve">ekonomické </w:t>
      </w:r>
      <w:r w:rsidRPr="00CD2438">
        <w:rPr>
          <w:b/>
        </w:rPr>
        <w:t>základne pomalšie oproti prognóze.</w:t>
      </w:r>
      <w:r>
        <w:t xml:space="preserve"> Vyšší rast mzdovej bázy sa nepremietol do rýchlejšieho rastu spotreby domácnosti a ani do celého HDP</w:t>
      </w:r>
      <w:r w:rsidR="000E01DE">
        <w:t>,</w:t>
      </w:r>
      <w:r>
        <w:t xml:space="preserve"> a celkovo tak makroekonomický vývoj </w:t>
      </w:r>
      <w:r w:rsidR="002C70E4">
        <w:t>v roku 2019 nepredstavoval</w:t>
      </w:r>
      <w:r>
        <w:t xml:space="preserve"> rizik</w:t>
      </w:r>
      <w:r w:rsidR="002C70E4">
        <w:t>o</w:t>
      </w:r>
      <w:r>
        <w:t xml:space="preserve"> pre rozpočtové príjmy VS. </w:t>
      </w:r>
    </w:p>
    <w:tbl>
      <w:tblPr>
        <w:tblW w:w="5000" w:type="pct"/>
        <w:tblLook w:val="04A0" w:firstRow="1" w:lastRow="0" w:firstColumn="1" w:lastColumn="0" w:noHBand="0" w:noVBand="1"/>
      </w:tblPr>
      <w:tblGrid>
        <w:gridCol w:w="9356"/>
      </w:tblGrid>
      <w:tr w:rsidR="00995AB9" w:rsidRPr="00926AA7" w14:paraId="4145A497" w14:textId="77777777" w:rsidTr="00A940B3">
        <w:trPr>
          <w:trHeight w:val="227"/>
        </w:trPr>
        <w:tc>
          <w:tcPr>
            <w:tcW w:w="5000" w:type="pct"/>
            <w:tcBorders>
              <w:top w:val="single" w:sz="4" w:space="0" w:color="auto"/>
              <w:bottom w:val="single" w:sz="4" w:space="0" w:color="auto"/>
            </w:tcBorders>
            <w:shd w:val="clear" w:color="auto" w:fill="0070C0"/>
            <w:vAlign w:val="center"/>
          </w:tcPr>
          <w:p w14:paraId="7A9BACEB" w14:textId="55C6F0B8" w:rsidR="00995AB9" w:rsidRPr="00926AA7" w:rsidRDefault="002A460A" w:rsidP="00CA04C0">
            <w:pPr>
              <w:rPr>
                <w:b/>
                <w:szCs w:val="24"/>
              </w:rPr>
            </w:pPr>
            <w:r>
              <w:rPr>
                <w:b/>
                <w:color w:val="FFFFFF" w:themeColor="background1"/>
                <w:szCs w:val="24"/>
              </w:rPr>
              <w:t xml:space="preserve">Graf 1: </w:t>
            </w:r>
            <w:r w:rsidR="00995AB9">
              <w:rPr>
                <w:b/>
                <w:color w:val="FFFFFF" w:themeColor="background1"/>
                <w:szCs w:val="24"/>
              </w:rPr>
              <w:t>Porovnanie prognózy V</w:t>
            </w:r>
            <w:r w:rsidR="00CA04C0">
              <w:rPr>
                <w:b/>
                <w:color w:val="FFFFFF" w:themeColor="background1"/>
                <w:szCs w:val="24"/>
              </w:rPr>
              <w:t>pMP</w:t>
            </w:r>
            <w:r w:rsidR="00995AB9">
              <w:rPr>
                <w:b/>
                <w:color w:val="FFFFFF" w:themeColor="background1"/>
                <w:szCs w:val="24"/>
              </w:rPr>
              <w:t xml:space="preserve"> a skutočnosti za rok 2019</w:t>
            </w:r>
            <w:r w:rsidR="00CA04C0">
              <w:rPr>
                <w:b/>
                <w:color w:val="FFFFFF" w:themeColor="background1"/>
                <w:szCs w:val="24"/>
              </w:rPr>
              <w:t xml:space="preserve"> (medziročná zmena v %)</w:t>
            </w:r>
          </w:p>
        </w:tc>
      </w:tr>
      <w:tr w:rsidR="00995AB9" w:rsidRPr="00926AA7" w14:paraId="3DCF3808" w14:textId="77777777" w:rsidTr="00A940B3">
        <w:tblPrEx>
          <w:tblCellMar>
            <w:left w:w="70" w:type="dxa"/>
            <w:right w:w="70" w:type="dxa"/>
          </w:tblCellMar>
        </w:tblPrEx>
        <w:trPr>
          <w:trHeight w:val="2324"/>
        </w:trPr>
        <w:tc>
          <w:tcPr>
            <w:tcW w:w="5000" w:type="pct"/>
            <w:tcBorders>
              <w:top w:val="single" w:sz="4" w:space="0" w:color="auto"/>
              <w:bottom w:val="single" w:sz="4" w:space="0" w:color="auto"/>
            </w:tcBorders>
          </w:tcPr>
          <w:p w14:paraId="27C7FA04" w14:textId="77777777" w:rsidR="00995AB9" w:rsidRPr="00926AA7" w:rsidRDefault="00995AB9" w:rsidP="00A940B3">
            <w:pPr>
              <w:pStyle w:val="Bezriadkovania"/>
            </w:pPr>
            <w:r>
              <w:rPr>
                <w:noProof/>
              </w:rPr>
              <w:drawing>
                <wp:inline distT="0" distB="0" distL="0" distR="0" wp14:anchorId="1C745D84" wp14:editId="5EAE3637">
                  <wp:extent cx="6080760" cy="2506980"/>
                  <wp:effectExtent l="0" t="0" r="0" b="7620"/>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1A556CF" w14:textId="77777777" w:rsidR="00995AB9" w:rsidRPr="00376728" w:rsidRDefault="00995AB9" w:rsidP="00A940B3">
      <w:pPr>
        <w:pStyle w:val="Bezriadkovania"/>
        <w:spacing w:after="120"/>
        <w:jc w:val="both"/>
        <w:rPr>
          <w:i/>
          <w:sz w:val="18"/>
        </w:rPr>
      </w:pPr>
      <w:r w:rsidRPr="00376728">
        <w:rPr>
          <w:i/>
          <w:sz w:val="18"/>
        </w:rPr>
        <w:t>Zdroj: ŠZÚ, Prognóza VpMP MF SR zo septembra 2018, ŠÚ SR</w:t>
      </w:r>
    </w:p>
    <w:p w14:paraId="5269BA2D" w14:textId="0E7CD722" w:rsidR="00995AB9" w:rsidRDefault="008B6103" w:rsidP="00DD2703">
      <w:pPr>
        <w:spacing w:before="120" w:after="120"/>
        <w:jc w:val="both"/>
      </w:pPr>
      <w:r>
        <w:lastRenderedPageBreak/>
        <w:t>Z hľadiska medzinárodného porovnania výkonnosti ekonomík, na základe rastu HDP v roku 2019, sa Slovensko v rámci</w:t>
      </w:r>
      <w:r w:rsidR="00013E10">
        <w:t xml:space="preserve"> krajín V4 + 2 umiestnilo s 2,3</w:t>
      </w:r>
      <w:r>
        <w:t>%-ným rastom za Maďarskom, Poľskom, Slovinskom a</w:t>
      </w:r>
      <w:r w:rsidR="002A460A">
        <w:t> </w:t>
      </w:r>
      <w:r>
        <w:t>Českom.</w:t>
      </w:r>
      <w:r w:rsidR="00BC62A3">
        <w:t xml:space="preserve"> Ekonomika E</w:t>
      </w:r>
      <w:r w:rsidR="00274F66">
        <w:t>Ú</w:t>
      </w:r>
      <w:r w:rsidR="00BC62A3">
        <w:t xml:space="preserve"> </w:t>
      </w:r>
      <w:r w:rsidR="00274F66">
        <w:t xml:space="preserve">Veľkej </w:t>
      </w:r>
      <w:r w:rsidR="00BC62A3">
        <w:t xml:space="preserve">Británie vlani </w:t>
      </w:r>
      <w:r w:rsidR="00274F66">
        <w:t xml:space="preserve">vzrástla </w:t>
      </w:r>
      <w:r w:rsidR="00BC62A3">
        <w:t xml:space="preserve">o 1,5 %, zatiaľ čo </w:t>
      </w:r>
      <w:r w:rsidR="00274F66">
        <w:t>e</w:t>
      </w:r>
      <w:r w:rsidR="00BC62A3">
        <w:t xml:space="preserve">urozóna </w:t>
      </w:r>
      <w:r w:rsidR="00274F66">
        <w:t>rástla miernejšie,</w:t>
      </w:r>
      <w:r w:rsidR="00BC62A3">
        <w:t xml:space="preserve"> o 1,2 %</w:t>
      </w:r>
      <w:r w:rsidR="001E10AC">
        <w:t xml:space="preserve"> (Graf 2)</w:t>
      </w:r>
      <w:r w:rsidR="00BC62A3">
        <w:t>.</w:t>
      </w:r>
    </w:p>
    <w:tbl>
      <w:tblPr>
        <w:tblW w:w="5000" w:type="pct"/>
        <w:tblLook w:val="04A0" w:firstRow="1" w:lastRow="0" w:firstColumn="1" w:lastColumn="0" w:noHBand="0" w:noVBand="1"/>
      </w:tblPr>
      <w:tblGrid>
        <w:gridCol w:w="9356"/>
      </w:tblGrid>
      <w:tr w:rsidR="00995AB9" w:rsidRPr="00926AA7" w14:paraId="6267ECFF" w14:textId="77777777" w:rsidTr="00C22938">
        <w:trPr>
          <w:trHeight w:val="140"/>
        </w:trPr>
        <w:tc>
          <w:tcPr>
            <w:tcW w:w="5000" w:type="pct"/>
            <w:tcBorders>
              <w:top w:val="single" w:sz="4" w:space="0" w:color="auto"/>
              <w:bottom w:val="single" w:sz="4" w:space="0" w:color="auto"/>
            </w:tcBorders>
            <w:shd w:val="clear" w:color="auto" w:fill="0070C0"/>
            <w:vAlign w:val="center"/>
          </w:tcPr>
          <w:p w14:paraId="3D18259E" w14:textId="7DAAF1C7" w:rsidR="00995AB9" w:rsidRPr="00926AA7" w:rsidRDefault="002A460A" w:rsidP="00A940B3">
            <w:pPr>
              <w:rPr>
                <w:b/>
                <w:szCs w:val="24"/>
              </w:rPr>
            </w:pPr>
            <w:r>
              <w:rPr>
                <w:b/>
                <w:color w:val="FFFFFF" w:themeColor="background1"/>
                <w:szCs w:val="24"/>
              </w:rPr>
              <w:t xml:space="preserve">Graf 2: </w:t>
            </w:r>
            <w:r w:rsidR="00995AB9">
              <w:rPr>
                <w:b/>
                <w:color w:val="FFFFFF" w:themeColor="background1"/>
                <w:szCs w:val="24"/>
              </w:rPr>
              <w:t xml:space="preserve">Medzinárodné porovnanie </w:t>
            </w:r>
            <w:r w:rsidR="009D6D88">
              <w:rPr>
                <w:b/>
                <w:color w:val="FFFFFF" w:themeColor="background1"/>
                <w:szCs w:val="24"/>
              </w:rPr>
              <w:t xml:space="preserve">tempa </w:t>
            </w:r>
            <w:r w:rsidR="00995AB9">
              <w:rPr>
                <w:b/>
                <w:color w:val="FFFFFF" w:themeColor="background1"/>
                <w:szCs w:val="24"/>
              </w:rPr>
              <w:t>rastu HDP v roku 2019</w:t>
            </w:r>
          </w:p>
        </w:tc>
      </w:tr>
      <w:tr w:rsidR="00995AB9" w:rsidRPr="00926AA7" w14:paraId="24FC722C" w14:textId="77777777" w:rsidTr="00C22938">
        <w:tblPrEx>
          <w:tblCellMar>
            <w:left w:w="70" w:type="dxa"/>
            <w:right w:w="70" w:type="dxa"/>
          </w:tblCellMar>
        </w:tblPrEx>
        <w:trPr>
          <w:trHeight w:val="2098"/>
        </w:trPr>
        <w:tc>
          <w:tcPr>
            <w:tcW w:w="5000" w:type="pct"/>
            <w:tcBorders>
              <w:top w:val="single" w:sz="4" w:space="0" w:color="auto"/>
              <w:bottom w:val="single" w:sz="4" w:space="0" w:color="auto"/>
            </w:tcBorders>
          </w:tcPr>
          <w:p w14:paraId="47FBE13B" w14:textId="77777777" w:rsidR="00995AB9" w:rsidRPr="00CA38CA" w:rsidRDefault="00995AB9" w:rsidP="00A940B3">
            <w:pPr>
              <w:pStyle w:val="Bezriadkovania"/>
              <w:rPr>
                <w:color w:val="92D050"/>
              </w:rPr>
            </w:pPr>
            <w:r w:rsidRPr="00CA38CA">
              <w:rPr>
                <w:noProof/>
                <w:color w:val="92D050"/>
              </w:rPr>
              <w:drawing>
                <wp:inline distT="0" distB="0" distL="0" distR="0" wp14:anchorId="6A630AF1" wp14:editId="10064428">
                  <wp:extent cx="5836920" cy="1920240"/>
                  <wp:effectExtent l="0" t="0" r="0" b="3810"/>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47F85226" w14:textId="4741B2FD" w:rsidR="00995AB9" w:rsidRPr="008B6103" w:rsidRDefault="00995AB9" w:rsidP="008B6103">
      <w:pPr>
        <w:spacing w:after="120"/>
        <w:rPr>
          <w:i/>
          <w:sz w:val="18"/>
        </w:rPr>
      </w:pPr>
      <w:r w:rsidRPr="00376728">
        <w:rPr>
          <w:i/>
          <w:sz w:val="18"/>
        </w:rPr>
        <w:t>Zdroj: Eurostat</w:t>
      </w:r>
      <w:r>
        <w:t xml:space="preserve"> </w:t>
      </w:r>
    </w:p>
    <w:p w14:paraId="3DCD6BB3" w14:textId="48D44931" w:rsidR="00BB0EAF" w:rsidRDefault="00FF468A" w:rsidP="0094430C">
      <w:pPr>
        <w:pStyle w:val="Nadpis1"/>
        <w:numPr>
          <w:ilvl w:val="0"/>
          <w:numId w:val="23"/>
        </w:numPr>
      </w:pPr>
      <w:bookmarkStart w:id="12" w:name="_Toc480788314"/>
      <w:bookmarkStart w:id="13" w:name="_Toc43218062"/>
      <w:r w:rsidRPr="0002327B">
        <w:t>Hospodárenie</w:t>
      </w:r>
      <w:r w:rsidR="00BB0EAF" w:rsidRPr="008B401F">
        <w:t xml:space="preserve"> verejnej správy v metodike ESA 2010</w:t>
      </w:r>
      <w:bookmarkEnd w:id="12"/>
      <w:bookmarkEnd w:id="13"/>
    </w:p>
    <w:p w14:paraId="0CA98281" w14:textId="4C1EF2B4" w:rsidR="00142DEB" w:rsidRDefault="00147AF2" w:rsidP="00DD2703">
      <w:pPr>
        <w:spacing w:before="120" w:after="120"/>
        <w:jc w:val="both"/>
      </w:pPr>
      <w:r>
        <w:t>V čase tvorby tohto stanoviska sa hodnotí hospodárenie verejnej správy na základe predbežných výsledkov hospodárenia, ktoré sa v metodike</w:t>
      </w:r>
      <w:r w:rsidR="00142DEB" w:rsidRPr="008F6E2E">
        <w:t xml:space="preserve"> ESA 2010 za predchádzajúci </w:t>
      </w:r>
      <w:r w:rsidR="00142DEB">
        <w:t xml:space="preserve">rok predkladajú Eurostatu do 1. </w:t>
      </w:r>
      <w:r w:rsidR="003F71CE">
        <w:t>apríla</w:t>
      </w:r>
      <w:r w:rsidR="00142DEB" w:rsidRPr="008F6E2E">
        <w:t xml:space="preserve"> b</w:t>
      </w:r>
      <w:r w:rsidR="00142DEB">
        <w:t>ežného roka</w:t>
      </w:r>
      <w:r>
        <w:t>.</w:t>
      </w:r>
      <w:r>
        <w:rPr>
          <w:rStyle w:val="Odkaznapoznmkupodiarou"/>
        </w:rPr>
        <w:footnoteReference w:id="2"/>
      </w:r>
      <w:r>
        <w:t xml:space="preserve"> </w:t>
      </w:r>
      <w:r w:rsidR="00142DEB" w:rsidRPr="003A1C5B">
        <w:t xml:space="preserve">Pre definitívne výsledky hospodárenia VS za predchádzajúci rok </w:t>
      </w:r>
      <w:r>
        <w:t>bude</w:t>
      </w:r>
      <w:r w:rsidR="00142DEB" w:rsidRPr="003A1C5B">
        <w:t xml:space="preserve"> rozhodujúce stanovisko a notifikácia Eurostatu k výsledkom </w:t>
      </w:r>
      <w:r w:rsidR="006A7C86">
        <w:t>predloženým</w:t>
      </w:r>
      <w:r w:rsidR="009A13C2">
        <w:t xml:space="preserve"> do 1. </w:t>
      </w:r>
      <w:r w:rsidR="003F71CE">
        <w:t>októbra</w:t>
      </w:r>
      <w:r w:rsidR="009A13C2">
        <w:t xml:space="preserve"> </w:t>
      </w:r>
      <w:r>
        <w:t>2020</w:t>
      </w:r>
      <w:r w:rsidR="009A13C2">
        <w:t>.</w:t>
      </w:r>
    </w:p>
    <w:p w14:paraId="5E00457C" w14:textId="77461A84" w:rsidR="00130DC8" w:rsidRPr="00B65248" w:rsidRDefault="00BB0EAF" w:rsidP="0094430C">
      <w:pPr>
        <w:pStyle w:val="Nadpis2"/>
        <w:numPr>
          <w:ilvl w:val="1"/>
          <w:numId w:val="23"/>
        </w:numPr>
      </w:pPr>
      <w:bookmarkStart w:id="14" w:name="_Toc480788315"/>
      <w:bookmarkStart w:id="15" w:name="_Toc43218063"/>
      <w:r w:rsidRPr="0094430C">
        <w:t>Saldo</w:t>
      </w:r>
      <w:r w:rsidRPr="00B65248">
        <w:t xml:space="preserve"> verejnej správy</w:t>
      </w:r>
      <w:bookmarkEnd w:id="14"/>
      <w:bookmarkEnd w:id="15"/>
    </w:p>
    <w:p w14:paraId="79279362" w14:textId="3263C0AC" w:rsidR="00995AB9" w:rsidRDefault="00995AB9" w:rsidP="00995AB9">
      <w:pPr>
        <w:spacing w:before="120" w:after="120"/>
        <w:jc w:val="both"/>
      </w:pPr>
      <w:r>
        <w:t>Podľa predbežných výsledkov hospodáreni</w:t>
      </w:r>
      <w:r w:rsidR="00D456ED">
        <w:t>e</w:t>
      </w:r>
      <w:r>
        <w:t xml:space="preserve"> rozpočtu VS v metodike ESA 2010 dosiahlo za rok 2019 </w:t>
      </w:r>
      <w:r w:rsidR="00E7494F">
        <w:t xml:space="preserve">deficit </w:t>
      </w:r>
      <w:r>
        <w:t>1,3 % HDP</w:t>
      </w:r>
      <w:r w:rsidR="0046419A">
        <w:t>.</w:t>
      </w:r>
      <w:r>
        <w:t xml:space="preserve"> </w:t>
      </w:r>
      <w:r w:rsidR="0046419A">
        <w:t>T</w:t>
      </w:r>
      <w:r>
        <w:t xml:space="preserve">o je </w:t>
      </w:r>
      <w:r w:rsidR="0046419A">
        <w:t xml:space="preserve">oproti </w:t>
      </w:r>
      <w:r w:rsidR="00F1508C">
        <w:t xml:space="preserve">hlavnému cieľu </w:t>
      </w:r>
      <w:r w:rsidR="0046419A">
        <w:t xml:space="preserve">rozpočtu </w:t>
      </w:r>
      <w:r>
        <w:t xml:space="preserve">o 1,3 p. b. viac, </w:t>
      </w:r>
      <w:r w:rsidR="00635957">
        <w:t>pretože</w:t>
      </w:r>
      <w:r>
        <w:t xml:space="preserve"> </w:t>
      </w:r>
      <w:r w:rsidR="0046419A">
        <w:t>mal byť v</w:t>
      </w:r>
      <w:r>
        <w:t xml:space="preserve">yrovnaný. </w:t>
      </w:r>
      <w:r w:rsidRPr="00DD2703">
        <w:rPr>
          <w:b/>
        </w:rPr>
        <w:t xml:space="preserve">Skutočný schodok rozpočtu VS bol v porovnaní so zákonom rozpočtovanou sumou vyšší o 1 220 mil. eur a v porovnaní s rokom 2018 došlo k jeho navýšeniu o 279 mil. eur, t. j. o 9,6 %. </w:t>
      </w:r>
      <w:r w:rsidRPr="00A02FEA">
        <w:rPr>
          <w:b/>
        </w:rPr>
        <w:t>NKÚ SR</w:t>
      </w:r>
      <w:r>
        <w:rPr>
          <w:b/>
        </w:rPr>
        <w:t xml:space="preserve"> konštatuje, že na základe predbežných výsledkov nebol hlavný cieľ rozpočtu VS splnený. </w:t>
      </w:r>
      <w:r>
        <w:t>Podľa akruálnych výsledkov hospodárenia dosiahli príjmy VS v roku 2019 výšku 39 178 mil. eur a výdavky 40 398 mil. eur.</w:t>
      </w:r>
    </w:p>
    <w:p w14:paraId="291DAD02" w14:textId="3477C5B4" w:rsidR="00DD2703" w:rsidRPr="00A02FEA" w:rsidRDefault="00DD2703" w:rsidP="00995AB9">
      <w:pPr>
        <w:spacing w:before="120" w:after="120"/>
        <w:jc w:val="both"/>
      </w:pPr>
      <w:r w:rsidRPr="00CD2438">
        <w:rPr>
          <w:b/>
        </w:rPr>
        <w:t xml:space="preserve">Výsledky hospodárenia za rok 2019 ukazujú, že vláda neurobila </w:t>
      </w:r>
      <w:r w:rsidR="004A056D">
        <w:rPr>
          <w:b/>
        </w:rPr>
        <w:t xml:space="preserve">dostatočné </w:t>
      </w:r>
      <w:r w:rsidRPr="00CD2438">
        <w:rPr>
          <w:b/>
        </w:rPr>
        <w:t>krok</w:t>
      </w:r>
      <w:r w:rsidR="006A7C86">
        <w:rPr>
          <w:b/>
        </w:rPr>
        <w:t>y</w:t>
      </w:r>
      <w:r w:rsidRPr="00CD2438">
        <w:rPr>
          <w:b/>
        </w:rPr>
        <w:t xml:space="preserve"> k zlepšeniu hospodárenia, naopak</w:t>
      </w:r>
      <w:r w:rsidR="00CD2438" w:rsidRPr="00CD2438">
        <w:rPr>
          <w:b/>
        </w:rPr>
        <w:t>,</w:t>
      </w:r>
      <w:r w:rsidRPr="00CD2438">
        <w:rPr>
          <w:b/>
        </w:rPr>
        <w:t xml:space="preserve"> prispela k navýšeniu deficitu VS.</w:t>
      </w:r>
      <w:r>
        <w:t xml:space="preserve"> Aj napriek tomu, že slovenská ekonomika nerástla plánovaným 4,5</w:t>
      </w:r>
      <w:r w:rsidR="004A056D">
        <w:t xml:space="preserve"> </w:t>
      </w:r>
      <w:r>
        <w:t xml:space="preserve">% tempom, príjmy VS </w:t>
      </w:r>
      <w:r w:rsidR="004A056D">
        <w:t>prekonali</w:t>
      </w:r>
      <w:r w:rsidR="00B909EA">
        <w:t xml:space="preserve"> očakávania.</w:t>
      </w:r>
      <w:r>
        <w:t xml:space="preserve"> </w:t>
      </w:r>
      <w:r w:rsidR="00B909EA">
        <w:t>V</w:t>
      </w:r>
      <w:r>
        <w:t xml:space="preserve">ývoj na strane </w:t>
      </w:r>
      <w:r w:rsidR="00B909EA">
        <w:t>výdavkov však prekonal očakávania ešte výraznejšie</w:t>
      </w:r>
      <w:r>
        <w:t>. Dosiahnuť prebytkové hospodárenie v budúcich rokov si tak vyžiada výraznejšie š</w:t>
      </w:r>
      <w:r w:rsidR="00B909EA">
        <w:t>etrenie</w:t>
      </w:r>
      <w:r>
        <w:t xml:space="preserve">. </w:t>
      </w:r>
      <w:r w:rsidR="00B909EA">
        <w:t xml:space="preserve">Kvôli koronakríze to však bude </w:t>
      </w:r>
      <w:r>
        <w:t xml:space="preserve">zložité, nakoľko </w:t>
      </w:r>
      <w:r w:rsidR="004A056D">
        <w:t xml:space="preserve">vláda </w:t>
      </w:r>
      <w:r w:rsidR="00B909EA">
        <w:t xml:space="preserve">bude musieť </w:t>
      </w:r>
      <w:r>
        <w:t>vynaložiť značné úsilie na pomoc ekonomike.</w:t>
      </w:r>
    </w:p>
    <w:p w14:paraId="7E4E18D3" w14:textId="77777777" w:rsidR="00995AB9" w:rsidRPr="00C63B60" w:rsidRDefault="00995AB9" w:rsidP="00A940B3">
      <w:pPr>
        <w:spacing w:before="120"/>
        <w:jc w:val="both"/>
        <w:rPr>
          <w:b/>
          <w:i/>
        </w:rPr>
      </w:pPr>
      <w:r w:rsidRPr="00C63B60">
        <w:rPr>
          <w:b/>
          <w:i/>
        </w:rPr>
        <w:t>Vývoj schodku VS na akruálnej báze v rokoch 2018 a 2019</w:t>
      </w:r>
    </w:p>
    <w:tbl>
      <w:tblPr>
        <w:tblStyle w:val="Mriekatabuky"/>
        <w:tblW w:w="5000" w:type="pct"/>
        <w:tblLook w:val="04A0" w:firstRow="1" w:lastRow="0" w:firstColumn="1" w:lastColumn="0" w:noHBand="0" w:noVBand="1"/>
      </w:tblPr>
      <w:tblGrid>
        <w:gridCol w:w="2293"/>
        <w:gridCol w:w="1133"/>
        <w:gridCol w:w="1033"/>
        <w:gridCol w:w="1133"/>
        <w:gridCol w:w="1322"/>
        <w:gridCol w:w="1211"/>
        <w:gridCol w:w="1221"/>
      </w:tblGrid>
      <w:tr w:rsidR="002445FF" w:rsidRPr="006A7C86" w14:paraId="464F92B9" w14:textId="77777777" w:rsidTr="00F94997">
        <w:trPr>
          <w:trHeight w:val="397"/>
        </w:trPr>
        <w:tc>
          <w:tcPr>
            <w:tcW w:w="1227" w:type="pct"/>
            <w:shd w:val="clear" w:color="auto" w:fill="0070C0"/>
            <w:vAlign w:val="center"/>
          </w:tcPr>
          <w:p w14:paraId="151B4B2B" w14:textId="77777777" w:rsidR="00995AB9" w:rsidRPr="006A7C86" w:rsidRDefault="00995AB9" w:rsidP="00A940B3">
            <w:pPr>
              <w:pStyle w:val="Bezriadkovania"/>
              <w:jc w:val="center"/>
              <w:rPr>
                <w:b/>
                <w:color w:val="FFFFFF" w:themeColor="background1"/>
                <w:sz w:val="20"/>
                <w:szCs w:val="20"/>
              </w:rPr>
            </w:pPr>
            <w:r w:rsidRPr="006A7C86">
              <w:rPr>
                <w:b/>
                <w:color w:val="FFFFFF" w:themeColor="background1"/>
                <w:sz w:val="20"/>
                <w:szCs w:val="20"/>
              </w:rPr>
              <w:t xml:space="preserve">Ukazovateľ </w:t>
            </w:r>
            <w:r w:rsidRPr="006A7C86">
              <w:rPr>
                <w:b/>
                <w:color w:val="FFFFFF" w:themeColor="background1"/>
                <w:sz w:val="20"/>
                <w:szCs w:val="20"/>
              </w:rPr>
              <w:br/>
              <w:t>(v mil. eur, ak nie je uvedené inak)</w:t>
            </w:r>
          </w:p>
        </w:tc>
        <w:tc>
          <w:tcPr>
            <w:tcW w:w="606" w:type="pct"/>
            <w:shd w:val="clear" w:color="auto" w:fill="0070C0"/>
            <w:vAlign w:val="center"/>
          </w:tcPr>
          <w:p w14:paraId="531F757B" w14:textId="3FE824CD" w:rsidR="00995AB9" w:rsidRPr="006A7C86" w:rsidRDefault="00995AB9" w:rsidP="002445FF">
            <w:pPr>
              <w:pStyle w:val="Bezriadkovania"/>
              <w:jc w:val="center"/>
              <w:rPr>
                <w:b/>
                <w:color w:val="FFFFFF" w:themeColor="background1"/>
                <w:sz w:val="20"/>
                <w:szCs w:val="20"/>
              </w:rPr>
            </w:pPr>
            <w:r w:rsidRPr="006A7C86">
              <w:rPr>
                <w:b/>
                <w:color w:val="FFFFFF" w:themeColor="background1"/>
                <w:sz w:val="20"/>
                <w:szCs w:val="20"/>
              </w:rPr>
              <w:t xml:space="preserve">2018 </w:t>
            </w:r>
            <w:r w:rsidR="002445FF">
              <w:rPr>
                <w:b/>
                <w:color w:val="FFFFFF" w:themeColor="background1"/>
                <w:sz w:val="20"/>
                <w:szCs w:val="20"/>
              </w:rPr>
              <w:t>S</w:t>
            </w:r>
            <w:r w:rsidRPr="006A7C86">
              <w:rPr>
                <w:b/>
                <w:color w:val="FFFFFF" w:themeColor="background1"/>
                <w:sz w:val="20"/>
                <w:szCs w:val="20"/>
              </w:rPr>
              <w:t>kutočnosť</w:t>
            </w:r>
          </w:p>
        </w:tc>
        <w:tc>
          <w:tcPr>
            <w:tcW w:w="553" w:type="pct"/>
            <w:shd w:val="clear" w:color="auto" w:fill="0070C0"/>
            <w:vAlign w:val="center"/>
          </w:tcPr>
          <w:p w14:paraId="78EAC6BF" w14:textId="77777777" w:rsidR="00995AB9" w:rsidRPr="006A7C86" w:rsidRDefault="00995AB9" w:rsidP="00A940B3">
            <w:pPr>
              <w:pStyle w:val="Bezriadkovania"/>
              <w:jc w:val="center"/>
              <w:rPr>
                <w:b/>
                <w:color w:val="FFFFFF" w:themeColor="background1"/>
                <w:sz w:val="20"/>
                <w:szCs w:val="20"/>
              </w:rPr>
            </w:pPr>
            <w:r w:rsidRPr="006A7C86">
              <w:rPr>
                <w:b/>
                <w:color w:val="FFFFFF" w:themeColor="background1"/>
                <w:sz w:val="20"/>
                <w:szCs w:val="20"/>
              </w:rPr>
              <w:t>2019 Rozpočet</w:t>
            </w:r>
          </w:p>
        </w:tc>
        <w:tc>
          <w:tcPr>
            <w:tcW w:w="606" w:type="pct"/>
            <w:shd w:val="clear" w:color="auto" w:fill="0070C0"/>
            <w:vAlign w:val="center"/>
          </w:tcPr>
          <w:p w14:paraId="61D79023" w14:textId="77777777" w:rsidR="00995AB9" w:rsidRPr="006A7C86" w:rsidRDefault="00995AB9" w:rsidP="00A940B3">
            <w:pPr>
              <w:pStyle w:val="Bezriadkovania"/>
              <w:jc w:val="center"/>
              <w:rPr>
                <w:b/>
                <w:color w:val="FFFFFF" w:themeColor="background1"/>
                <w:sz w:val="20"/>
                <w:szCs w:val="20"/>
              </w:rPr>
            </w:pPr>
            <w:r w:rsidRPr="006A7C86">
              <w:rPr>
                <w:b/>
                <w:color w:val="FFFFFF" w:themeColor="background1"/>
                <w:sz w:val="20"/>
                <w:szCs w:val="20"/>
              </w:rPr>
              <w:t>2019 Skutočnosť</w:t>
            </w:r>
          </w:p>
        </w:tc>
        <w:tc>
          <w:tcPr>
            <w:tcW w:w="707" w:type="pct"/>
            <w:shd w:val="clear" w:color="auto" w:fill="0070C0"/>
            <w:vAlign w:val="center"/>
          </w:tcPr>
          <w:p w14:paraId="1F45F840" w14:textId="77777777" w:rsidR="00995AB9" w:rsidRDefault="00995AB9" w:rsidP="00A940B3">
            <w:pPr>
              <w:pStyle w:val="Bezriadkovania"/>
              <w:jc w:val="center"/>
              <w:rPr>
                <w:b/>
                <w:color w:val="FFFFFF" w:themeColor="background1"/>
                <w:sz w:val="20"/>
                <w:szCs w:val="20"/>
              </w:rPr>
            </w:pPr>
            <w:r w:rsidRPr="006A7C86">
              <w:rPr>
                <w:b/>
                <w:color w:val="FFFFFF" w:themeColor="background1"/>
                <w:sz w:val="20"/>
                <w:szCs w:val="20"/>
              </w:rPr>
              <w:t>Rozdiel</w:t>
            </w:r>
          </w:p>
          <w:p w14:paraId="25C16735" w14:textId="572FFD07" w:rsidR="002445FF" w:rsidRPr="006A7C86" w:rsidRDefault="002445FF" w:rsidP="00A940B3">
            <w:pPr>
              <w:pStyle w:val="Bezriadkovania"/>
              <w:jc w:val="center"/>
              <w:rPr>
                <w:b/>
                <w:color w:val="FFFFFF" w:themeColor="background1"/>
                <w:sz w:val="20"/>
                <w:szCs w:val="20"/>
              </w:rPr>
            </w:pPr>
            <w:r>
              <w:rPr>
                <w:b/>
                <w:color w:val="FFFFFF" w:themeColor="background1"/>
                <w:sz w:val="20"/>
                <w:szCs w:val="20"/>
              </w:rPr>
              <w:t>2019S - 2019R</w:t>
            </w:r>
          </w:p>
        </w:tc>
        <w:tc>
          <w:tcPr>
            <w:tcW w:w="648" w:type="pct"/>
            <w:shd w:val="clear" w:color="auto" w:fill="0070C0"/>
            <w:vAlign w:val="center"/>
          </w:tcPr>
          <w:p w14:paraId="3ECEF6F5" w14:textId="77777777" w:rsidR="00995AB9" w:rsidRDefault="00995AB9" w:rsidP="00A940B3">
            <w:pPr>
              <w:pStyle w:val="Bezriadkovania"/>
              <w:jc w:val="center"/>
              <w:rPr>
                <w:b/>
                <w:color w:val="FFFFFF" w:themeColor="background1"/>
                <w:sz w:val="20"/>
                <w:szCs w:val="20"/>
              </w:rPr>
            </w:pPr>
            <w:r w:rsidRPr="006A7C86">
              <w:rPr>
                <w:b/>
                <w:color w:val="FFFFFF" w:themeColor="background1"/>
                <w:sz w:val="20"/>
                <w:szCs w:val="20"/>
              </w:rPr>
              <w:t>Index (v %)</w:t>
            </w:r>
          </w:p>
          <w:p w14:paraId="07A12397" w14:textId="00722CF6" w:rsidR="002445FF" w:rsidRPr="006A7C86" w:rsidRDefault="002445FF" w:rsidP="00A940B3">
            <w:pPr>
              <w:pStyle w:val="Bezriadkovania"/>
              <w:jc w:val="center"/>
              <w:rPr>
                <w:b/>
                <w:color w:val="FFFFFF" w:themeColor="background1"/>
                <w:sz w:val="20"/>
                <w:szCs w:val="20"/>
              </w:rPr>
            </w:pPr>
            <w:r>
              <w:rPr>
                <w:b/>
                <w:color w:val="FFFFFF" w:themeColor="background1"/>
                <w:sz w:val="20"/>
                <w:szCs w:val="20"/>
              </w:rPr>
              <w:t>2019S/2018S</w:t>
            </w:r>
          </w:p>
        </w:tc>
        <w:tc>
          <w:tcPr>
            <w:tcW w:w="653" w:type="pct"/>
            <w:shd w:val="clear" w:color="auto" w:fill="0070C0"/>
            <w:vAlign w:val="center"/>
          </w:tcPr>
          <w:p w14:paraId="5D501F21" w14:textId="77777777" w:rsidR="00995AB9" w:rsidRDefault="002445FF" w:rsidP="00A940B3">
            <w:pPr>
              <w:pStyle w:val="Bezriadkovania"/>
              <w:jc w:val="center"/>
              <w:rPr>
                <w:b/>
                <w:color w:val="FFFFFF" w:themeColor="background1"/>
                <w:sz w:val="20"/>
                <w:szCs w:val="20"/>
              </w:rPr>
            </w:pPr>
            <w:r>
              <w:rPr>
                <w:b/>
                <w:color w:val="FFFFFF" w:themeColor="background1"/>
                <w:sz w:val="20"/>
                <w:szCs w:val="20"/>
              </w:rPr>
              <w:t>Index</w:t>
            </w:r>
            <w:r w:rsidR="00995AB9" w:rsidRPr="006A7C86">
              <w:rPr>
                <w:b/>
                <w:color w:val="FFFFFF" w:themeColor="background1"/>
                <w:sz w:val="20"/>
                <w:szCs w:val="20"/>
              </w:rPr>
              <w:t xml:space="preserve"> (v %)</w:t>
            </w:r>
          </w:p>
          <w:p w14:paraId="4BDF0855" w14:textId="7E3EBEF6" w:rsidR="002445FF" w:rsidRPr="006A7C86" w:rsidRDefault="002445FF" w:rsidP="00A940B3">
            <w:pPr>
              <w:pStyle w:val="Bezriadkovania"/>
              <w:jc w:val="center"/>
              <w:rPr>
                <w:b/>
                <w:color w:val="FFFFFF" w:themeColor="background1"/>
                <w:sz w:val="20"/>
                <w:szCs w:val="20"/>
              </w:rPr>
            </w:pPr>
            <w:r>
              <w:rPr>
                <w:b/>
                <w:color w:val="FFFFFF" w:themeColor="background1"/>
                <w:sz w:val="20"/>
                <w:szCs w:val="20"/>
              </w:rPr>
              <w:t>2019S/2019R</w:t>
            </w:r>
          </w:p>
        </w:tc>
      </w:tr>
      <w:tr w:rsidR="002445FF" w:rsidRPr="006A7C86" w14:paraId="6D7A1168" w14:textId="77777777" w:rsidTr="00B65251">
        <w:tc>
          <w:tcPr>
            <w:tcW w:w="1227" w:type="pct"/>
            <w:shd w:val="clear" w:color="auto" w:fill="auto"/>
            <w:vAlign w:val="center"/>
          </w:tcPr>
          <w:p w14:paraId="10559754" w14:textId="77777777" w:rsidR="00995AB9" w:rsidRPr="006A7C86" w:rsidRDefault="00995AB9" w:rsidP="00A940B3">
            <w:pPr>
              <w:pStyle w:val="Bezriadkovania"/>
              <w:rPr>
                <w:sz w:val="20"/>
                <w:szCs w:val="20"/>
              </w:rPr>
            </w:pPr>
            <w:r w:rsidRPr="006A7C86">
              <w:rPr>
                <w:sz w:val="20"/>
                <w:szCs w:val="20"/>
              </w:rPr>
              <w:t>Príjmy spolu</w:t>
            </w:r>
          </w:p>
        </w:tc>
        <w:tc>
          <w:tcPr>
            <w:tcW w:w="606" w:type="pct"/>
            <w:shd w:val="clear" w:color="auto" w:fill="auto"/>
            <w:vAlign w:val="center"/>
          </w:tcPr>
          <w:p w14:paraId="3E9B2AFC" w14:textId="77777777" w:rsidR="00995AB9" w:rsidRPr="006A7C86" w:rsidRDefault="00995AB9" w:rsidP="00164623">
            <w:pPr>
              <w:pStyle w:val="Bezriadkovania"/>
              <w:ind w:hanging="2"/>
              <w:jc w:val="center"/>
              <w:rPr>
                <w:sz w:val="20"/>
                <w:szCs w:val="20"/>
              </w:rPr>
            </w:pPr>
            <w:r w:rsidRPr="006A7C86">
              <w:rPr>
                <w:sz w:val="20"/>
                <w:szCs w:val="20"/>
              </w:rPr>
              <w:t>36 419</w:t>
            </w:r>
          </w:p>
        </w:tc>
        <w:tc>
          <w:tcPr>
            <w:tcW w:w="553" w:type="pct"/>
            <w:shd w:val="clear" w:color="auto" w:fill="auto"/>
            <w:vAlign w:val="center"/>
          </w:tcPr>
          <w:p w14:paraId="61CCEB99" w14:textId="77777777" w:rsidR="00995AB9" w:rsidRPr="006A7C86" w:rsidRDefault="00995AB9" w:rsidP="00164623">
            <w:pPr>
              <w:pStyle w:val="Bezriadkovania"/>
              <w:ind w:hanging="2"/>
              <w:jc w:val="center"/>
              <w:rPr>
                <w:sz w:val="20"/>
                <w:szCs w:val="20"/>
              </w:rPr>
            </w:pPr>
            <w:r w:rsidRPr="006A7C86">
              <w:rPr>
                <w:sz w:val="20"/>
                <w:szCs w:val="20"/>
              </w:rPr>
              <w:t>36 902</w:t>
            </w:r>
          </w:p>
        </w:tc>
        <w:tc>
          <w:tcPr>
            <w:tcW w:w="606" w:type="pct"/>
            <w:shd w:val="clear" w:color="auto" w:fill="auto"/>
            <w:vAlign w:val="center"/>
          </w:tcPr>
          <w:p w14:paraId="0D77358F" w14:textId="77777777" w:rsidR="00995AB9" w:rsidRPr="006A7C86" w:rsidRDefault="00995AB9" w:rsidP="00164623">
            <w:pPr>
              <w:pStyle w:val="Bezriadkovania"/>
              <w:ind w:hanging="2"/>
              <w:jc w:val="center"/>
              <w:rPr>
                <w:sz w:val="20"/>
                <w:szCs w:val="20"/>
              </w:rPr>
            </w:pPr>
            <w:r w:rsidRPr="006A7C86">
              <w:rPr>
                <w:sz w:val="20"/>
                <w:szCs w:val="20"/>
              </w:rPr>
              <w:t>39 178</w:t>
            </w:r>
          </w:p>
        </w:tc>
        <w:tc>
          <w:tcPr>
            <w:tcW w:w="707" w:type="pct"/>
            <w:shd w:val="clear" w:color="auto" w:fill="auto"/>
            <w:vAlign w:val="center"/>
          </w:tcPr>
          <w:p w14:paraId="314E74C9" w14:textId="77777777" w:rsidR="00995AB9" w:rsidRPr="006A7C86" w:rsidRDefault="00995AB9" w:rsidP="00164623">
            <w:pPr>
              <w:pStyle w:val="Bezriadkovania"/>
              <w:ind w:hanging="2"/>
              <w:jc w:val="center"/>
              <w:rPr>
                <w:sz w:val="20"/>
                <w:szCs w:val="20"/>
              </w:rPr>
            </w:pPr>
            <w:r w:rsidRPr="006A7C86">
              <w:rPr>
                <w:sz w:val="20"/>
                <w:szCs w:val="20"/>
              </w:rPr>
              <w:t>2 276</w:t>
            </w:r>
          </w:p>
        </w:tc>
        <w:tc>
          <w:tcPr>
            <w:tcW w:w="648" w:type="pct"/>
            <w:shd w:val="clear" w:color="auto" w:fill="auto"/>
            <w:vAlign w:val="center"/>
          </w:tcPr>
          <w:p w14:paraId="29E30196" w14:textId="77777777" w:rsidR="00995AB9" w:rsidRPr="006A7C86" w:rsidRDefault="00995AB9" w:rsidP="00164623">
            <w:pPr>
              <w:pStyle w:val="Bezriadkovania"/>
              <w:ind w:hanging="2"/>
              <w:jc w:val="center"/>
              <w:rPr>
                <w:sz w:val="20"/>
                <w:szCs w:val="20"/>
              </w:rPr>
            </w:pPr>
            <w:r w:rsidRPr="006A7C86">
              <w:rPr>
                <w:sz w:val="20"/>
                <w:szCs w:val="20"/>
              </w:rPr>
              <w:t>107,6</w:t>
            </w:r>
          </w:p>
        </w:tc>
        <w:tc>
          <w:tcPr>
            <w:tcW w:w="653" w:type="pct"/>
            <w:shd w:val="clear" w:color="auto" w:fill="auto"/>
            <w:vAlign w:val="center"/>
          </w:tcPr>
          <w:p w14:paraId="04C0A4AC" w14:textId="77777777" w:rsidR="00995AB9" w:rsidRPr="006A7C86" w:rsidRDefault="00995AB9" w:rsidP="00164623">
            <w:pPr>
              <w:pStyle w:val="Bezriadkovania"/>
              <w:ind w:hanging="2"/>
              <w:jc w:val="center"/>
              <w:rPr>
                <w:sz w:val="20"/>
                <w:szCs w:val="20"/>
              </w:rPr>
            </w:pPr>
            <w:r w:rsidRPr="006A7C86">
              <w:rPr>
                <w:sz w:val="20"/>
                <w:szCs w:val="20"/>
              </w:rPr>
              <w:t>106,2</w:t>
            </w:r>
          </w:p>
        </w:tc>
      </w:tr>
      <w:tr w:rsidR="002445FF" w:rsidRPr="006A7C86" w14:paraId="1B1FD151" w14:textId="77777777" w:rsidTr="00B65251">
        <w:tc>
          <w:tcPr>
            <w:tcW w:w="1227" w:type="pct"/>
            <w:shd w:val="clear" w:color="auto" w:fill="auto"/>
            <w:vAlign w:val="center"/>
          </w:tcPr>
          <w:p w14:paraId="7EFAA216" w14:textId="77777777" w:rsidR="00995AB9" w:rsidRPr="006A7C86" w:rsidRDefault="00995AB9" w:rsidP="00A940B3">
            <w:pPr>
              <w:pStyle w:val="Bezriadkovania"/>
              <w:rPr>
                <w:sz w:val="20"/>
                <w:szCs w:val="20"/>
              </w:rPr>
            </w:pPr>
            <w:r w:rsidRPr="006A7C86">
              <w:rPr>
                <w:sz w:val="20"/>
                <w:szCs w:val="20"/>
              </w:rPr>
              <w:t>Výdavky spolu</w:t>
            </w:r>
          </w:p>
        </w:tc>
        <w:tc>
          <w:tcPr>
            <w:tcW w:w="606" w:type="pct"/>
            <w:shd w:val="clear" w:color="auto" w:fill="auto"/>
            <w:vAlign w:val="center"/>
          </w:tcPr>
          <w:p w14:paraId="702927FD" w14:textId="77777777" w:rsidR="00995AB9" w:rsidRPr="006A7C86" w:rsidRDefault="00995AB9" w:rsidP="00164623">
            <w:pPr>
              <w:pStyle w:val="Bezriadkovania"/>
              <w:ind w:hanging="2"/>
              <w:jc w:val="center"/>
              <w:rPr>
                <w:sz w:val="20"/>
                <w:szCs w:val="20"/>
              </w:rPr>
            </w:pPr>
            <w:r w:rsidRPr="006A7C86">
              <w:rPr>
                <w:sz w:val="20"/>
                <w:szCs w:val="20"/>
              </w:rPr>
              <w:t>37 360</w:t>
            </w:r>
          </w:p>
        </w:tc>
        <w:tc>
          <w:tcPr>
            <w:tcW w:w="553" w:type="pct"/>
            <w:shd w:val="clear" w:color="auto" w:fill="auto"/>
            <w:vAlign w:val="center"/>
          </w:tcPr>
          <w:p w14:paraId="75F01ACE" w14:textId="77777777" w:rsidR="00995AB9" w:rsidRPr="006A7C86" w:rsidRDefault="00995AB9" w:rsidP="00164623">
            <w:pPr>
              <w:pStyle w:val="Bezriadkovania"/>
              <w:ind w:hanging="2"/>
              <w:jc w:val="center"/>
              <w:rPr>
                <w:sz w:val="20"/>
                <w:szCs w:val="20"/>
              </w:rPr>
            </w:pPr>
            <w:r w:rsidRPr="006A7C86">
              <w:rPr>
                <w:sz w:val="20"/>
                <w:szCs w:val="20"/>
              </w:rPr>
              <w:t>36 902</w:t>
            </w:r>
          </w:p>
        </w:tc>
        <w:tc>
          <w:tcPr>
            <w:tcW w:w="606" w:type="pct"/>
            <w:shd w:val="clear" w:color="auto" w:fill="auto"/>
            <w:vAlign w:val="center"/>
          </w:tcPr>
          <w:p w14:paraId="17414175" w14:textId="77777777" w:rsidR="00995AB9" w:rsidRPr="006A7C86" w:rsidRDefault="00995AB9" w:rsidP="00164623">
            <w:pPr>
              <w:pStyle w:val="Bezriadkovania"/>
              <w:ind w:hanging="2"/>
              <w:jc w:val="center"/>
              <w:rPr>
                <w:sz w:val="20"/>
                <w:szCs w:val="20"/>
              </w:rPr>
            </w:pPr>
            <w:r w:rsidRPr="006A7C86">
              <w:rPr>
                <w:sz w:val="20"/>
                <w:szCs w:val="20"/>
              </w:rPr>
              <w:t>40 398</w:t>
            </w:r>
          </w:p>
        </w:tc>
        <w:tc>
          <w:tcPr>
            <w:tcW w:w="707" w:type="pct"/>
            <w:shd w:val="clear" w:color="auto" w:fill="auto"/>
            <w:vAlign w:val="center"/>
          </w:tcPr>
          <w:p w14:paraId="3D78D948" w14:textId="77777777" w:rsidR="00995AB9" w:rsidRPr="006A7C86" w:rsidRDefault="00995AB9" w:rsidP="00164623">
            <w:pPr>
              <w:pStyle w:val="Bezriadkovania"/>
              <w:ind w:hanging="2"/>
              <w:jc w:val="center"/>
              <w:rPr>
                <w:sz w:val="20"/>
                <w:szCs w:val="20"/>
              </w:rPr>
            </w:pPr>
            <w:r w:rsidRPr="006A7C86">
              <w:rPr>
                <w:sz w:val="20"/>
                <w:szCs w:val="20"/>
              </w:rPr>
              <w:t>3 496</w:t>
            </w:r>
          </w:p>
        </w:tc>
        <w:tc>
          <w:tcPr>
            <w:tcW w:w="648" w:type="pct"/>
            <w:shd w:val="clear" w:color="auto" w:fill="auto"/>
            <w:vAlign w:val="center"/>
          </w:tcPr>
          <w:p w14:paraId="60346656" w14:textId="77777777" w:rsidR="00995AB9" w:rsidRPr="006A7C86" w:rsidRDefault="00995AB9" w:rsidP="00164623">
            <w:pPr>
              <w:pStyle w:val="Bezriadkovania"/>
              <w:ind w:hanging="2"/>
              <w:jc w:val="center"/>
              <w:rPr>
                <w:sz w:val="20"/>
                <w:szCs w:val="20"/>
              </w:rPr>
            </w:pPr>
            <w:r w:rsidRPr="006A7C86">
              <w:rPr>
                <w:sz w:val="20"/>
                <w:szCs w:val="20"/>
              </w:rPr>
              <w:t>108,1</w:t>
            </w:r>
          </w:p>
        </w:tc>
        <w:tc>
          <w:tcPr>
            <w:tcW w:w="653" w:type="pct"/>
            <w:shd w:val="clear" w:color="auto" w:fill="auto"/>
            <w:vAlign w:val="center"/>
          </w:tcPr>
          <w:p w14:paraId="5546E082" w14:textId="77777777" w:rsidR="00995AB9" w:rsidRPr="006A7C86" w:rsidRDefault="00995AB9" w:rsidP="00164623">
            <w:pPr>
              <w:pStyle w:val="Bezriadkovania"/>
              <w:ind w:hanging="2"/>
              <w:jc w:val="center"/>
              <w:rPr>
                <w:sz w:val="20"/>
                <w:szCs w:val="20"/>
              </w:rPr>
            </w:pPr>
            <w:r w:rsidRPr="006A7C86">
              <w:rPr>
                <w:sz w:val="20"/>
                <w:szCs w:val="20"/>
              </w:rPr>
              <w:t>109,5</w:t>
            </w:r>
          </w:p>
        </w:tc>
      </w:tr>
      <w:tr w:rsidR="002445FF" w:rsidRPr="006A7C86" w14:paraId="207965F9" w14:textId="77777777" w:rsidTr="00B65251">
        <w:tc>
          <w:tcPr>
            <w:tcW w:w="1227" w:type="pct"/>
            <w:shd w:val="clear" w:color="auto" w:fill="auto"/>
            <w:vAlign w:val="center"/>
          </w:tcPr>
          <w:p w14:paraId="2EADCE18" w14:textId="77777777" w:rsidR="00995AB9" w:rsidRPr="006A7C86" w:rsidRDefault="00995AB9" w:rsidP="00A940B3">
            <w:pPr>
              <w:pStyle w:val="Bezriadkovania"/>
              <w:rPr>
                <w:b/>
                <w:sz w:val="20"/>
                <w:szCs w:val="20"/>
              </w:rPr>
            </w:pPr>
            <w:r w:rsidRPr="006A7C86">
              <w:rPr>
                <w:b/>
                <w:sz w:val="20"/>
                <w:szCs w:val="20"/>
              </w:rPr>
              <w:t>Schodok podľa ESA 2010 (v mil. eur)</w:t>
            </w:r>
          </w:p>
        </w:tc>
        <w:tc>
          <w:tcPr>
            <w:tcW w:w="606" w:type="pct"/>
            <w:shd w:val="clear" w:color="auto" w:fill="auto"/>
            <w:vAlign w:val="center"/>
          </w:tcPr>
          <w:p w14:paraId="5CC83500" w14:textId="77777777" w:rsidR="00995AB9" w:rsidRPr="006A7C86" w:rsidRDefault="00995AB9" w:rsidP="00164623">
            <w:pPr>
              <w:pStyle w:val="Bezriadkovania"/>
              <w:ind w:hanging="2"/>
              <w:jc w:val="center"/>
              <w:rPr>
                <w:b/>
                <w:sz w:val="20"/>
                <w:szCs w:val="20"/>
              </w:rPr>
            </w:pPr>
            <w:r w:rsidRPr="006A7C86">
              <w:rPr>
                <w:b/>
                <w:sz w:val="20"/>
                <w:szCs w:val="20"/>
              </w:rPr>
              <w:t>-941</w:t>
            </w:r>
          </w:p>
        </w:tc>
        <w:tc>
          <w:tcPr>
            <w:tcW w:w="553" w:type="pct"/>
            <w:shd w:val="clear" w:color="auto" w:fill="auto"/>
            <w:vAlign w:val="center"/>
          </w:tcPr>
          <w:p w14:paraId="07A62961" w14:textId="77777777" w:rsidR="00995AB9" w:rsidRPr="006A7C86" w:rsidRDefault="00995AB9" w:rsidP="00164623">
            <w:pPr>
              <w:pStyle w:val="Bezriadkovania"/>
              <w:ind w:hanging="2"/>
              <w:jc w:val="center"/>
              <w:rPr>
                <w:b/>
                <w:sz w:val="20"/>
                <w:szCs w:val="20"/>
              </w:rPr>
            </w:pPr>
            <w:r w:rsidRPr="006A7C86">
              <w:rPr>
                <w:b/>
                <w:sz w:val="20"/>
                <w:szCs w:val="20"/>
              </w:rPr>
              <w:t>0</w:t>
            </w:r>
          </w:p>
        </w:tc>
        <w:tc>
          <w:tcPr>
            <w:tcW w:w="606" w:type="pct"/>
            <w:shd w:val="clear" w:color="auto" w:fill="auto"/>
            <w:vAlign w:val="center"/>
          </w:tcPr>
          <w:p w14:paraId="0C8E22B1" w14:textId="77777777" w:rsidR="00995AB9" w:rsidRPr="006A7C86" w:rsidRDefault="00995AB9" w:rsidP="00164623">
            <w:pPr>
              <w:pStyle w:val="Bezriadkovania"/>
              <w:ind w:hanging="2"/>
              <w:jc w:val="center"/>
              <w:rPr>
                <w:b/>
                <w:sz w:val="20"/>
                <w:szCs w:val="20"/>
              </w:rPr>
            </w:pPr>
            <w:r w:rsidRPr="006A7C86">
              <w:rPr>
                <w:b/>
                <w:sz w:val="20"/>
                <w:szCs w:val="20"/>
              </w:rPr>
              <w:t>-1 220</w:t>
            </w:r>
          </w:p>
        </w:tc>
        <w:tc>
          <w:tcPr>
            <w:tcW w:w="707" w:type="pct"/>
            <w:shd w:val="clear" w:color="auto" w:fill="auto"/>
            <w:vAlign w:val="center"/>
          </w:tcPr>
          <w:p w14:paraId="43D59979" w14:textId="77777777" w:rsidR="00995AB9" w:rsidRPr="006A7C86" w:rsidRDefault="00995AB9" w:rsidP="00164623">
            <w:pPr>
              <w:pStyle w:val="Bezriadkovania"/>
              <w:ind w:hanging="2"/>
              <w:jc w:val="center"/>
              <w:rPr>
                <w:b/>
                <w:sz w:val="20"/>
                <w:szCs w:val="20"/>
              </w:rPr>
            </w:pPr>
            <w:r w:rsidRPr="006A7C86">
              <w:rPr>
                <w:b/>
                <w:sz w:val="20"/>
                <w:szCs w:val="20"/>
              </w:rPr>
              <w:t>-1 220</w:t>
            </w:r>
          </w:p>
        </w:tc>
        <w:tc>
          <w:tcPr>
            <w:tcW w:w="648" w:type="pct"/>
            <w:shd w:val="clear" w:color="auto" w:fill="auto"/>
            <w:vAlign w:val="center"/>
          </w:tcPr>
          <w:p w14:paraId="746D8122" w14:textId="77777777" w:rsidR="00995AB9" w:rsidRPr="006A7C86" w:rsidRDefault="00995AB9" w:rsidP="00164623">
            <w:pPr>
              <w:pStyle w:val="Bezriadkovania"/>
              <w:ind w:hanging="2"/>
              <w:jc w:val="center"/>
              <w:rPr>
                <w:b/>
                <w:sz w:val="20"/>
                <w:szCs w:val="20"/>
              </w:rPr>
            </w:pPr>
            <w:r w:rsidRPr="006A7C86">
              <w:rPr>
                <w:b/>
                <w:sz w:val="20"/>
                <w:szCs w:val="20"/>
              </w:rPr>
              <w:t>129,6</w:t>
            </w:r>
          </w:p>
        </w:tc>
        <w:tc>
          <w:tcPr>
            <w:tcW w:w="653" w:type="pct"/>
            <w:shd w:val="clear" w:color="auto" w:fill="auto"/>
            <w:vAlign w:val="center"/>
          </w:tcPr>
          <w:p w14:paraId="27FFEED0" w14:textId="77777777" w:rsidR="00995AB9" w:rsidRPr="006A7C86" w:rsidRDefault="00995AB9" w:rsidP="00164623">
            <w:pPr>
              <w:pStyle w:val="Bezriadkovania"/>
              <w:ind w:hanging="2"/>
              <w:jc w:val="center"/>
              <w:rPr>
                <w:b/>
                <w:sz w:val="20"/>
                <w:szCs w:val="20"/>
              </w:rPr>
            </w:pPr>
            <w:r w:rsidRPr="006A7C86">
              <w:rPr>
                <w:b/>
                <w:sz w:val="20"/>
                <w:szCs w:val="20"/>
              </w:rPr>
              <w:t>0</w:t>
            </w:r>
          </w:p>
        </w:tc>
      </w:tr>
      <w:tr w:rsidR="002445FF" w:rsidRPr="006A7C86" w14:paraId="4AFCD0EE" w14:textId="77777777" w:rsidTr="00B65251">
        <w:tc>
          <w:tcPr>
            <w:tcW w:w="1227" w:type="pct"/>
            <w:shd w:val="clear" w:color="auto" w:fill="auto"/>
            <w:vAlign w:val="center"/>
          </w:tcPr>
          <w:p w14:paraId="6C49D513" w14:textId="77777777" w:rsidR="00995AB9" w:rsidRPr="006A7C86" w:rsidRDefault="00995AB9" w:rsidP="00A940B3">
            <w:pPr>
              <w:pStyle w:val="Bezriadkovania"/>
              <w:rPr>
                <w:b/>
                <w:sz w:val="20"/>
                <w:szCs w:val="20"/>
              </w:rPr>
            </w:pPr>
            <w:r w:rsidRPr="006A7C86">
              <w:rPr>
                <w:b/>
                <w:sz w:val="20"/>
                <w:szCs w:val="20"/>
              </w:rPr>
              <w:t>Schodok podľa ESA 2010 (v % HDP)</w:t>
            </w:r>
          </w:p>
        </w:tc>
        <w:tc>
          <w:tcPr>
            <w:tcW w:w="606" w:type="pct"/>
            <w:shd w:val="clear" w:color="auto" w:fill="auto"/>
            <w:vAlign w:val="center"/>
          </w:tcPr>
          <w:p w14:paraId="67802F03" w14:textId="77777777" w:rsidR="00995AB9" w:rsidRPr="006A7C86" w:rsidRDefault="00995AB9" w:rsidP="00164623">
            <w:pPr>
              <w:pStyle w:val="Bezriadkovania"/>
              <w:ind w:hanging="2"/>
              <w:jc w:val="center"/>
              <w:rPr>
                <w:b/>
                <w:sz w:val="20"/>
                <w:szCs w:val="20"/>
              </w:rPr>
            </w:pPr>
            <w:r w:rsidRPr="006A7C86">
              <w:rPr>
                <w:b/>
                <w:sz w:val="20"/>
                <w:szCs w:val="20"/>
              </w:rPr>
              <w:t>-1,05</w:t>
            </w:r>
          </w:p>
        </w:tc>
        <w:tc>
          <w:tcPr>
            <w:tcW w:w="553" w:type="pct"/>
            <w:shd w:val="clear" w:color="auto" w:fill="auto"/>
            <w:vAlign w:val="center"/>
          </w:tcPr>
          <w:p w14:paraId="3B9882B2" w14:textId="77777777" w:rsidR="00995AB9" w:rsidRPr="006A7C86" w:rsidRDefault="00995AB9" w:rsidP="00164623">
            <w:pPr>
              <w:pStyle w:val="Bezriadkovania"/>
              <w:ind w:hanging="2"/>
              <w:jc w:val="center"/>
              <w:rPr>
                <w:b/>
                <w:sz w:val="20"/>
                <w:szCs w:val="20"/>
              </w:rPr>
            </w:pPr>
            <w:r w:rsidRPr="006A7C86">
              <w:rPr>
                <w:b/>
                <w:sz w:val="20"/>
                <w:szCs w:val="20"/>
              </w:rPr>
              <w:t>0</w:t>
            </w:r>
          </w:p>
        </w:tc>
        <w:tc>
          <w:tcPr>
            <w:tcW w:w="606" w:type="pct"/>
            <w:shd w:val="clear" w:color="auto" w:fill="auto"/>
            <w:vAlign w:val="center"/>
          </w:tcPr>
          <w:p w14:paraId="64DAC320" w14:textId="77777777" w:rsidR="00995AB9" w:rsidRPr="006A7C86" w:rsidRDefault="00995AB9" w:rsidP="00164623">
            <w:pPr>
              <w:pStyle w:val="Bezriadkovania"/>
              <w:ind w:hanging="2"/>
              <w:jc w:val="center"/>
              <w:rPr>
                <w:b/>
                <w:sz w:val="20"/>
                <w:szCs w:val="20"/>
              </w:rPr>
            </w:pPr>
            <w:r w:rsidRPr="006A7C86">
              <w:rPr>
                <w:b/>
                <w:sz w:val="20"/>
                <w:szCs w:val="20"/>
              </w:rPr>
              <w:t>-1,30</w:t>
            </w:r>
          </w:p>
        </w:tc>
        <w:tc>
          <w:tcPr>
            <w:tcW w:w="707" w:type="pct"/>
            <w:shd w:val="clear" w:color="auto" w:fill="auto"/>
            <w:vAlign w:val="center"/>
          </w:tcPr>
          <w:p w14:paraId="377C8202" w14:textId="77777777" w:rsidR="00995AB9" w:rsidRPr="006A7C86" w:rsidRDefault="00995AB9" w:rsidP="00164623">
            <w:pPr>
              <w:pStyle w:val="Bezriadkovania"/>
              <w:ind w:hanging="2"/>
              <w:jc w:val="center"/>
              <w:rPr>
                <w:b/>
                <w:sz w:val="20"/>
                <w:szCs w:val="20"/>
              </w:rPr>
            </w:pPr>
            <w:r w:rsidRPr="006A7C86">
              <w:rPr>
                <w:b/>
                <w:sz w:val="20"/>
                <w:szCs w:val="20"/>
              </w:rPr>
              <w:t>-1,30</w:t>
            </w:r>
          </w:p>
        </w:tc>
        <w:tc>
          <w:tcPr>
            <w:tcW w:w="648" w:type="pct"/>
            <w:shd w:val="clear" w:color="auto" w:fill="auto"/>
            <w:vAlign w:val="center"/>
          </w:tcPr>
          <w:p w14:paraId="3E946955" w14:textId="77777777" w:rsidR="00995AB9" w:rsidRPr="006A7C86" w:rsidRDefault="00995AB9" w:rsidP="00164623">
            <w:pPr>
              <w:pStyle w:val="Bezriadkovania"/>
              <w:ind w:hanging="2"/>
              <w:jc w:val="center"/>
              <w:rPr>
                <w:b/>
                <w:sz w:val="20"/>
                <w:szCs w:val="20"/>
              </w:rPr>
            </w:pPr>
            <w:r w:rsidRPr="006A7C86">
              <w:rPr>
                <w:b/>
                <w:sz w:val="20"/>
                <w:szCs w:val="20"/>
              </w:rPr>
              <w:t>123,8</w:t>
            </w:r>
          </w:p>
        </w:tc>
        <w:tc>
          <w:tcPr>
            <w:tcW w:w="653" w:type="pct"/>
            <w:shd w:val="clear" w:color="auto" w:fill="auto"/>
            <w:vAlign w:val="center"/>
          </w:tcPr>
          <w:p w14:paraId="5E99BD37" w14:textId="77777777" w:rsidR="00995AB9" w:rsidRPr="006A7C86" w:rsidRDefault="00995AB9" w:rsidP="00164623">
            <w:pPr>
              <w:pStyle w:val="Bezriadkovania"/>
              <w:ind w:hanging="2"/>
              <w:jc w:val="center"/>
              <w:rPr>
                <w:b/>
                <w:sz w:val="20"/>
                <w:szCs w:val="20"/>
              </w:rPr>
            </w:pPr>
            <w:r w:rsidRPr="006A7C86">
              <w:rPr>
                <w:b/>
                <w:sz w:val="20"/>
                <w:szCs w:val="20"/>
              </w:rPr>
              <w:t>0</w:t>
            </w:r>
          </w:p>
        </w:tc>
      </w:tr>
      <w:tr w:rsidR="002445FF" w:rsidRPr="006A7C86" w14:paraId="46B83707" w14:textId="77777777" w:rsidTr="00B65251">
        <w:tc>
          <w:tcPr>
            <w:tcW w:w="1227" w:type="pct"/>
            <w:shd w:val="clear" w:color="auto" w:fill="auto"/>
            <w:vAlign w:val="center"/>
          </w:tcPr>
          <w:p w14:paraId="5FE80E27" w14:textId="77777777" w:rsidR="00995AB9" w:rsidRPr="006A7C86" w:rsidRDefault="00995AB9" w:rsidP="00A940B3">
            <w:pPr>
              <w:pStyle w:val="Bezriadkovania"/>
              <w:rPr>
                <w:sz w:val="20"/>
                <w:szCs w:val="20"/>
              </w:rPr>
            </w:pPr>
            <w:r w:rsidRPr="006A7C86">
              <w:rPr>
                <w:sz w:val="20"/>
                <w:szCs w:val="20"/>
              </w:rPr>
              <w:t>HDP v b.c.</w:t>
            </w:r>
          </w:p>
        </w:tc>
        <w:tc>
          <w:tcPr>
            <w:tcW w:w="606" w:type="pct"/>
            <w:shd w:val="clear" w:color="auto" w:fill="auto"/>
            <w:vAlign w:val="center"/>
          </w:tcPr>
          <w:p w14:paraId="6473EA3F" w14:textId="77777777" w:rsidR="00995AB9" w:rsidRPr="006A7C86" w:rsidRDefault="00995AB9" w:rsidP="00164623">
            <w:pPr>
              <w:pStyle w:val="Bezriadkovania"/>
              <w:ind w:hanging="2"/>
              <w:jc w:val="center"/>
              <w:rPr>
                <w:sz w:val="20"/>
                <w:szCs w:val="20"/>
              </w:rPr>
            </w:pPr>
            <w:r w:rsidRPr="006A7C86">
              <w:rPr>
                <w:sz w:val="20"/>
                <w:szCs w:val="20"/>
              </w:rPr>
              <w:t>89 721</w:t>
            </w:r>
          </w:p>
        </w:tc>
        <w:tc>
          <w:tcPr>
            <w:tcW w:w="553" w:type="pct"/>
            <w:shd w:val="clear" w:color="auto" w:fill="auto"/>
            <w:vAlign w:val="center"/>
          </w:tcPr>
          <w:p w14:paraId="4DEE6B4C" w14:textId="77777777" w:rsidR="00995AB9" w:rsidRPr="006A7C86" w:rsidRDefault="00995AB9" w:rsidP="00164623">
            <w:pPr>
              <w:pStyle w:val="Bezriadkovania"/>
              <w:ind w:hanging="2"/>
              <w:jc w:val="center"/>
              <w:rPr>
                <w:sz w:val="20"/>
                <w:szCs w:val="20"/>
              </w:rPr>
            </w:pPr>
            <w:r w:rsidRPr="006A7C86">
              <w:rPr>
                <w:sz w:val="20"/>
                <w:szCs w:val="20"/>
              </w:rPr>
              <w:t>94 592</w:t>
            </w:r>
          </w:p>
        </w:tc>
        <w:tc>
          <w:tcPr>
            <w:tcW w:w="606" w:type="pct"/>
            <w:shd w:val="clear" w:color="auto" w:fill="auto"/>
            <w:vAlign w:val="center"/>
          </w:tcPr>
          <w:p w14:paraId="4E97187A" w14:textId="77777777" w:rsidR="00995AB9" w:rsidRPr="006A7C86" w:rsidRDefault="00995AB9" w:rsidP="00164623">
            <w:pPr>
              <w:pStyle w:val="Bezriadkovania"/>
              <w:ind w:hanging="2"/>
              <w:jc w:val="center"/>
              <w:rPr>
                <w:sz w:val="20"/>
                <w:szCs w:val="20"/>
              </w:rPr>
            </w:pPr>
            <w:r w:rsidRPr="006A7C86">
              <w:rPr>
                <w:sz w:val="20"/>
                <w:szCs w:val="20"/>
              </w:rPr>
              <w:t>94 177</w:t>
            </w:r>
          </w:p>
        </w:tc>
        <w:tc>
          <w:tcPr>
            <w:tcW w:w="707" w:type="pct"/>
            <w:shd w:val="clear" w:color="auto" w:fill="auto"/>
            <w:vAlign w:val="center"/>
          </w:tcPr>
          <w:p w14:paraId="1592E04E" w14:textId="77777777" w:rsidR="00995AB9" w:rsidRPr="006A7C86" w:rsidRDefault="00995AB9" w:rsidP="00164623">
            <w:pPr>
              <w:pStyle w:val="Bezriadkovania"/>
              <w:ind w:hanging="2"/>
              <w:jc w:val="center"/>
              <w:rPr>
                <w:sz w:val="20"/>
                <w:szCs w:val="20"/>
              </w:rPr>
            </w:pPr>
            <w:r w:rsidRPr="006A7C86">
              <w:rPr>
                <w:sz w:val="20"/>
                <w:szCs w:val="20"/>
              </w:rPr>
              <w:t>-415</w:t>
            </w:r>
          </w:p>
        </w:tc>
        <w:tc>
          <w:tcPr>
            <w:tcW w:w="648" w:type="pct"/>
            <w:shd w:val="clear" w:color="auto" w:fill="auto"/>
            <w:vAlign w:val="center"/>
          </w:tcPr>
          <w:p w14:paraId="3EB3DDF6" w14:textId="77777777" w:rsidR="00995AB9" w:rsidRPr="006A7C86" w:rsidRDefault="00995AB9" w:rsidP="00164623">
            <w:pPr>
              <w:pStyle w:val="Bezriadkovania"/>
              <w:ind w:hanging="2"/>
              <w:jc w:val="center"/>
              <w:rPr>
                <w:sz w:val="20"/>
                <w:szCs w:val="20"/>
              </w:rPr>
            </w:pPr>
            <w:r w:rsidRPr="006A7C86">
              <w:rPr>
                <w:sz w:val="20"/>
                <w:szCs w:val="20"/>
              </w:rPr>
              <w:t>104,97</w:t>
            </w:r>
          </w:p>
        </w:tc>
        <w:tc>
          <w:tcPr>
            <w:tcW w:w="653" w:type="pct"/>
            <w:shd w:val="clear" w:color="auto" w:fill="auto"/>
            <w:vAlign w:val="center"/>
          </w:tcPr>
          <w:p w14:paraId="1557071A" w14:textId="77777777" w:rsidR="00995AB9" w:rsidRPr="006A7C86" w:rsidRDefault="00995AB9" w:rsidP="00164623">
            <w:pPr>
              <w:pStyle w:val="Bezriadkovania"/>
              <w:ind w:hanging="2"/>
              <w:jc w:val="center"/>
              <w:rPr>
                <w:sz w:val="20"/>
                <w:szCs w:val="20"/>
              </w:rPr>
            </w:pPr>
            <w:r w:rsidRPr="006A7C86">
              <w:rPr>
                <w:sz w:val="20"/>
                <w:szCs w:val="20"/>
              </w:rPr>
              <w:t>99,56</w:t>
            </w:r>
          </w:p>
        </w:tc>
      </w:tr>
      <w:tr w:rsidR="002445FF" w:rsidRPr="006A7C86" w14:paraId="1BBD624C" w14:textId="77777777" w:rsidTr="00B65251">
        <w:tc>
          <w:tcPr>
            <w:tcW w:w="1227" w:type="pct"/>
            <w:shd w:val="clear" w:color="auto" w:fill="auto"/>
            <w:vAlign w:val="center"/>
          </w:tcPr>
          <w:p w14:paraId="2423E56E" w14:textId="77777777" w:rsidR="00995AB9" w:rsidRPr="006A7C86" w:rsidRDefault="00995AB9" w:rsidP="00A940B3">
            <w:pPr>
              <w:pStyle w:val="Bezriadkovania"/>
              <w:rPr>
                <w:sz w:val="20"/>
                <w:szCs w:val="20"/>
              </w:rPr>
            </w:pPr>
            <w:r w:rsidRPr="006A7C86">
              <w:rPr>
                <w:sz w:val="20"/>
                <w:szCs w:val="20"/>
              </w:rPr>
              <w:t>Príjmy spolu (% HDP)</w:t>
            </w:r>
          </w:p>
        </w:tc>
        <w:tc>
          <w:tcPr>
            <w:tcW w:w="606" w:type="pct"/>
            <w:shd w:val="clear" w:color="auto" w:fill="auto"/>
            <w:vAlign w:val="center"/>
          </w:tcPr>
          <w:p w14:paraId="1025774B" w14:textId="77777777" w:rsidR="00995AB9" w:rsidRPr="006A7C86" w:rsidRDefault="00995AB9" w:rsidP="00164623">
            <w:pPr>
              <w:pStyle w:val="Bezriadkovania"/>
              <w:ind w:hanging="2"/>
              <w:jc w:val="center"/>
              <w:rPr>
                <w:sz w:val="20"/>
                <w:szCs w:val="20"/>
              </w:rPr>
            </w:pPr>
            <w:r w:rsidRPr="006A7C86">
              <w:rPr>
                <w:sz w:val="20"/>
                <w:szCs w:val="20"/>
              </w:rPr>
              <w:t>40,59</w:t>
            </w:r>
          </w:p>
        </w:tc>
        <w:tc>
          <w:tcPr>
            <w:tcW w:w="553" w:type="pct"/>
            <w:shd w:val="clear" w:color="auto" w:fill="auto"/>
            <w:vAlign w:val="center"/>
          </w:tcPr>
          <w:p w14:paraId="085E32EB" w14:textId="77777777" w:rsidR="00995AB9" w:rsidRPr="006A7C86" w:rsidRDefault="00995AB9" w:rsidP="00164623">
            <w:pPr>
              <w:pStyle w:val="Bezriadkovania"/>
              <w:ind w:hanging="2"/>
              <w:jc w:val="center"/>
              <w:rPr>
                <w:sz w:val="20"/>
                <w:szCs w:val="20"/>
              </w:rPr>
            </w:pPr>
            <w:r w:rsidRPr="006A7C86">
              <w:rPr>
                <w:sz w:val="20"/>
                <w:szCs w:val="20"/>
              </w:rPr>
              <w:t>39,01</w:t>
            </w:r>
          </w:p>
        </w:tc>
        <w:tc>
          <w:tcPr>
            <w:tcW w:w="606" w:type="pct"/>
            <w:shd w:val="clear" w:color="auto" w:fill="auto"/>
            <w:vAlign w:val="center"/>
          </w:tcPr>
          <w:p w14:paraId="20D41D77" w14:textId="77777777" w:rsidR="00995AB9" w:rsidRPr="006A7C86" w:rsidRDefault="00995AB9" w:rsidP="00164623">
            <w:pPr>
              <w:pStyle w:val="Bezriadkovania"/>
              <w:ind w:hanging="2"/>
              <w:jc w:val="center"/>
              <w:rPr>
                <w:sz w:val="20"/>
                <w:szCs w:val="20"/>
              </w:rPr>
            </w:pPr>
            <w:r w:rsidRPr="006A7C86">
              <w:rPr>
                <w:sz w:val="20"/>
                <w:szCs w:val="20"/>
              </w:rPr>
              <w:t>41,60</w:t>
            </w:r>
          </w:p>
        </w:tc>
        <w:tc>
          <w:tcPr>
            <w:tcW w:w="707" w:type="pct"/>
            <w:shd w:val="clear" w:color="auto" w:fill="auto"/>
            <w:vAlign w:val="center"/>
          </w:tcPr>
          <w:p w14:paraId="047B2BA3" w14:textId="77777777" w:rsidR="00995AB9" w:rsidRPr="006A7C86" w:rsidRDefault="00995AB9" w:rsidP="00164623">
            <w:pPr>
              <w:pStyle w:val="Bezriadkovania"/>
              <w:ind w:hanging="2"/>
              <w:jc w:val="center"/>
              <w:rPr>
                <w:sz w:val="20"/>
                <w:szCs w:val="20"/>
              </w:rPr>
            </w:pPr>
            <w:r w:rsidRPr="006A7C86">
              <w:rPr>
                <w:sz w:val="20"/>
                <w:szCs w:val="20"/>
              </w:rPr>
              <w:t>2,59</w:t>
            </w:r>
          </w:p>
        </w:tc>
        <w:tc>
          <w:tcPr>
            <w:tcW w:w="648" w:type="pct"/>
            <w:shd w:val="clear" w:color="auto" w:fill="auto"/>
            <w:vAlign w:val="center"/>
          </w:tcPr>
          <w:p w14:paraId="0445B1AF" w14:textId="77777777" w:rsidR="00995AB9" w:rsidRPr="006A7C86" w:rsidRDefault="00995AB9" w:rsidP="00164623">
            <w:pPr>
              <w:pStyle w:val="Bezriadkovania"/>
              <w:ind w:hanging="2"/>
              <w:jc w:val="center"/>
              <w:rPr>
                <w:sz w:val="20"/>
                <w:szCs w:val="20"/>
              </w:rPr>
            </w:pPr>
            <w:r w:rsidRPr="006A7C86">
              <w:rPr>
                <w:sz w:val="20"/>
                <w:szCs w:val="20"/>
              </w:rPr>
              <w:t>102,49</w:t>
            </w:r>
          </w:p>
        </w:tc>
        <w:tc>
          <w:tcPr>
            <w:tcW w:w="653" w:type="pct"/>
            <w:shd w:val="clear" w:color="auto" w:fill="auto"/>
            <w:vAlign w:val="center"/>
          </w:tcPr>
          <w:p w14:paraId="00BE3329" w14:textId="77777777" w:rsidR="00995AB9" w:rsidRPr="006A7C86" w:rsidRDefault="00995AB9" w:rsidP="00164623">
            <w:pPr>
              <w:pStyle w:val="Bezriadkovania"/>
              <w:ind w:hanging="2"/>
              <w:jc w:val="center"/>
              <w:rPr>
                <w:sz w:val="20"/>
                <w:szCs w:val="20"/>
              </w:rPr>
            </w:pPr>
            <w:r w:rsidRPr="006A7C86">
              <w:rPr>
                <w:sz w:val="20"/>
                <w:szCs w:val="20"/>
              </w:rPr>
              <w:t>106,64</w:t>
            </w:r>
          </w:p>
        </w:tc>
      </w:tr>
      <w:tr w:rsidR="002445FF" w:rsidRPr="006A7C86" w14:paraId="3087FFB1" w14:textId="77777777" w:rsidTr="00B65251">
        <w:tc>
          <w:tcPr>
            <w:tcW w:w="1227" w:type="pct"/>
            <w:shd w:val="clear" w:color="auto" w:fill="auto"/>
            <w:vAlign w:val="center"/>
          </w:tcPr>
          <w:p w14:paraId="4B70AC24" w14:textId="77777777" w:rsidR="00995AB9" w:rsidRPr="006A7C86" w:rsidRDefault="00995AB9" w:rsidP="00A940B3">
            <w:pPr>
              <w:pStyle w:val="Bezriadkovania"/>
              <w:rPr>
                <w:sz w:val="20"/>
                <w:szCs w:val="20"/>
              </w:rPr>
            </w:pPr>
            <w:r w:rsidRPr="006A7C86">
              <w:rPr>
                <w:sz w:val="20"/>
                <w:szCs w:val="20"/>
              </w:rPr>
              <w:t>Výdavky spolu (% HDP)</w:t>
            </w:r>
          </w:p>
        </w:tc>
        <w:tc>
          <w:tcPr>
            <w:tcW w:w="606" w:type="pct"/>
            <w:shd w:val="clear" w:color="auto" w:fill="auto"/>
            <w:vAlign w:val="center"/>
          </w:tcPr>
          <w:p w14:paraId="3C88BEB4" w14:textId="77777777" w:rsidR="00995AB9" w:rsidRPr="006A7C86" w:rsidRDefault="00995AB9" w:rsidP="00164623">
            <w:pPr>
              <w:pStyle w:val="Bezriadkovania"/>
              <w:ind w:hanging="2"/>
              <w:jc w:val="center"/>
              <w:rPr>
                <w:sz w:val="20"/>
                <w:szCs w:val="20"/>
              </w:rPr>
            </w:pPr>
            <w:r w:rsidRPr="006A7C86">
              <w:rPr>
                <w:sz w:val="20"/>
                <w:szCs w:val="20"/>
              </w:rPr>
              <w:t>41,64</w:t>
            </w:r>
          </w:p>
        </w:tc>
        <w:tc>
          <w:tcPr>
            <w:tcW w:w="553" w:type="pct"/>
            <w:shd w:val="clear" w:color="auto" w:fill="auto"/>
            <w:vAlign w:val="center"/>
          </w:tcPr>
          <w:p w14:paraId="6508C479" w14:textId="77777777" w:rsidR="00995AB9" w:rsidRPr="006A7C86" w:rsidRDefault="00995AB9" w:rsidP="00164623">
            <w:pPr>
              <w:pStyle w:val="Bezriadkovania"/>
              <w:ind w:hanging="2"/>
              <w:jc w:val="center"/>
              <w:rPr>
                <w:sz w:val="20"/>
                <w:szCs w:val="20"/>
              </w:rPr>
            </w:pPr>
            <w:r w:rsidRPr="006A7C86">
              <w:rPr>
                <w:sz w:val="20"/>
                <w:szCs w:val="20"/>
              </w:rPr>
              <w:t>39,01</w:t>
            </w:r>
          </w:p>
        </w:tc>
        <w:tc>
          <w:tcPr>
            <w:tcW w:w="606" w:type="pct"/>
            <w:shd w:val="clear" w:color="auto" w:fill="auto"/>
            <w:vAlign w:val="center"/>
          </w:tcPr>
          <w:p w14:paraId="1C6641EE" w14:textId="77777777" w:rsidR="00995AB9" w:rsidRPr="006A7C86" w:rsidRDefault="00995AB9" w:rsidP="00164623">
            <w:pPr>
              <w:pStyle w:val="Bezriadkovania"/>
              <w:ind w:hanging="2"/>
              <w:jc w:val="center"/>
              <w:rPr>
                <w:sz w:val="20"/>
                <w:szCs w:val="20"/>
              </w:rPr>
            </w:pPr>
            <w:r w:rsidRPr="006A7C86">
              <w:rPr>
                <w:sz w:val="20"/>
                <w:szCs w:val="20"/>
              </w:rPr>
              <w:t>42,90</w:t>
            </w:r>
          </w:p>
        </w:tc>
        <w:tc>
          <w:tcPr>
            <w:tcW w:w="707" w:type="pct"/>
            <w:shd w:val="clear" w:color="auto" w:fill="auto"/>
            <w:vAlign w:val="center"/>
          </w:tcPr>
          <w:p w14:paraId="19FC177D" w14:textId="77777777" w:rsidR="00995AB9" w:rsidRPr="006A7C86" w:rsidRDefault="00995AB9" w:rsidP="00164623">
            <w:pPr>
              <w:pStyle w:val="Bezriadkovania"/>
              <w:ind w:hanging="2"/>
              <w:jc w:val="center"/>
              <w:rPr>
                <w:sz w:val="20"/>
                <w:szCs w:val="20"/>
              </w:rPr>
            </w:pPr>
            <w:r w:rsidRPr="006A7C86">
              <w:rPr>
                <w:sz w:val="20"/>
                <w:szCs w:val="20"/>
              </w:rPr>
              <w:t>3,89</w:t>
            </w:r>
          </w:p>
        </w:tc>
        <w:tc>
          <w:tcPr>
            <w:tcW w:w="648" w:type="pct"/>
            <w:shd w:val="clear" w:color="auto" w:fill="auto"/>
            <w:vAlign w:val="center"/>
          </w:tcPr>
          <w:p w14:paraId="771DC995" w14:textId="77777777" w:rsidR="00995AB9" w:rsidRPr="006A7C86" w:rsidRDefault="00995AB9" w:rsidP="00164623">
            <w:pPr>
              <w:pStyle w:val="Bezriadkovania"/>
              <w:ind w:hanging="2"/>
              <w:jc w:val="center"/>
              <w:rPr>
                <w:sz w:val="20"/>
                <w:szCs w:val="20"/>
              </w:rPr>
            </w:pPr>
            <w:r w:rsidRPr="006A7C86">
              <w:rPr>
                <w:sz w:val="20"/>
                <w:szCs w:val="20"/>
              </w:rPr>
              <w:t>103,03</w:t>
            </w:r>
          </w:p>
        </w:tc>
        <w:tc>
          <w:tcPr>
            <w:tcW w:w="653" w:type="pct"/>
            <w:shd w:val="clear" w:color="auto" w:fill="auto"/>
            <w:vAlign w:val="center"/>
          </w:tcPr>
          <w:p w14:paraId="4CCB5BA7" w14:textId="77777777" w:rsidR="00995AB9" w:rsidRPr="006A7C86" w:rsidRDefault="00995AB9" w:rsidP="00164623">
            <w:pPr>
              <w:pStyle w:val="Bezriadkovania"/>
              <w:ind w:hanging="2"/>
              <w:jc w:val="center"/>
              <w:rPr>
                <w:sz w:val="20"/>
                <w:szCs w:val="20"/>
              </w:rPr>
            </w:pPr>
            <w:r w:rsidRPr="006A7C86">
              <w:rPr>
                <w:sz w:val="20"/>
                <w:szCs w:val="20"/>
              </w:rPr>
              <w:t>109,97</w:t>
            </w:r>
          </w:p>
        </w:tc>
      </w:tr>
    </w:tbl>
    <w:p w14:paraId="6C6903F6" w14:textId="18194FBA" w:rsidR="00995AB9" w:rsidRDefault="00995AB9" w:rsidP="002445FF">
      <w:pPr>
        <w:rPr>
          <w:i/>
          <w:sz w:val="18"/>
        </w:rPr>
      </w:pPr>
      <w:r w:rsidRPr="00376728">
        <w:rPr>
          <w:i/>
          <w:sz w:val="18"/>
        </w:rPr>
        <w:t xml:space="preserve">Zdroj: MF SR, Eurostat, Návrh ŠZÚ 2019, Program stability na roky 2020 </w:t>
      </w:r>
      <w:r w:rsidR="00DD2703">
        <w:rPr>
          <w:i/>
          <w:sz w:val="18"/>
        </w:rPr>
        <w:t>–</w:t>
      </w:r>
      <w:r w:rsidRPr="00376728">
        <w:rPr>
          <w:i/>
          <w:sz w:val="18"/>
        </w:rPr>
        <w:t xml:space="preserve"> 2023</w:t>
      </w:r>
    </w:p>
    <w:p w14:paraId="1E1463F2" w14:textId="7F8059D9" w:rsidR="002445FF" w:rsidRDefault="002445FF" w:rsidP="00DD2703">
      <w:pPr>
        <w:spacing w:after="120"/>
        <w:rPr>
          <w:i/>
          <w:sz w:val="18"/>
        </w:rPr>
      </w:pPr>
      <w:r>
        <w:rPr>
          <w:i/>
          <w:sz w:val="18"/>
        </w:rPr>
        <w:t>S – skutočnosť, R - rozpočet</w:t>
      </w:r>
    </w:p>
    <w:p w14:paraId="3DB17E1F" w14:textId="7D9DDCF4" w:rsidR="00DD2703" w:rsidRDefault="00DD2703" w:rsidP="00DD2703">
      <w:pPr>
        <w:spacing w:before="120" w:after="120"/>
        <w:jc w:val="both"/>
      </w:pPr>
      <w:r>
        <w:lastRenderedPageBreak/>
        <w:t>Z hľadiska medzinárodného porovnania vývoja sáld VS v roku 2019, SR zaostávala za priemer</w:t>
      </w:r>
      <w:r w:rsidR="0046419A">
        <w:t>om</w:t>
      </w:r>
      <w:r>
        <w:t xml:space="preserve"> EÚ</w:t>
      </w:r>
      <w:r w:rsidR="0046419A">
        <w:t xml:space="preserve"> 27</w:t>
      </w:r>
      <w:r>
        <w:t xml:space="preserve"> </w:t>
      </w:r>
      <w:r w:rsidR="00786976">
        <w:t xml:space="preserve">(-0,6 % HDP) </w:t>
      </w:r>
      <w:r>
        <w:t>o viac ako polovicu, pričom v porovnaní s ostatnými krajinami V4 + 2 Slovensko predbehli všetky krajiny s výnimkou Maďarska, ktoré dosiahlo deficit -2 % HDP</w:t>
      </w:r>
      <w:r w:rsidR="002A460A">
        <w:t xml:space="preserve"> (Graf 3)</w:t>
      </w:r>
      <w:r>
        <w:t>.</w:t>
      </w:r>
    </w:p>
    <w:tbl>
      <w:tblPr>
        <w:tblW w:w="5000" w:type="pct"/>
        <w:tblLook w:val="04A0" w:firstRow="1" w:lastRow="0" w:firstColumn="1" w:lastColumn="0" w:noHBand="0" w:noVBand="1"/>
      </w:tblPr>
      <w:tblGrid>
        <w:gridCol w:w="9356"/>
      </w:tblGrid>
      <w:tr w:rsidR="00995AB9" w:rsidRPr="00926AA7" w14:paraId="69A4BD67" w14:textId="77777777" w:rsidTr="00A940B3">
        <w:trPr>
          <w:trHeight w:val="140"/>
        </w:trPr>
        <w:tc>
          <w:tcPr>
            <w:tcW w:w="5000" w:type="pct"/>
            <w:tcBorders>
              <w:top w:val="single" w:sz="4" w:space="0" w:color="auto"/>
              <w:bottom w:val="single" w:sz="4" w:space="0" w:color="auto"/>
            </w:tcBorders>
            <w:shd w:val="clear" w:color="auto" w:fill="0070C0"/>
            <w:vAlign w:val="center"/>
          </w:tcPr>
          <w:p w14:paraId="447C2503" w14:textId="7C9AA7EE" w:rsidR="00995AB9" w:rsidRPr="00926AA7" w:rsidRDefault="002A460A" w:rsidP="00A940B3">
            <w:pPr>
              <w:rPr>
                <w:b/>
                <w:szCs w:val="24"/>
              </w:rPr>
            </w:pPr>
            <w:r>
              <w:rPr>
                <w:b/>
                <w:color w:val="FFFFFF" w:themeColor="background1"/>
                <w:szCs w:val="24"/>
              </w:rPr>
              <w:t xml:space="preserve">Graf 3: </w:t>
            </w:r>
            <w:r w:rsidR="00995AB9">
              <w:rPr>
                <w:b/>
                <w:color w:val="FFFFFF" w:themeColor="background1"/>
                <w:szCs w:val="24"/>
              </w:rPr>
              <w:t>Medzinárodné porov</w:t>
            </w:r>
            <w:r w:rsidR="003052AD">
              <w:rPr>
                <w:b/>
                <w:color w:val="FFFFFF" w:themeColor="background1"/>
                <w:szCs w:val="24"/>
              </w:rPr>
              <w:t>nanie sáld VS v roku 2019</w:t>
            </w:r>
          </w:p>
        </w:tc>
      </w:tr>
      <w:tr w:rsidR="00995AB9" w:rsidRPr="00926AA7" w14:paraId="3F0B7D82" w14:textId="77777777" w:rsidTr="00A940B3">
        <w:tblPrEx>
          <w:tblCellMar>
            <w:left w:w="70" w:type="dxa"/>
            <w:right w:w="70" w:type="dxa"/>
          </w:tblCellMar>
        </w:tblPrEx>
        <w:trPr>
          <w:trHeight w:val="2268"/>
        </w:trPr>
        <w:tc>
          <w:tcPr>
            <w:tcW w:w="5000" w:type="pct"/>
            <w:tcBorders>
              <w:top w:val="single" w:sz="4" w:space="0" w:color="auto"/>
              <w:bottom w:val="single" w:sz="4" w:space="0" w:color="auto"/>
            </w:tcBorders>
          </w:tcPr>
          <w:p w14:paraId="70030609" w14:textId="77777777" w:rsidR="00995AB9" w:rsidRPr="00926AA7" w:rsidRDefault="00995AB9" w:rsidP="00A940B3">
            <w:pPr>
              <w:pStyle w:val="Bezriadkovania"/>
            </w:pPr>
            <w:r>
              <w:rPr>
                <w:noProof/>
              </w:rPr>
              <w:drawing>
                <wp:inline distT="0" distB="0" distL="0" distR="0" wp14:anchorId="0704A957" wp14:editId="498E1A8F">
                  <wp:extent cx="5844540" cy="1844040"/>
                  <wp:effectExtent l="0" t="0" r="3810" b="3810"/>
                  <wp:docPr id="51" name="Graf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36DAAFFB" w14:textId="77777777" w:rsidR="00995AB9" w:rsidRPr="00376728" w:rsidRDefault="00995AB9" w:rsidP="0083357F">
      <w:pPr>
        <w:spacing w:after="120"/>
        <w:jc w:val="both"/>
        <w:rPr>
          <w:i/>
          <w:sz w:val="18"/>
        </w:rPr>
      </w:pPr>
      <w:r w:rsidRPr="00376728">
        <w:rPr>
          <w:i/>
          <w:sz w:val="18"/>
        </w:rPr>
        <w:t>Zdroj: Eurostat, Newsrelease, 22. 4. 2020</w:t>
      </w:r>
    </w:p>
    <w:p w14:paraId="0DDF91C8" w14:textId="77777777" w:rsidR="00995AB9" w:rsidRDefault="00995AB9" w:rsidP="007D4BFB">
      <w:pPr>
        <w:spacing w:before="240" w:after="120"/>
        <w:jc w:val="both"/>
        <w:rPr>
          <w:b/>
        </w:rPr>
      </w:pPr>
      <w:r>
        <w:rPr>
          <w:b/>
        </w:rPr>
        <w:t>Hodnotenie strednodobého rozpočtového cieľa</w:t>
      </w:r>
    </w:p>
    <w:p w14:paraId="6FE70813" w14:textId="7EAA5710" w:rsidR="00995AB9" w:rsidRDefault="00995AB9" w:rsidP="00DD2703">
      <w:pPr>
        <w:spacing w:before="120" w:after="120"/>
        <w:jc w:val="both"/>
      </w:pPr>
      <w:r w:rsidRPr="00786976">
        <w:t>Od roku 2014 podlieha fiškálna politika SR pravidlám preventívnej časti Paktu stability a rastu, ktorej cieľom je dosiahnutie</w:t>
      </w:r>
      <w:r w:rsidR="00D9070A">
        <w:t xml:space="preserve"> </w:t>
      </w:r>
      <w:r w:rsidR="00366358">
        <w:t>MTO</w:t>
      </w:r>
      <w:r w:rsidRPr="00786976">
        <w:t>.</w:t>
      </w:r>
      <w:r w:rsidR="00786976" w:rsidRPr="00786976">
        <w:t xml:space="preserve"> </w:t>
      </w:r>
      <w:r w:rsidRPr="00786976">
        <w:t>Štrukturálny deficit sa v roku 2019 mierne zvýšil na úroveň 2,0 % HDP, keď sa ekonomika nachádzala mierne nad svojím</w:t>
      </w:r>
      <w:r>
        <w:t xml:space="preserve"> potenciálom. </w:t>
      </w:r>
      <w:r w:rsidRPr="00786976">
        <w:rPr>
          <w:b/>
        </w:rPr>
        <w:t>Expanzívna fiškálna politika v roku 2019 presiahla požadované konsolidačné úsilie o 0,5 % HDP a spôsobila výrazné odchýlenie od pravidiel Paktu.</w:t>
      </w:r>
      <w:r>
        <w:t xml:space="preserve"> Po zohľadnení vývoja </w:t>
      </w:r>
      <w:r w:rsidR="00674B87">
        <w:t xml:space="preserve">bol </w:t>
      </w:r>
      <w:r>
        <w:t xml:space="preserve">aj v roku 2018 rozpočtový vývoj za oba roky v rozpore s požadovanou konsolidáciou, keď sa štrukturálne saldo výrazne odchýlilo od pravidiel Paktu (o 0,6 % HDP). V oboch rokoch </w:t>
      </w:r>
      <w:r w:rsidR="003A0142">
        <w:t>(</w:t>
      </w:r>
      <w:r>
        <w:t>2018 a</w:t>
      </w:r>
      <w:r w:rsidR="00786976">
        <w:t>j </w:t>
      </w:r>
      <w:r>
        <w:t>2019</w:t>
      </w:r>
      <w:r w:rsidR="003A0142">
        <w:t>)</w:t>
      </w:r>
      <w:r>
        <w:t xml:space="preserve"> bola fiškálna politika procyklicky expanzívna, keď sa ekonomika nachádzala nad svojim potenciálom a nepotrebovala dodatočný impulz.</w:t>
      </w:r>
    </w:p>
    <w:p w14:paraId="0D2DAE3A" w14:textId="74AF06D6" w:rsidR="00995AB9" w:rsidRPr="00CB00CF" w:rsidRDefault="00995AB9" w:rsidP="00DD2703">
      <w:pPr>
        <w:spacing w:before="120" w:after="120"/>
        <w:jc w:val="both"/>
      </w:pPr>
      <w:r>
        <w:rPr>
          <w:b/>
        </w:rPr>
        <w:t xml:space="preserve">Znižovanie štrukturálneho deficitu na roky 2021 až 2023 je stanovené v súlade s pravidlami Paktu. </w:t>
      </w:r>
      <w:r>
        <w:t>Do roku 2023 by sa štrukturálny deficit znížil kumulatívne o 1,25 % HDP a do roku 2023 dosiahol úroveň 2,7 % HDP.  Ak vláda neprijme dodatočné opatrenia, štrukturálny deficit v NPC scenári bude postupne narastať</w:t>
      </w:r>
      <w:r w:rsidR="005F3DDA">
        <w:t>,</w:t>
      </w:r>
      <w:r>
        <w:t xml:space="preserve"> až dosiahne veľkosť 6,0 % HDP na konci rozpočtového horizontu.</w:t>
      </w:r>
    </w:p>
    <w:p w14:paraId="2C819B26" w14:textId="0DA3A5B4" w:rsidR="00995AB9" w:rsidRPr="00C63B60" w:rsidRDefault="00995AB9" w:rsidP="00A50590">
      <w:pPr>
        <w:spacing w:before="120"/>
        <w:jc w:val="both"/>
        <w:rPr>
          <w:b/>
          <w:i/>
        </w:rPr>
      </w:pPr>
      <w:r w:rsidRPr="00C63B60">
        <w:rPr>
          <w:b/>
          <w:i/>
        </w:rPr>
        <w:t>Vývoj konsolidačného úsilia v rokoch 201</w:t>
      </w:r>
      <w:r w:rsidR="0046419A">
        <w:rPr>
          <w:b/>
          <w:i/>
        </w:rPr>
        <w:t>8</w:t>
      </w:r>
      <w:r w:rsidRPr="00C63B60">
        <w:rPr>
          <w:b/>
          <w:i/>
        </w:rPr>
        <w:t xml:space="preserve"> až 2023 (ESA 2010, % HDP)</w:t>
      </w:r>
    </w:p>
    <w:tbl>
      <w:tblPr>
        <w:tblStyle w:val="Mriekatabuky"/>
        <w:tblW w:w="5000" w:type="pct"/>
        <w:tblLook w:val="04A0" w:firstRow="1" w:lastRow="0" w:firstColumn="1" w:lastColumn="0" w:noHBand="0" w:noVBand="1"/>
      </w:tblPr>
      <w:tblGrid>
        <w:gridCol w:w="4673"/>
        <w:gridCol w:w="692"/>
        <w:gridCol w:w="731"/>
        <w:gridCol w:w="813"/>
        <w:gridCol w:w="813"/>
        <w:gridCol w:w="813"/>
        <w:gridCol w:w="811"/>
      </w:tblGrid>
      <w:tr w:rsidR="00995AB9" w:rsidRPr="005F3DDA" w14:paraId="5041E0B8" w14:textId="77777777" w:rsidTr="00274F66">
        <w:trPr>
          <w:trHeight w:val="397"/>
        </w:trPr>
        <w:tc>
          <w:tcPr>
            <w:tcW w:w="2500" w:type="pct"/>
            <w:shd w:val="clear" w:color="auto" w:fill="0070C0"/>
            <w:vAlign w:val="center"/>
          </w:tcPr>
          <w:p w14:paraId="0329BD80" w14:textId="77777777" w:rsidR="00995AB9" w:rsidRPr="005F3DDA" w:rsidRDefault="00995AB9" w:rsidP="00A940B3">
            <w:pPr>
              <w:pStyle w:val="Bezriadkovania"/>
              <w:rPr>
                <w:b/>
                <w:color w:val="FFFFFF" w:themeColor="background1"/>
                <w:sz w:val="20"/>
                <w:szCs w:val="20"/>
              </w:rPr>
            </w:pPr>
            <w:r w:rsidRPr="005F3DDA">
              <w:rPr>
                <w:b/>
                <w:color w:val="FFFFFF" w:themeColor="background1"/>
                <w:sz w:val="20"/>
                <w:szCs w:val="20"/>
              </w:rPr>
              <w:t>Konsolidačné úsilie</w:t>
            </w:r>
          </w:p>
        </w:tc>
        <w:tc>
          <w:tcPr>
            <w:tcW w:w="370" w:type="pct"/>
            <w:shd w:val="clear" w:color="auto" w:fill="0070C0"/>
            <w:vAlign w:val="center"/>
          </w:tcPr>
          <w:p w14:paraId="73578FEB" w14:textId="77777777" w:rsidR="00995AB9" w:rsidRPr="005F3DDA" w:rsidRDefault="00995AB9" w:rsidP="00A940B3">
            <w:pPr>
              <w:pStyle w:val="Bezriadkovania"/>
              <w:jc w:val="center"/>
              <w:rPr>
                <w:b/>
                <w:color w:val="FFFFFF" w:themeColor="background1"/>
                <w:sz w:val="20"/>
                <w:szCs w:val="20"/>
              </w:rPr>
            </w:pPr>
            <w:r w:rsidRPr="005F3DDA">
              <w:rPr>
                <w:b/>
                <w:color w:val="FFFFFF" w:themeColor="background1"/>
                <w:sz w:val="20"/>
                <w:szCs w:val="20"/>
              </w:rPr>
              <w:t>2018 S</w:t>
            </w:r>
          </w:p>
        </w:tc>
        <w:tc>
          <w:tcPr>
            <w:tcW w:w="391" w:type="pct"/>
            <w:shd w:val="clear" w:color="auto" w:fill="0070C0"/>
            <w:vAlign w:val="center"/>
          </w:tcPr>
          <w:p w14:paraId="013921F7" w14:textId="77777777" w:rsidR="00995AB9" w:rsidRPr="005F3DDA" w:rsidRDefault="00995AB9" w:rsidP="00A940B3">
            <w:pPr>
              <w:pStyle w:val="Bezriadkovania"/>
              <w:jc w:val="center"/>
              <w:rPr>
                <w:b/>
                <w:color w:val="FFFFFF" w:themeColor="background1"/>
                <w:sz w:val="20"/>
                <w:szCs w:val="20"/>
              </w:rPr>
            </w:pPr>
            <w:r w:rsidRPr="005F3DDA">
              <w:rPr>
                <w:b/>
                <w:color w:val="FFFFFF" w:themeColor="background1"/>
                <w:sz w:val="20"/>
                <w:szCs w:val="20"/>
              </w:rPr>
              <w:t>2019 S</w:t>
            </w:r>
          </w:p>
        </w:tc>
        <w:tc>
          <w:tcPr>
            <w:tcW w:w="435" w:type="pct"/>
            <w:shd w:val="clear" w:color="auto" w:fill="0070C0"/>
            <w:vAlign w:val="center"/>
          </w:tcPr>
          <w:p w14:paraId="07D8A107" w14:textId="77777777" w:rsidR="00995AB9" w:rsidRPr="005F3DDA" w:rsidRDefault="00995AB9" w:rsidP="00A940B3">
            <w:pPr>
              <w:pStyle w:val="Bezriadkovania"/>
              <w:jc w:val="center"/>
              <w:rPr>
                <w:b/>
                <w:color w:val="FFFFFF" w:themeColor="background1"/>
                <w:sz w:val="20"/>
                <w:szCs w:val="20"/>
              </w:rPr>
            </w:pPr>
            <w:r w:rsidRPr="005F3DDA">
              <w:rPr>
                <w:b/>
                <w:color w:val="FFFFFF" w:themeColor="background1"/>
                <w:sz w:val="20"/>
                <w:szCs w:val="20"/>
              </w:rPr>
              <w:t>2020 OS</w:t>
            </w:r>
          </w:p>
        </w:tc>
        <w:tc>
          <w:tcPr>
            <w:tcW w:w="435" w:type="pct"/>
            <w:shd w:val="clear" w:color="auto" w:fill="0070C0"/>
            <w:vAlign w:val="center"/>
          </w:tcPr>
          <w:p w14:paraId="1CA64809" w14:textId="77777777" w:rsidR="00995AB9" w:rsidRPr="005F3DDA" w:rsidRDefault="00995AB9" w:rsidP="00A940B3">
            <w:pPr>
              <w:pStyle w:val="Bezriadkovania"/>
              <w:jc w:val="center"/>
              <w:rPr>
                <w:b/>
                <w:color w:val="FFFFFF" w:themeColor="background1"/>
                <w:sz w:val="20"/>
                <w:szCs w:val="20"/>
              </w:rPr>
            </w:pPr>
            <w:r w:rsidRPr="005F3DDA">
              <w:rPr>
                <w:b/>
                <w:color w:val="FFFFFF" w:themeColor="background1"/>
                <w:sz w:val="20"/>
                <w:szCs w:val="20"/>
              </w:rPr>
              <w:t>2021 PS</w:t>
            </w:r>
          </w:p>
        </w:tc>
        <w:tc>
          <w:tcPr>
            <w:tcW w:w="435" w:type="pct"/>
            <w:shd w:val="clear" w:color="auto" w:fill="0070C0"/>
            <w:vAlign w:val="center"/>
          </w:tcPr>
          <w:p w14:paraId="322652FB" w14:textId="77777777" w:rsidR="00995AB9" w:rsidRPr="005F3DDA" w:rsidRDefault="00995AB9" w:rsidP="00A940B3">
            <w:pPr>
              <w:pStyle w:val="Bezriadkovania"/>
              <w:jc w:val="center"/>
              <w:rPr>
                <w:b/>
                <w:color w:val="FFFFFF" w:themeColor="background1"/>
                <w:sz w:val="20"/>
                <w:szCs w:val="20"/>
              </w:rPr>
            </w:pPr>
            <w:r w:rsidRPr="005F3DDA">
              <w:rPr>
                <w:b/>
                <w:color w:val="FFFFFF" w:themeColor="background1"/>
                <w:sz w:val="20"/>
                <w:szCs w:val="20"/>
              </w:rPr>
              <w:t>2022 PS</w:t>
            </w:r>
          </w:p>
        </w:tc>
        <w:tc>
          <w:tcPr>
            <w:tcW w:w="434" w:type="pct"/>
            <w:shd w:val="clear" w:color="auto" w:fill="0070C0"/>
            <w:vAlign w:val="center"/>
          </w:tcPr>
          <w:p w14:paraId="034A30E1" w14:textId="77777777" w:rsidR="00995AB9" w:rsidRPr="005F3DDA" w:rsidRDefault="00995AB9" w:rsidP="00A940B3">
            <w:pPr>
              <w:pStyle w:val="Bezriadkovania"/>
              <w:jc w:val="center"/>
              <w:rPr>
                <w:b/>
                <w:color w:val="FFFFFF" w:themeColor="background1"/>
                <w:sz w:val="20"/>
                <w:szCs w:val="20"/>
              </w:rPr>
            </w:pPr>
            <w:r w:rsidRPr="005F3DDA">
              <w:rPr>
                <w:b/>
                <w:color w:val="FFFFFF" w:themeColor="background1"/>
                <w:sz w:val="20"/>
                <w:szCs w:val="20"/>
              </w:rPr>
              <w:t>2023 PS</w:t>
            </w:r>
          </w:p>
        </w:tc>
      </w:tr>
      <w:tr w:rsidR="00995AB9" w:rsidRPr="005F3DDA" w14:paraId="3291F35F" w14:textId="77777777" w:rsidTr="00274F66">
        <w:tc>
          <w:tcPr>
            <w:tcW w:w="2500" w:type="pct"/>
            <w:shd w:val="clear" w:color="auto" w:fill="auto"/>
            <w:vAlign w:val="center"/>
          </w:tcPr>
          <w:p w14:paraId="0A56E527" w14:textId="77777777" w:rsidR="00995AB9" w:rsidRPr="005F3DDA" w:rsidRDefault="00995AB9" w:rsidP="00995AB9">
            <w:pPr>
              <w:pStyle w:val="Bezriadkovania"/>
              <w:numPr>
                <w:ilvl w:val="0"/>
                <w:numId w:val="15"/>
              </w:numPr>
              <w:ind w:left="176" w:hanging="176"/>
              <w:rPr>
                <w:b/>
                <w:sz w:val="20"/>
                <w:szCs w:val="20"/>
              </w:rPr>
            </w:pPr>
            <w:r w:rsidRPr="005F3DDA">
              <w:rPr>
                <w:b/>
                <w:sz w:val="20"/>
                <w:szCs w:val="20"/>
              </w:rPr>
              <w:t>Saldo VS</w:t>
            </w:r>
          </w:p>
        </w:tc>
        <w:tc>
          <w:tcPr>
            <w:tcW w:w="370" w:type="pct"/>
            <w:shd w:val="clear" w:color="auto" w:fill="auto"/>
            <w:vAlign w:val="center"/>
          </w:tcPr>
          <w:p w14:paraId="42A1C3FD" w14:textId="77777777" w:rsidR="00995AB9" w:rsidRPr="005F3DDA" w:rsidRDefault="00995AB9" w:rsidP="00A940B3">
            <w:pPr>
              <w:pStyle w:val="Bezriadkovania"/>
              <w:jc w:val="center"/>
              <w:rPr>
                <w:b/>
                <w:sz w:val="20"/>
                <w:szCs w:val="20"/>
              </w:rPr>
            </w:pPr>
            <w:r w:rsidRPr="005F3DDA">
              <w:rPr>
                <w:b/>
                <w:sz w:val="20"/>
                <w:szCs w:val="20"/>
              </w:rPr>
              <w:t>-1,1</w:t>
            </w:r>
          </w:p>
        </w:tc>
        <w:tc>
          <w:tcPr>
            <w:tcW w:w="391" w:type="pct"/>
            <w:shd w:val="clear" w:color="auto" w:fill="auto"/>
            <w:vAlign w:val="center"/>
          </w:tcPr>
          <w:p w14:paraId="52E88AF0" w14:textId="77777777" w:rsidR="00995AB9" w:rsidRPr="005F3DDA" w:rsidRDefault="00995AB9" w:rsidP="00A940B3">
            <w:pPr>
              <w:pStyle w:val="Bezriadkovania"/>
              <w:jc w:val="center"/>
              <w:rPr>
                <w:b/>
                <w:sz w:val="20"/>
                <w:szCs w:val="20"/>
              </w:rPr>
            </w:pPr>
            <w:r w:rsidRPr="005F3DDA">
              <w:rPr>
                <w:b/>
                <w:sz w:val="20"/>
                <w:szCs w:val="20"/>
              </w:rPr>
              <w:t>-1,3</w:t>
            </w:r>
          </w:p>
        </w:tc>
        <w:tc>
          <w:tcPr>
            <w:tcW w:w="435" w:type="pct"/>
            <w:shd w:val="clear" w:color="auto" w:fill="auto"/>
            <w:vAlign w:val="center"/>
          </w:tcPr>
          <w:p w14:paraId="3E2704B6" w14:textId="77777777" w:rsidR="00995AB9" w:rsidRPr="005F3DDA" w:rsidRDefault="00995AB9" w:rsidP="00A940B3">
            <w:pPr>
              <w:pStyle w:val="Bezriadkovania"/>
              <w:jc w:val="center"/>
              <w:rPr>
                <w:b/>
                <w:sz w:val="20"/>
                <w:szCs w:val="20"/>
              </w:rPr>
            </w:pPr>
            <w:r w:rsidRPr="005F3DDA">
              <w:rPr>
                <w:b/>
                <w:sz w:val="20"/>
                <w:szCs w:val="20"/>
              </w:rPr>
              <w:t>-8,4</w:t>
            </w:r>
          </w:p>
        </w:tc>
        <w:tc>
          <w:tcPr>
            <w:tcW w:w="435" w:type="pct"/>
            <w:shd w:val="clear" w:color="auto" w:fill="auto"/>
            <w:vAlign w:val="center"/>
          </w:tcPr>
          <w:p w14:paraId="79EC86B1" w14:textId="77777777" w:rsidR="00995AB9" w:rsidRPr="005F3DDA" w:rsidRDefault="00995AB9" w:rsidP="00A940B3">
            <w:pPr>
              <w:pStyle w:val="Bezriadkovania"/>
              <w:jc w:val="center"/>
              <w:rPr>
                <w:b/>
                <w:sz w:val="20"/>
                <w:szCs w:val="20"/>
              </w:rPr>
            </w:pPr>
            <w:r w:rsidRPr="005F3DDA">
              <w:rPr>
                <w:b/>
                <w:sz w:val="20"/>
                <w:szCs w:val="20"/>
              </w:rPr>
              <w:t>-4,9</w:t>
            </w:r>
          </w:p>
        </w:tc>
        <w:tc>
          <w:tcPr>
            <w:tcW w:w="435" w:type="pct"/>
            <w:shd w:val="clear" w:color="auto" w:fill="auto"/>
            <w:vAlign w:val="center"/>
          </w:tcPr>
          <w:p w14:paraId="01F82692" w14:textId="77777777" w:rsidR="00995AB9" w:rsidRPr="005F3DDA" w:rsidRDefault="00995AB9" w:rsidP="00A940B3">
            <w:pPr>
              <w:pStyle w:val="Bezriadkovania"/>
              <w:jc w:val="center"/>
              <w:rPr>
                <w:b/>
                <w:sz w:val="20"/>
                <w:szCs w:val="20"/>
              </w:rPr>
            </w:pPr>
            <w:r w:rsidRPr="005F3DDA">
              <w:rPr>
                <w:b/>
                <w:sz w:val="20"/>
                <w:szCs w:val="20"/>
              </w:rPr>
              <w:t>-3,7</w:t>
            </w:r>
          </w:p>
        </w:tc>
        <w:tc>
          <w:tcPr>
            <w:tcW w:w="434" w:type="pct"/>
            <w:shd w:val="clear" w:color="auto" w:fill="auto"/>
            <w:vAlign w:val="center"/>
          </w:tcPr>
          <w:p w14:paraId="27EC62AB" w14:textId="77777777" w:rsidR="00995AB9" w:rsidRPr="005F3DDA" w:rsidRDefault="00995AB9" w:rsidP="00A940B3">
            <w:pPr>
              <w:pStyle w:val="Bezriadkovania"/>
              <w:jc w:val="center"/>
              <w:rPr>
                <w:b/>
                <w:sz w:val="20"/>
                <w:szCs w:val="20"/>
              </w:rPr>
            </w:pPr>
            <w:r w:rsidRPr="005F3DDA">
              <w:rPr>
                <w:b/>
                <w:sz w:val="20"/>
                <w:szCs w:val="20"/>
              </w:rPr>
              <w:t>-2,9</w:t>
            </w:r>
          </w:p>
        </w:tc>
      </w:tr>
      <w:tr w:rsidR="00995AB9" w:rsidRPr="005F3DDA" w14:paraId="5538C779" w14:textId="77777777" w:rsidTr="00274F66">
        <w:tc>
          <w:tcPr>
            <w:tcW w:w="2500" w:type="pct"/>
            <w:shd w:val="clear" w:color="auto" w:fill="auto"/>
            <w:vAlign w:val="center"/>
          </w:tcPr>
          <w:p w14:paraId="2432454D" w14:textId="77777777" w:rsidR="00995AB9" w:rsidRPr="005F3DDA" w:rsidRDefault="00995AB9" w:rsidP="00995AB9">
            <w:pPr>
              <w:pStyle w:val="Bezriadkovania"/>
              <w:numPr>
                <w:ilvl w:val="0"/>
                <w:numId w:val="15"/>
              </w:numPr>
              <w:ind w:left="176" w:hanging="176"/>
              <w:rPr>
                <w:sz w:val="20"/>
                <w:szCs w:val="20"/>
              </w:rPr>
            </w:pPr>
            <w:r w:rsidRPr="005F3DDA">
              <w:rPr>
                <w:sz w:val="20"/>
                <w:szCs w:val="20"/>
              </w:rPr>
              <w:t>Cyklická zložka</w:t>
            </w:r>
          </w:p>
        </w:tc>
        <w:tc>
          <w:tcPr>
            <w:tcW w:w="370" w:type="pct"/>
            <w:shd w:val="clear" w:color="auto" w:fill="auto"/>
            <w:vAlign w:val="center"/>
          </w:tcPr>
          <w:p w14:paraId="379960E2" w14:textId="77777777" w:rsidR="00995AB9" w:rsidRPr="005F3DDA" w:rsidRDefault="00995AB9" w:rsidP="00A940B3">
            <w:pPr>
              <w:pStyle w:val="Bezriadkovania"/>
              <w:jc w:val="center"/>
              <w:rPr>
                <w:sz w:val="20"/>
                <w:szCs w:val="20"/>
              </w:rPr>
            </w:pPr>
            <w:r w:rsidRPr="005F3DDA">
              <w:rPr>
                <w:sz w:val="20"/>
                <w:szCs w:val="20"/>
              </w:rPr>
              <w:t>0,7</w:t>
            </w:r>
          </w:p>
        </w:tc>
        <w:tc>
          <w:tcPr>
            <w:tcW w:w="391" w:type="pct"/>
            <w:shd w:val="clear" w:color="auto" w:fill="auto"/>
            <w:vAlign w:val="center"/>
          </w:tcPr>
          <w:p w14:paraId="122683A3" w14:textId="77777777" w:rsidR="00995AB9" w:rsidRPr="005F3DDA" w:rsidRDefault="00995AB9" w:rsidP="00A940B3">
            <w:pPr>
              <w:pStyle w:val="Bezriadkovania"/>
              <w:jc w:val="center"/>
              <w:rPr>
                <w:sz w:val="20"/>
                <w:szCs w:val="20"/>
              </w:rPr>
            </w:pPr>
            <w:r w:rsidRPr="005F3DDA">
              <w:rPr>
                <w:sz w:val="20"/>
                <w:szCs w:val="20"/>
              </w:rPr>
              <w:t>0,7</w:t>
            </w:r>
          </w:p>
        </w:tc>
        <w:tc>
          <w:tcPr>
            <w:tcW w:w="435" w:type="pct"/>
            <w:shd w:val="clear" w:color="auto" w:fill="auto"/>
            <w:vAlign w:val="center"/>
          </w:tcPr>
          <w:p w14:paraId="6A94CD45" w14:textId="77777777" w:rsidR="00995AB9" w:rsidRPr="005F3DDA" w:rsidRDefault="00995AB9" w:rsidP="00A940B3">
            <w:pPr>
              <w:pStyle w:val="Bezriadkovania"/>
              <w:jc w:val="center"/>
              <w:rPr>
                <w:sz w:val="20"/>
                <w:szCs w:val="20"/>
              </w:rPr>
            </w:pPr>
            <w:r w:rsidRPr="005F3DDA">
              <w:rPr>
                <w:sz w:val="20"/>
                <w:szCs w:val="20"/>
              </w:rPr>
              <w:t>-2,8</w:t>
            </w:r>
          </w:p>
        </w:tc>
        <w:tc>
          <w:tcPr>
            <w:tcW w:w="435" w:type="pct"/>
            <w:shd w:val="clear" w:color="auto" w:fill="auto"/>
            <w:vAlign w:val="center"/>
          </w:tcPr>
          <w:p w14:paraId="6993ADB9" w14:textId="77777777" w:rsidR="00995AB9" w:rsidRPr="005F3DDA" w:rsidRDefault="00995AB9" w:rsidP="00A940B3">
            <w:pPr>
              <w:pStyle w:val="Bezriadkovania"/>
              <w:jc w:val="center"/>
              <w:rPr>
                <w:sz w:val="20"/>
                <w:szCs w:val="20"/>
              </w:rPr>
            </w:pPr>
            <w:r w:rsidRPr="005F3DDA">
              <w:rPr>
                <w:sz w:val="20"/>
                <w:szCs w:val="20"/>
              </w:rPr>
              <w:t>-1,2</w:t>
            </w:r>
          </w:p>
        </w:tc>
        <w:tc>
          <w:tcPr>
            <w:tcW w:w="435" w:type="pct"/>
            <w:shd w:val="clear" w:color="auto" w:fill="auto"/>
            <w:vAlign w:val="center"/>
          </w:tcPr>
          <w:p w14:paraId="617C945B" w14:textId="77777777" w:rsidR="00995AB9" w:rsidRPr="005F3DDA" w:rsidRDefault="00995AB9" w:rsidP="00A940B3">
            <w:pPr>
              <w:pStyle w:val="Bezriadkovania"/>
              <w:jc w:val="center"/>
              <w:rPr>
                <w:sz w:val="20"/>
                <w:szCs w:val="20"/>
              </w:rPr>
            </w:pPr>
            <w:r w:rsidRPr="005F3DDA">
              <w:rPr>
                <w:sz w:val="20"/>
                <w:szCs w:val="20"/>
              </w:rPr>
              <w:t>-0,5</w:t>
            </w:r>
          </w:p>
        </w:tc>
        <w:tc>
          <w:tcPr>
            <w:tcW w:w="434" w:type="pct"/>
            <w:shd w:val="clear" w:color="auto" w:fill="auto"/>
            <w:vAlign w:val="center"/>
          </w:tcPr>
          <w:p w14:paraId="03545475" w14:textId="77777777" w:rsidR="00995AB9" w:rsidRPr="005F3DDA" w:rsidRDefault="00995AB9" w:rsidP="00A940B3">
            <w:pPr>
              <w:pStyle w:val="Bezriadkovania"/>
              <w:jc w:val="center"/>
              <w:rPr>
                <w:sz w:val="20"/>
                <w:szCs w:val="20"/>
              </w:rPr>
            </w:pPr>
            <w:r w:rsidRPr="005F3DDA">
              <w:rPr>
                <w:sz w:val="20"/>
                <w:szCs w:val="20"/>
              </w:rPr>
              <w:t>-0,2</w:t>
            </w:r>
          </w:p>
        </w:tc>
      </w:tr>
      <w:tr w:rsidR="00995AB9" w:rsidRPr="005F3DDA" w14:paraId="2A267C7C" w14:textId="77777777" w:rsidTr="00274F66">
        <w:tc>
          <w:tcPr>
            <w:tcW w:w="2500" w:type="pct"/>
            <w:shd w:val="clear" w:color="auto" w:fill="auto"/>
            <w:vAlign w:val="center"/>
          </w:tcPr>
          <w:p w14:paraId="7E4944EC" w14:textId="77777777" w:rsidR="00995AB9" w:rsidRPr="005F3DDA" w:rsidRDefault="00995AB9" w:rsidP="00995AB9">
            <w:pPr>
              <w:pStyle w:val="Bezriadkovania"/>
              <w:numPr>
                <w:ilvl w:val="0"/>
                <w:numId w:val="15"/>
              </w:numPr>
              <w:ind w:left="176" w:hanging="176"/>
              <w:rPr>
                <w:sz w:val="20"/>
                <w:szCs w:val="20"/>
              </w:rPr>
            </w:pPr>
            <w:r w:rsidRPr="005F3DDA">
              <w:rPr>
                <w:sz w:val="20"/>
                <w:szCs w:val="20"/>
              </w:rPr>
              <w:t>Jednorazové efekty</w:t>
            </w:r>
          </w:p>
        </w:tc>
        <w:tc>
          <w:tcPr>
            <w:tcW w:w="370" w:type="pct"/>
            <w:shd w:val="clear" w:color="auto" w:fill="auto"/>
            <w:vAlign w:val="center"/>
          </w:tcPr>
          <w:p w14:paraId="5BE60C04" w14:textId="77777777" w:rsidR="00995AB9" w:rsidRPr="005F3DDA" w:rsidRDefault="00995AB9" w:rsidP="00A940B3">
            <w:pPr>
              <w:pStyle w:val="Bezriadkovania"/>
              <w:jc w:val="center"/>
              <w:rPr>
                <w:sz w:val="20"/>
                <w:szCs w:val="20"/>
              </w:rPr>
            </w:pPr>
            <w:r w:rsidRPr="005F3DDA">
              <w:rPr>
                <w:sz w:val="20"/>
                <w:szCs w:val="20"/>
              </w:rPr>
              <w:t>0,0</w:t>
            </w:r>
          </w:p>
        </w:tc>
        <w:tc>
          <w:tcPr>
            <w:tcW w:w="391" w:type="pct"/>
            <w:shd w:val="clear" w:color="auto" w:fill="auto"/>
            <w:vAlign w:val="center"/>
          </w:tcPr>
          <w:p w14:paraId="2367E014" w14:textId="77777777" w:rsidR="00995AB9" w:rsidRPr="005F3DDA" w:rsidRDefault="00995AB9" w:rsidP="00A940B3">
            <w:pPr>
              <w:pStyle w:val="Bezriadkovania"/>
              <w:jc w:val="center"/>
              <w:rPr>
                <w:sz w:val="20"/>
                <w:szCs w:val="20"/>
              </w:rPr>
            </w:pPr>
            <w:r w:rsidRPr="005F3DDA">
              <w:rPr>
                <w:sz w:val="20"/>
                <w:szCs w:val="20"/>
              </w:rPr>
              <w:t>0,0</w:t>
            </w:r>
          </w:p>
        </w:tc>
        <w:tc>
          <w:tcPr>
            <w:tcW w:w="435" w:type="pct"/>
            <w:shd w:val="clear" w:color="auto" w:fill="auto"/>
            <w:vAlign w:val="center"/>
          </w:tcPr>
          <w:p w14:paraId="630C24F2" w14:textId="77777777" w:rsidR="00995AB9" w:rsidRPr="005F3DDA" w:rsidRDefault="00995AB9" w:rsidP="00A940B3">
            <w:pPr>
              <w:pStyle w:val="Bezriadkovania"/>
              <w:jc w:val="center"/>
              <w:rPr>
                <w:sz w:val="20"/>
                <w:szCs w:val="20"/>
              </w:rPr>
            </w:pPr>
            <w:r w:rsidRPr="005F3DDA">
              <w:rPr>
                <w:sz w:val="20"/>
                <w:szCs w:val="20"/>
              </w:rPr>
              <w:t>-1,6*</w:t>
            </w:r>
          </w:p>
        </w:tc>
        <w:tc>
          <w:tcPr>
            <w:tcW w:w="435" w:type="pct"/>
            <w:shd w:val="clear" w:color="auto" w:fill="auto"/>
            <w:vAlign w:val="center"/>
          </w:tcPr>
          <w:p w14:paraId="63F25544" w14:textId="77777777" w:rsidR="00995AB9" w:rsidRPr="005F3DDA" w:rsidRDefault="00995AB9" w:rsidP="00A940B3">
            <w:pPr>
              <w:pStyle w:val="Bezriadkovania"/>
              <w:jc w:val="center"/>
              <w:rPr>
                <w:sz w:val="20"/>
                <w:szCs w:val="20"/>
              </w:rPr>
            </w:pPr>
            <w:r w:rsidRPr="005F3DDA">
              <w:rPr>
                <w:sz w:val="20"/>
                <w:szCs w:val="20"/>
              </w:rPr>
              <w:t>0,0</w:t>
            </w:r>
          </w:p>
        </w:tc>
        <w:tc>
          <w:tcPr>
            <w:tcW w:w="435" w:type="pct"/>
            <w:shd w:val="clear" w:color="auto" w:fill="auto"/>
            <w:vAlign w:val="center"/>
          </w:tcPr>
          <w:p w14:paraId="62BE0D7C" w14:textId="77777777" w:rsidR="00995AB9" w:rsidRPr="005F3DDA" w:rsidRDefault="00995AB9" w:rsidP="00A940B3">
            <w:pPr>
              <w:pStyle w:val="Bezriadkovania"/>
              <w:jc w:val="center"/>
              <w:rPr>
                <w:sz w:val="20"/>
                <w:szCs w:val="20"/>
              </w:rPr>
            </w:pPr>
            <w:r w:rsidRPr="005F3DDA">
              <w:rPr>
                <w:sz w:val="20"/>
                <w:szCs w:val="20"/>
              </w:rPr>
              <w:t>0,0</w:t>
            </w:r>
          </w:p>
        </w:tc>
        <w:tc>
          <w:tcPr>
            <w:tcW w:w="434" w:type="pct"/>
            <w:shd w:val="clear" w:color="auto" w:fill="auto"/>
            <w:vAlign w:val="center"/>
          </w:tcPr>
          <w:p w14:paraId="30182A96" w14:textId="77777777" w:rsidR="00995AB9" w:rsidRPr="005F3DDA" w:rsidRDefault="00995AB9" w:rsidP="00A940B3">
            <w:pPr>
              <w:pStyle w:val="Bezriadkovania"/>
              <w:jc w:val="center"/>
              <w:rPr>
                <w:sz w:val="20"/>
                <w:szCs w:val="20"/>
              </w:rPr>
            </w:pPr>
            <w:r w:rsidRPr="005F3DDA">
              <w:rPr>
                <w:sz w:val="20"/>
                <w:szCs w:val="20"/>
              </w:rPr>
              <w:t>0,0</w:t>
            </w:r>
          </w:p>
        </w:tc>
      </w:tr>
      <w:tr w:rsidR="00995AB9" w:rsidRPr="005F3DDA" w14:paraId="388257A2" w14:textId="77777777" w:rsidTr="00274F66">
        <w:tc>
          <w:tcPr>
            <w:tcW w:w="2500" w:type="pct"/>
            <w:shd w:val="clear" w:color="auto" w:fill="auto"/>
            <w:vAlign w:val="center"/>
          </w:tcPr>
          <w:p w14:paraId="2182592C" w14:textId="77777777" w:rsidR="00995AB9" w:rsidRPr="005F3DDA" w:rsidRDefault="00995AB9" w:rsidP="00995AB9">
            <w:pPr>
              <w:pStyle w:val="Bezriadkovania"/>
              <w:numPr>
                <w:ilvl w:val="0"/>
                <w:numId w:val="15"/>
              </w:numPr>
              <w:ind w:left="176" w:hanging="176"/>
              <w:rPr>
                <w:b/>
                <w:sz w:val="20"/>
                <w:szCs w:val="20"/>
              </w:rPr>
            </w:pPr>
            <w:r w:rsidRPr="005F3DDA">
              <w:rPr>
                <w:b/>
                <w:sz w:val="20"/>
                <w:szCs w:val="20"/>
              </w:rPr>
              <w:t>Štrukturálne saldo (1-2-3)</w:t>
            </w:r>
          </w:p>
        </w:tc>
        <w:tc>
          <w:tcPr>
            <w:tcW w:w="370" w:type="pct"/>
            <w:shd w:val="clear" w:color="auto" w:fill="auto"/>
            <w:vAlign w:val="center"/>
          </w:tcPr>
          <w:p w14:paraId="20A3A256" w14:textId="77777777" w:rsidR="00995AB9" w:rsidRPr="005F3DDA" w:rsidRDefault="00995AB9" w:rsidP="00A940B3">
            <w:pPr>
              <w:pStyle w:val="Bezriadkovania"/>
              <w:jc w:val="center"/>
              <w:rPr>
                <w:b/>
                <w:sz w:val="20"/>
                <w:szCs w:val="20"/>
              </w:rPr>
            </w:pPr>
            <w:r w:rsidRPr="005F3DDA">
              <w:rPr>
                <w:b/>
                <w:sz w:val="20"/>
                <w:szCs w:val="20"/>
              </w:rPr>
              <w:t>-1,8</w:t>
            </w:r>
          </w:p>
        </w:tc>
        <w:tc>
          <w:tcPr>
            <w:tcW w:w="391" w:type="pct"/>
            <w:shd w:val="clear" w:color="auto" w:fill="auto"/>
            <w:vAlign w:val="center"/>
          </w:tcPr>
          <w:p w14:paraId="40977D4E" w14:textId="77777777" w:rsidR="00995AB9" w:rsidRPr="005F3DDA" w:rsidRDefault="00995AB9" w:rsidP="00A940B3">
            <w:pPr>
              <w:pStyle w:val="Bezriadkovania"/>
              <w:jc w:val="center"/>
              <w:rPr>
                <w:b/>
                <w:sz w:val="20"/>
                <w:szCs w:val="20"/>
              </w:rPr>
            </w:pPr>
            <w:r w:rsidRPr="005F3DDA">
              <w:rPr>
                <w:b/>
                <w:sz w:val="20"/>
                <w:szCs w:val="20"/>
              </w:rPr>
              <w:t>-2,0</w:t>
            </w:r>
          </w:p>
        </w:tc>
        <w:tc>
          <w:tcPr>
            <w:tcW w:w="435" w:type="pct"/>
            <w:shd w:val="clear" w:color="auto" w:fill="auto"/>
            <w:vAlign w:val="center"/>
          </w:tcPr>
          <w:p w14:paraId="0EAEFECB" w14:textId="77777777" w:rsidR="00995AB9" w:rsidRPr="005F3DDA" w:rsidRDefault="00995AB9" w:rsidP="00A940B3">
            <w:pPr>
              <w:pStyle w:val="Bezriadkovania"/>
              <w:jc w:val="center"/>
              <w:rPr>
                <w:b/>
                <w:sz w:val="20"/>
                <w:szCs w:val="20"/>
              </w:rPr>
            </w:pPr>
            <w:r w:rsidRPr="005F3DDA">
              <w:rPr>
                <w:b/>
                <w:sz w:val="20"/>
                <w:szCs w:val="20"/>
              </w:rPr>
              <w:t>-4,0</w:t>
            </w:r>
          </w:p>
        </w:tc>
        <w:tc>
          <w:tcPr>
            <w:tcW w:w="435" w:type="pct"/>
            <w:shd w:val="clear" w:color="auto" w:fill="auto"/>
            <w:vAlign w:val="center"/>
          </w:tcPr>
          <w:p w14:paraId="6A7162F9" w14:textId="77777777" w:rsidR="00995AB9" w:rsidRPr="005F3DDA" w:rsidRDefault="00995AB9" w:rsidP="00A940B3">
            <w:pPr>
              <w:pStyle w:val="Bezriadkovania"/>
              <w:jc w:val="center"/>
              <w:rPr>
                <w:b/>
                <w:sz w:val="20"/>
                <w:szCs w:val="20"/>
              </w:rPr>
            </w:pPr>
            <w:r w:rsidRPr="005F3DDA">
              <w:rPr>
                <w:b/>
                <w:sz w:val="20"/>
                <w:szCs w:val="20"/>
              </w:rPr>
              <w:t>-3,7</w:t>
            </w:r>
          </w:p>
        </w:tc>
        <w:tc>
          <w:tcPr>
            <w:tcW w:w="435" w:type="pct"/>
            <w:shd w:val="clear" w:color="auto" w:fill="auto"/>
            <w:vAlign w:val="center"/>
          </w:tcPr>
          <w:p w14:paraId="1AEED143" w14:textId="77777777" w:rsidR="00995AB9" w:rsidRPr="005F3DDA" w:rsidRDefault="00995AB9" w:rsidP="00A940B3">
            <w:pPr>
              <w:pStyle w:val="Bezriadkovania"/>
              <w:jc w:val="center"/>
              <w:rPr>
                <w:b/>
                <w:sz w:val="20"/>
                <w:szCs w:val="20"/>
              </w:rPr>
            </w:pPr>
            <w:r w:rsidRPr="005F3DDA">
              <w:rPr>
                <w:b/>
                <w:sz w:val="20"/>
                <w:szCs w:val="20"/>
              </w:rPr>
              <w:t>-3,2</w:t>
            </w:r>
          </w:p>
        </w:tc>
        <w:tc>
          <w:tcPr>
            <w:tcW w:w="434" w:type="pct"/>
            <w:shd w:val="clear" w:color="auto" w:fill="auto"/>
            <w:vAlign w:val="center"/>
          </w:tcPr>
          <w:p w14:paraId="56DEB2E8" w14:textId="77777777" w:rsidR="00995AB9" w:rsidRPr="005F3DDA" w:rsidRDefault="00995AB9" w:rsidP="00A940B3">
            <w:pPr>
              <w:pStyle w:val="Bezriadkovania"/>
              <w:jc w:val="center"/>
              <w:rPr>
                <w:b/>
                <w:sz w:val="20"/>
                <w:szCs w:val="20"/>
              </w:rPr>
            </w:pPr>
            <w:r w:rsidRPr="005F3DDA">
              <w:rPr>
                <w:b/>
                <w:sz w:val="20"/>
                <w:szCs w:val="20"/>
              </w:rPr>
              <w:t>-2,7</w:t>
            </w:r>
          </w:p>
        </w:tc>
      </w:tr>
      <w:tr w:rsidR="00995AB9" w:rsidRPr="005F3DDA" w14:paraId="7259EF70" w14:textId="77777777" w:rsidTr="00274F66">
        <w:tc>
          <w:tcPr>
            <w:tcW w:w="2500" w:type="pct"/>
            <w:shd w:val="clear" w:color="auto" w:fill="auto"/>
            <w:vAlign w:val="center"/>
          </w:tcPr>
          <w:p w14:paraId="7B68A429" w14:textId="77777777" w:rsidR="00995AB9" w:rsidRPr="005F3DDA" w:rsidRDefault="00995AB9" w:rsidP="00995AB9">
            <w:pPr>
              <w:pStyle w:val="Bezriadkovania"/>
              <w:numPr>
                <w:ilvl w:val="0"/>
                <w:numId w:val="15"/>
              </w:numPr>
              <w:ind w:left="176" w:hanging="176"/>
              <w:rPr>
                <w:b/>
                <w:sz w:val="20"/>
                <w:szCs w:val="20"/>
              </w:rPr>
            </w:pPr>
            <w:r w:rsidRPr="005F3DDA">
              <w:rPr>
                <w:b/>
                <w:sz w:val="20"/>
                <w:szCs w:val="20"/>
              </w:rPr>
              <w:t xml:space="preserve">Konsolidačné úsilie </w:t>
            </w:r>
          </w:p>
        </w:tc>
        <w:tc>
          <w:tcPr>
            <w:tcW w:w="370" w:type="pct"/>
            <w:shd w:val="clear" w:color="auto" w:fill="auto"/>
            <w:vAlign w:val="center"/>
          </w:tcPr>
          <w:p w14:paraId="786EAF94" w14:textId="77777777" w:rsidR="00995AB9" w:rsidRPr="005F3DDA" w:rsidRDefault="00995AB9" w:rsidP="00A940B3">
            <w:pPr>
              <w:pStyle w:val="Bezriadkovania"/>
              <w:jc w:val="center"/>
              <w:rPr>
                <w:b/>
                <w:sz w:val="20"/>
                <w:szCs w:val="20"/>
              </w:rPr>
            </w:pPr>
            <w:r w:rsidRPr="005F3DDA">
              <w:rPr>
                <w:b/>
                <w:sz w:val="20"/>
                <w:szCs w:val="20"/>
              </w:rPr>
              <w:t>-0,7</w:t>
            </w:r>
          </w:p>
        </w:tc>
        <w:tc>
          <w:tcPr>
            <w:tcW w:w="391" w:type="pct"/>
            <w:shd w:val="clear" w:color="auto" w:fill="auto"/>
            <w:vAlign w:val="center"/>
          </w:tcPr>
          <w:p w14:paraId="4952B62E" w14:textId="77777777" w:rsidR="00995AB9" w:rsidRPr="005F3DDA" w:rsidRDefault="00995AB9" w:rsidP="00A940B3">
            <w:pPr>
              <w:pStyle w:val="Bezriadkovania"/>
              <w:jc w:val="center"/>
              <w:rPr>
                <w:b/>
                <w:sz w:val="20"/>
                <w:szCs w:val="20"/>
              </w:rPr>
            </w:pPr>
            <w:r w:rsidRPr="005F3DDA">
              <w:rPr>
                <w:b/>
                <w:sz w:val="20"/>
                <w:szCs w:val="20"/>
              </w:rPr>
              <w:t>-0,2</w:t>
            </w:r>
          </w:p>
        </w:tc>
        <w:tc>
          <w:tcPr>
            <w:tcW w:w="435" w:type="pct"/>
            <w:shd w:val="clear" w:color="auto" w:fill="auto"/>
            <w:vAlign w:val="center"/>
          </w:tcPr>
          <w:p w14:paraId="0523CE78" w14:textId="77777777" w:rsidR="00995AB9" w:rsidRPr="005F3DDA" w:rsidRDefault="00995AB9" w:rsidP="00A940B3">
            <w:pPr>
              <w:pStyle w:val="Bezriadkovania"/>
              <w:jc w:val="center"/>
              <w:rPr>
                <w:b/>
                <w:sz w:val="20"/>
                <w:szCs w:val="20"/>
              </w:rPr>
            </w:pPr>
            <w:r w:rsidRPr="005F3DDA">
              <w:rPr>
                <w:b/>
                <w:sz w:val="20"/>
                <w:szCs w:val="20"/>
              </w:rPr>
              <w:t>-2,0</w:t>
            </w:r>
          </w:p>
        </w:tc>
        <w:tc>
          <w:tcPr>
            <w:tcW w:w="435" w:type="pct"/>
            <w:shd w:val="clear" w:color="auto" w:fill="auto"/>
            <w:vAlign w:val="center"/>
          </w:tcPr>
          <w:p w14:paraId="49B47735" w14:textId="77777777" w:rsidR="00995AB9" w:rsidRPr="005F3DDA" w:rsidRDefault="00995AB9" w:rsidP="00A940B3">
            <w:pPr>
              <w:pStyle w:val="Bezriadkovania"/>
              <w:jc w:val="center"/>
              <w:rPr>
                <w:b/>
                <w:sz w:val="20"/>
                <w:szCs w:val="20"/>
              </w:rPr>
            </w:pPr>
            <w:r w:rsidRPr="005F3DDA">
              <w:rPr>
                <w:b/>
                <w:sz w:val="20"/>
                <w:szCs w:val="20"/>
              </w:rPr>
              <w:t>0,2</w:t>
            </w:r>
          </w:p>
        </w:tc>
        <w:tc>
          <w:tcPr>
            <w:tcW w:w="435" w:type="pct"/>
            <w:shd w:val="clear" w:color="auto" w:fill="auto"/>
            <w:vAlign w:val="center"/>
          </w:tcPr>
          <w:p w14:paraId="2B4E0D23" w14:textId="77777777" w:rsidR="00995AB9" w:rsidRPr="005F3DDA" w:rsidRDefault="00995AB9" w:rsidP="00A940B3">
            <w:pPr>
              <w:pStyle w:val="Bezriadkovania"/>
              <w:jc w:val="center"/>
              <w:rPr>
                <w:b/>
                <w:sz w:val="20"/>
                <w:szCs w:val="20"/>
              </w:rPr>
            </w:pPr>
            <w:r w:rsidRPr="005F3DDA">
              <w:rPr>
                <w:b/>
                <w:sz w:val="20"/>
                <w:szCs w:val="20"/>
              </w:rPr>
              <w:t>0,5</w:t>
            </w:r>
          </w:p>
        </w:tc>
        <w:tc>
          <w:tcPr>
            <w:tcW w:w="434" w:type="pct"/>
            <w:shd w:val="clear" w:color="auto" w:fill="auto"/>
            <w:vAlign w:val="center"/>
          </w:tcPr>
          <w:p w14:paraId="6C5ACC3B" w14:textId="77777777" w:rsidR="00995AB9" w:rsidRPr="005F3DDA" w:rsidRDefault="00995AB9" w:rsidP="00A940B3">
            <w:pPr>
              <w:pStyle w:val="Bezriadkovania"/>
              <w:jc w:val="center"/>
              <w:rPr>
                <w:b/>
                <w:sz w:val="20"/>
                <w:szCs w:val="20"/>
              </w:rPr>
            </w:pPr>
            <w:r w:rsidRPr="005F3DDA">
              <w:rPr>
                <w:b/>
                <w:sz w:val="20"/>
                <w:szCs w:val="20"/>
              </w:rPr>
              <w:t>0,5</w:t>
            </w:r>
          </w:p>
        </w:tc>
      </w:tr>
      <w:tr w:rsidR="00995AB9" w:rsidRPr="005F3DDA" w14:paraId="51273A83" w14:textId="77777777" w:rsidTr="00274F66">
        <w:tc>
          <w:tcPr>
            <w:tcW w:w="2500" w:type="pct"/>
            <w:shd w:val="clear" w:color="auto" w:fill="auto"/>
            <w:vAlign w:val="center"/>
          </w:tcPr>
          <w:p w14:paraId="7F438D33" w14:textId="77777777" w:rsidR="00995AB9" w:rsidRPr="005F3DDA" w:rsidRDefault="00995AB9" w:rsidP="00A940B3">
            <w:pPr>
              <w:pStyle w:val="Bezriadkovania"/>
              <w:rPr>
                <w:b/>
                <w:sz w:val="20"/>
                <w:szCs w:val="20"/>
              </w:rPr>
            </w:pPr>
            <w:r w:rsidRPr="005F3DDA">
              <w:rPr>
                <w:i/>
                <w:sz w:val="20"/>
                <w:szCs w:val="20"/>
              </w:rPr>
              <w:t>p. m. Štrukturálne saldo bez prijatých opatrení – NPC scenár</w:t>
            </w:r>
          </w:p>
        </w:tc>
        <w:tc>
          <w:tcPr>
            <w:tcW w:w="370" w:type="pct"/>
            <w:shd w:val="clear" w:color="auto" w:fill="auto"/>
            <w:vAlign w:val="center"/>
          </w:tcPr>
          <w:p w14:paraId="5D8CE4EC" w14:textId="77777777" w:rsidR="00995AB9" w:rsidRPr="005F3DDA" w:rsidRDefault="00995AB9" w:rsidP="00A940B3">
            <w:pPr>
              <w:pStyle w:val="Bezriadkovania"/>
              <w:jc w:val="center"/>
              <w:rPr>
                <w:sz w:val="20"/>
                <w:szCs w:val="20"/>
              </w:rPr>
            </w:pPr>
            <w:r w:rsidRPr="005F3DDA">
              <w:rPr>
                <w:sz w:val="20"/>
                <w:szCs w:val="20"/>
              </w:rPr>
              <w:t>-</w:t>
            </w:r>
          </w:p>
        </w:tc>
        <w:tc>
          <w:tcPr>
            <w:tcW w:w="391" w:type="pct"/>
            <w:shd w:val="clear" w:color="auto" w:fill="auto"/>
            <w:vAlign w:val="center"/>
          </w:tcPr>
          <w:p w14:paraId="01371445" w14:textId="77777777" w:rsidR="00995AB9" w:rsidRPr="005F3DDA" w:rsidRDefault="00995AB9" w:rsidP="00A940B3">
            <w:pPr>
              <w:pStyle w:val="Bezriadkovania"/>
              <w:jc w:val="center"/>
              <w:rPr>
                <w:b/>
                <w:sz w:val="20"/>
                <w:szCs w:val="20"/>
              </w:rPr>
            </w:pPr>
            <w:r w:rsidRPr="005F3DDA">
              <w:rPr>
                <w:b/>
                <w:sz w:val="20"/>
                <w:szCs w:val="20"/>
              </w:rPr>
              <w:t>-</w:t>
            </w:r>
          </w:p>
        </w:tc>
        <w:tc>
          <w:tcPr>
            <w:tcW w:w="435" w:type="pct"/>
            <w:shd w:val="clear" w:color="auto" w:fill="auto"/>
            <w:vAlign w:val="center"/>
          </w:tcPr>
          <w:p w14:paraId="39114913" w14:textId="77777777" w:rsidR="00995AB9" w:rsidRPr="005F3DDA" w:rsidRDefault="00995AB9" w:rsidP="00A940B3">
            <w:pPr>
              <w:pStyle w:val="Bezriadkovania"/>
              <w:jc w:val="center"/>
              <w:rPr>
                <w:sz w:val="20"/>
                <w:szCs w:val="20"/>
              </w:rPr>
            </w:pPr>
            <w:r w:rsidRPr="005F3DDA">
              <w:rPr>
                <w:sz w:val="20"/>
                <w:szCs w:val="20"/>
              </w:rPr>
              <w:t>-</w:t>
            </w:r>
          </w:p>
        </w:tc>
        <w:tc>
          <w:tcPr>
            <w:tcW w:w="435" w:type="pct"/>
            <w:shd w:val="clear" w:color="auto" w:fill="auto"/>
            <w:vAlign w:val="center"/>
          </w:tcPr>
          <w:p w14:paraId="672D259C" w14:textId="77777777" w:rsidR="00995AB9" w:rsidRPr="005F3DDA" w:rsidRDefault="00995AB9" w:rsidP="00A940B3">
            <w:pPr>
              <w:pStyle w:val="Bezriadkovania"/>
              <w:jc w:val="center"/>
              <w:rPr>
                <w:sz w:val="20"/>
                <w:szCs w:val="20"/>
              </w:rPr>
            </w:pPr>
            <w:r w:rsidRPr="005F3DDA">
              <w:rPr>
                <w:sz w:val="20"/>
                <w:szCs w:val="20"/>
              </w:rPr>
              <w:t>-4,9</w:t>
            </w:r>
          </w:p>
        </w:tc>
        <w:tc>
          <w:tcPr>
            <w:tcW w:w="435" w:type="pct"/>
            <w:shd w:val="clear" w:color="auto" w:fill="auto"/>
            <w:vAlign w:val="center"/>
          </w:tcPr>
          <w:p w14:paraId="4A08B075" w14:textId="77777777" w:rsidR="00995AB9" w:rsidRPr="005F3DDA" w:rsidRDefault="00995AB9" w:rsidP="00A940B3">
            <w:pPr>
              <w:pStyle w:val="Bezriadkovania"/>
              <w:jc w:val="center"/>
              <w:rPr>
                <w:sz w:val="20"/>
                <w:szCs w:val="20"/>
              </w:rPr>
            </w:pPr>
            <w:r w:rsidRPr="005F3DDA">
              <w:rPr>
                <w:sz w:val="20"/>
                <w:szCs w:val="20"/>
              </w:rPr>
              <w:t>-5,6</w:t>
            </w:r>
          </w:p>
        </w:tc>
        <w:tc>
          <w:tcPr>
            <w:tcW w:w="434" w:type="pct"/>
            <w:shd w:val="clear" w:color="auto" w:fill="auto"/>
            <w:vAlign w:val="center"/>
          </w:tcPr>
          <w:p w14:paraId="4A6649BA" w14:textId="77777777" w:rsidR="00995AB9" w:rsidRPr="005F3DDA" w:rsidRDefault="00995AB9" w:rsidP="00A940B3">
            <w:pPr>
              <w:pStyle w:val="Bezriadkovania"/>
              <w:jc w:val="center"/>
              <w:rPr>
                <w:sz w:val="20"/>
                <w:szCs w:val="20"/>
              </w:rPr>
            </w:pPr>
            <w:r w:rsidRPr="005F3DDA">
              <w:rPr>
                <w:sz w:val="20"/>
                <w:szCs w:val="20"/>
              </w:rPr>
              <w:t>-6,0</w:t>
            </w:r>
          </w:p>
        </w:tc>
      </w:tr>
      <w:tr w:rsidR="00995AB9" w:rsidRPr="005F3DDA" w14:paraId="0B03EEFA" w14:textId="77777777" w:rsidTr="00274F66">
        <w:trPr>
          <w:trHeight w:val="255"/>
        </w:trPr>
        <w:tc>
          <w:tcPr>
            <w:tcW w:w="2500" w:type="pct"/>
            <w:shd w:val="clear" w:color="auto" w:fill="auto"/>
            <w:vAlign w:val="center"/>
          </w:tcPr>
          <w:p w14:paraId="68FC9A8A" w14:textId="77777777" w:rsidR="00995AB9" w:rsidRPr="005F3DDA" w:rsidRDefault="00995AB9" w:rsidP="00A940B3">
            <w:pPr>
              <w:pStyle w:val="Bezriadkovania"/>
              <w:rPr>
                <w:i/>
                <w:sz w:val="20"/>
                <w:szCs w:val="20"/>
              </w:rPr>
            </w:pPr>
            <w:r w:rsidRPr="005F3DDA">
              <w:rPr>
                <w:i/>
                <w:sz w:val="20"/>
                <w:szCs w:val="20"/>
              </w:rPr>
              <w:t>p. m. požadovaná konsolidácia podľa EK**</w:t>
            </w:r>
          </w:p>
        </w:tc>
        <w:tc>
          <w:tcPr>
            <w:tcW w:w="370" w:type="pct"/>
            <w:shd w:val="clear" w:color="auto" w:fill="auto"/>
            <w:vAlign w:val="center"/>
          </w:tcPr>
          <w:p w14:paraId="3DC19000" w14:textId="77777777" w:rsidR="00995AB9" w:rsidRPr="005F3DDA" w:rsidRDefault="00995AB9" w:rsidP="00A940B3">
            <w:pPr>
              <w:pStyle w:val="Bezriadkovania"/>
              <w:jc w:val="center"/>
              <w:rPr>
                <w:sz w:val="20"/>
                <w:szCs w:val="20"/>
              </w:rPr>
            </w:pPr>
            <w:r w:rsidRPr="005F3DDA">
              <w:rPr>
                <w:sz w:val="20"/>
                <w:szCs w:val="20"/>
              </w:rPr>
              <w:t>0,5</w:t>
            </w:r>
          </w:p>
        </w:tc>
        <w:tc>
          <w:tcPr>
            <w:tcW w:w="391" w:type="pct"/>
            <w:shd w:val="clear" w:color="auto" w:fill="auto"/>
            <w:vAlign w:val="center"/>
          </w:tcPr>
          <w:p w14:paraId="45BE311B" w14:textId="77777777" w:rsidR="00995AB9" w:rsidRPr="005F3DDA" w:rsidRDefault="00995AB9" w:rsidP="00A940B3">
            <w:pPr>
              <w:pStyle w:val="Bezriadkovania"/>
              <w:jc w:val="center"/>
              <w:rPr>
                <w:sz w:val="20"/>
                <w:szCs w:val="20"/>
              </w:rPr>
            </w:pPr>
            <w:r w:rsidRPr="005F3DDA">
              <w:rPr>
                <w:sz w:val="20"/>
                <w:szCs w:val="20"/>
              </w:rPr>
              <w:t>0,35</w:t>
            </w:r>
          </w:p>
        </w:tc>
        <w:tc>
          <w:tcPr>
            <w:tcW w:w="435" w:type="pct"/>
            <w:shd w:val="clear" w:color="auto" w:fill="auto"/>
            <w:vAlign w:val="center"/>
          </w:tcPr>
          <w:p w14:paraId="2C6EC23C" w14:textId="77777777" w:rsidR="00995AB9" w:rsidRPr="005F3DDA" w:rsidRDefault="00995AB9" w:rsidP="00A940B3">
            <w:pPr>
              <w:pStyle w:val="Bezriadkovania"/>
              <w:jc w:val="center"/>
              <w:rPr>
                <w:sz w:val="20"/>
                <w:szCs w:val="20"/>
              </w:rPr>
            </w:pPr>
            <w:r w:rsidRPr="005F3DDA">
              <w:rPr>
                <w:sz w:val="20"/>
                <w:szCs w:val="20"/>
              </w:rPr>
              <w:t>-</w:t>
            </w:r>
          </w:p>
        </w:tc>
        <w:tc>
          <w:tcPr>
            <w:tcW w:w="435" w:type="pct"/>
            <w:shd w:val="clear" w:color="auto" w:fill="auto"/>
            <w:vAlign w:val="center"/>
          </w:tcPr>
          <w:p w14:paraId="301E4114" w14:textId="77777777" w:rsidR="00995AB9" w:rsidRPr="005F3DDA" w:rsidRDefault="00995AB9" w:rsidP="00A940B3">
            <w:pPr>
              <w:pStyle w:val="Bezriadkovania"/>
              <w:jc w:val="center"/>
              <w:rPr>
                <w:sz w:val="20"/>
                <w:szCs w:val="20"/>
              </w:rPr>
            </w:pPr>
            <w:r w:rsidRPr="005F3DDA">
              <w:rPr>
                <w:sz w:val="20"/>
                <w:szCs w:val="20"/>
              </w:rPr>
              <w:t>0,25</w:t>
            </w:r>
          </w:p>
        </w:tc>
        <w:tc>
          <w:tcPr>
            <w:tcW w:w="435" w:type="pct"/>
            <w:shd w:val="clear" w:color="auto" w:fill="auto"/>
            <w:vAlign w:val="center"/>
          </w:tcPr>
          <w:p w14:paraId="13B36879" w14:textId="77777777" w:rsidR="00995AB9" w:rsidRPr="005F3DDA" w:rsidRDefault="00995AB9" w:rsidP="00A940B3">
            <w:pPr>
              <w:pStyle w:val="Bezriadkovania"/>
              <w:jc w:val="center"/>
              <w:rPr>
                <w:sz w:val="20"/>
                <w:szCs w:val="20"/>
              </w:rPr>
            </w:pPr>
            <w:r w:rsidRPr="005F3DDA">
              <w:rPr>
                <w:sz w:val="20"/>
                <w:szCs w:val="20"/>
              </w:rPr>
              <w:t>0,5</w:t>
            </w:r>
          </w:p>
        </w:tc>
        <w:tc>
          <w:tcPr>
            <w:tcW w:w="434" w:type="pct"/>
            <w:shd w:val="clear" w:color="auto" w:fill="auto"/>
            <w:vAlign w:val="center"/>
          </w:tcPr>
          <w:p w14:paraId="64BB9304" w14:textId="77777777" w:rsidR="00995AB9" w:rsidRPr="005F3DDA" w:rsidRDefault="00995AB9" w:rsidP="00A940B3">
            <w:pPr>
              <w:pStyle w:val="Bezriadkovania"/>
              <w:jc w:val="center"/>
              <w:rPr>
                <w:sz w:val="20"/>
                <w:szCs w:val="20"/>
              </w:rPr>
            </w:pPr>
            <w:r w:rsidRPr="005F3DDA">
              <w:rPr>
                <w:sz w:val="20"/>
                <w:szCs w:val="20"/>
              </w:rPr>
              <w:t>0,5</w:t>
            </w:r>
          </w:p>
        </w:tc>
      </w:tr>
    </w:tbl>
    <w:p w14:paraId="30F39D3A" w14:textId="77777777" w:rsidR="00995AB9" w:rsidRPr="00376728" w:rsidRDefault="00995AB9" w:rsidP="00995AB9">
      <w:pPr>
        <w:rPr>
          <w:i/>
          <w:sz w:val="18"/>
        </w:rPr>
      </w:pPr>
      <w:r w:rsidRPr="00376728">
        <w:rPr>
          <w:i/>
          <w:sz w:val="18"/>
        </w:rPr>
        <w:t>Zdroj: MF SR, Program stability na roky 2020 – 2023</w:t>
      </w:r>
      <w:r w:rsidRPr="00376728">
        <w:rPr>
          <w:i/>
          <w:sz w:val="18"/>
        </w:rPr>
        <w:br/>
        <w:t>*Zahŕňa vplyv opatrení spojených s COVID 19</w:t>
      </w:r>
      <w:r w:rsidRPr="00376728">
        <w:rPr>
          <w:i/>
          <w:sz w:val="18"/>
        </w:rPr>
        <w:br/>
        <w:t>**Od roku 2021 ide o predpokladanú konsolidáciu, ktorá kopíruje preventívnu časť Paktu. EK môže nakoniec stanoviť aj vyššiu konsolidáciu, keďže sa bude Slovensko pravdepodobne od roku 2020 alebo 2021 nachádzať v korektívnej časti Paktu, kde sa uplatňujú individuálne požiadavky.</w:t>
      </w:r>
    </w:p>
    <w:p w14:paraId="4973A62A" w14:textId="3149C7AE" w:rsidR="00D47118" w:rsidRPr="00F13972" w:rsidRDefault="00995AB9" w:rsidP="005F3DDA">
      <w:pPr>
        <w:spacing w:before="120" w:after="120"/>
        <w:jc w:val="both"/>
        <w:rPr>
          <w:b/>
        </w:rPr>
      </w:pPr>
      <w:r>
        <w:t xml:space="preserve">V roku 2020 vstúpili do platnosti viaceré zmeny dôchodkového systému, ktoré výrazne zvýšia budúce výdavky na dôchodky. Najdôležitejšou zmenou je zavedenie stropu na dôchodkový vek. </w:t>
      </w:r>
      <w:r w:rsidRPr="00F13972">
        <w:rPr>
          <w:b/>
        </w:rPr>
        <w:t>Po zohľadnení ďalších prijatých opatrení</w:t>
      </w:r>
      <w:r>
        <w:t xml:space="preserve"> (plošné zvýšenie minimálneho dôchodku, zmena výpočtu dôchodkov z II. piliera a zavedenie plošných 13-tych dôchodkov namiesto vianočných príspevkov) </w:t>
      </w:r>
      <w:r w:rsidRPr="00F13972">
        <w:rPr>
          <w:b/>
        </w:rPr>
        <w:t>a zhoršení východiskovej pozície kvôli dôsledkom pandémie sa zvýši riziko strednodobej aj dlhodobej udržateľnosti zo stredného na vysoké.</w:t>
      </w:r>
    </w:p>
    <w:p w14:paraId="146068C5" w14:textId="77777777" w:rsidR="0033201C" w:rsidRDefault="0033201C" w:rsidP="00995AB9">
      <w:pPr>
        <w:spacing w:before="120" w:after="120"/>
        <w:rPr>
          <w:b/>
        </w:rPr>
      </w:pPr>
    </w:p>
    <w:p w14:paraId="3C023A11" w14:textId="77777777" w:rsidR="0033201C" w:rsidRDefault="0033201C" w:rsidP="00995AB9">
      <w:pPr>
        <w:spacing w:before="120" w:after="120"/>
        <w:rPr>
          <w:b/>
        </w:rPr>
      </w:pPr>
    </w:p>
    <w:p w14:paraId="5963DE41" w14:textId="77777777" w:rsidR="0033201C" w:rsidRDefault="0033201C" w:rsidP="00995AB9">
      <w:pPr>
        <w:spacing w:before="120" w:after="120"/>
        <w:rPr>
          <w:b/>
        </w:rPr>
      </w:pPr>
    </w:p>
    <w:p w14:paraId="0DE28F08" w14:textId="34165FBE" w:rsidR="00995AB9" w:rsidRPr="00C41682" w:rsidRDefault="00995AB9" w:rsidP="00995AB9">
      <w:pPr>
        <w:spacing w:before="120" w:after="120"/>
        <w:rPr>
          <w:b/>
        </w:rPr>
      </w:pPr>
      <w:r w:rsidRPr="00C41682">
        <w:rPr>
          <w:b/>
        </w:rPr>
        <w:lastRenderedPageBreak/>
        <w:t>Štruktúra salda verejnej správy</w:t>
      </w:r>
    </w:p>
    <w:p w14:paraId="4795E4C5" w14:textId="3F549B14" w:rsidR="00995AB9" w:rsidRDefault="00995AB9" w:rsidP="00EC52D7">
      <w:pPr>
        <w:spacing w:before="120" w:after="120"/>
        <w:jc w:val="both"/>
      </w:pPr>
      <w:r w:rsidRPr="00C41682">
        <w:t>Prehľad o štruktúre deficitu na akruálnej báze podľa jednotlivých subjek</w:t>
      </w:r>
      <w:r>
        <w:t xml:space="preserve">tov </w:t>
      </w:r>
      <w:r w:rsidR="003C2E0B">
        <w:t>VS</w:t>
      </w:r>
      <w:r w:rsidR="003C2E0B">
        <w:rPr>
          <w:rStyle w:val="Odkaznapoznmkupodiarou"/>
        </w:rPr>
        <w:footnoteReference w:id="3"/>
      </w:r>
      <w:r>
        <w:t xml:space="preserve"> za roky 2017 až 2019</w:t>
      </w:r>
      <w:r w:rsidRPr="00C41682">
        <w:t xml:space="preserve"> a rozdiel sku</w:t>
      </w:r>
      <w:r>
        <w:t xml:space="preserve">točnosti </w:t>
      </w:r>
      <w:r w:rsidR="004353B5">
        <w:t>oproti</w:t>
      </w:r>
      <w:r>
        <w:t xml:space="preserve"> rozpočt</w:t>
      </w:r>
      <w:r w:rsidR="004353B5">
        <w:t>u</w:t>
      </w:r>
      <w:r>
        <w:t xml:space="preserve"> na rok 2019</w:t>
      </w:r>
      <w:r w:rsidRPr="00C41682">
        <w:t xml:space="preserve"> je uvedený v Tabuľke </w:t>
      </w:r>
      <w:r w:rsidR="003C2E0B">
        <w:t>2 v P</w:t>
      </w:r>
      <w:r w:rsidRPr="00C41682">
        <w:t>rílohe.</w:t>
      </w:r>
      <w:r>
        <w:t xml:space="preserve"> Z prehľadu hospodárenia jednotlivých subjektov verejnej správy je zrejmé, že </w:t>
      </w:r>
      <w:r w:rsidRPr="00E15F18">
        <w:rPr>
          <w:b/>
        </w:rPr>
        <w:t>najvýraznejšie sa na navýšení schodku verejnej správy podieľal štátny rozpočet. Okrem štátneho rozpočtu</w:t>
      </w:r>
      <w:r w:rsidR="000A6DE4">
        <w:rPr>
          <w:b/>
        </w:rPr>
        <w:t xml:space="preserve"> došlo</w:t>
      </w:r>
      <w:r w:rsidRPr="00E15F18">
        <w:rPr>
          <w:b/>
        </w:rPr>
        <w:t xml:space="preserve"> k zvýšeniu schodku verejnej správy</w:t>
      </w:r>
      <w:r w:rsidR="000A6DE4">
        <w:rPr>
          <w:b/>
        </w:rPr>
        <w:t>,</w:t>
      </w:r>
      <w:r w:rsidRPr="00E15F18">
        <w:rPr>
          <w:b/>
        </w:rPr>
        <w:t xml:space="preserve"> v porovnaní s</w:t>
      </w:r>
      <w:r w:rsidR="000A6DE4">
        <w:rPr>
          <w:b/>
        </w:rPr>
        <w:t> </w:t>
      </w:r>
      <w:r w:rsidRPr="00E15F18">
        <w:rPr>
          <w:b/>
        </w:rPr>
        <w:t>rozpočtom</w:t>
      </w:r>
      <w:r w:rsidR="000A6DE4">
        <w:rPr>
          <w:b/>
        </w:rPr>
        <w:t>,</w:t>
      </w:r>
      <w:r w:rsidRPr="00E15F18">
        <w:rPr>
          <w:b/>
        </w:rPr>
        <w:t xml:space="preserve"> aj vďaka zdravotníckym zariadeniam, obchodným spoločnostiam štátu, či </w:t>
      </w:r>
      <w:r w:rsidR="0046419A">
        <w:rPr>
          <w:b/>
        </w:rPr>
        <w:t>ZSSK</w:t>
      </w:r>
      <w:r w:rsidRPr="00E15F18">
        <w:rPr>
          <w:b/>
        </w:rPr>
        <w:t>.</w:t>
      </w:r>
      <w:r>
        <w:t xml:space="preserve"> </w:t>
      </w:r>
    </w:p>
    <w:p w14:paraId="5C76429D" w14:textId="1A2C18B4" w:rsidR="00995AB9" w:rsidRPr="0035795A" w:rsidRDefault="00995AB9" w:rsidP="00EC52D7">
      <w:pPr>
        <w:spacing w:before="120" w:after="120"/>
        <w:jc w:val="both"/>
      </w:pPr>
      <w:r>
        <w:t xml:space="preserve">Na zhoršenie hospodárenia zdravotníckych zariadení mal najväčší vplyv medziročný nárast záväzkov voči orgánom sociálneho a zdravotného poistenia. V roku 2019 došlo aj k zvýšenému čerpaniu kapitálových výdavkov, </w:t>
      </w:r>
      <w:r w:rsidR="003A0142">
        <w:t>najmä na</w:t>
      </w:r>
      <w:r>
        <w:t> rekonštrukcie a modernizácie budov a priestorov nemocníc, modernizáciu operačných sál a obstaranie zdravotníckej techniky. V rámci obchodných spoločnost</w:t>
      </w:r>
      <w:r w:rsidR="000A6DE4">
        <w:t>í</w:t>
      </w:r>
      <w:r>
        <w:t xml:space="preserve"> je vykazované hospodárenie celkovo za 9 subjektov, pričom v rozhodujúcej miere sa na výsledku podieľajú najmä spoločnosti ako Ž</w:t>
      </w:r>
      <w:r w:rsidR="0046419A">
        <w:t>SR</w:t>
      </w:r>
      <w:r>
        <w:t xml:space="preserve">, </w:t>
      </w:r>
      <w:r w:rsidR="0046419A">
        <w:t>ZSSK</w:t>
      </w:r>
      <w:r>
        <w:t>, N</w:t>
      </w:r>
      <w:r w:rsidR="0046419A">
        <w:t>DS</w:t>
      </w:r>
      <w:r>
        <w:t>.</w:t>
      </w:r>
    </w:p>
    <w:p w14:paraId="3FE67433" w14:textId="5426C356" w:rsidR="00995AB9" w:rsidRDefault="0046419A" w:rsidP="00EC52D7">
      <w:pPr>
        <w:spacing w:before="120" w:after="120"/>
        <w:jc w:val="both"/>
      </w:pPr>
      <w:r>
        <w:t>P</w:t>
      </w:r>
      <w:r w:rsidR="00995AB9">
        <w:t>rebyt</w:t>
      </w:r>
      <w:r>
        <w:t>o</w:t>
      </w:r>
      <w:r w:rsidR="00995AB9">
        <w:t xml:space="preserve">k územnej samosprávy ovplyvnilo najmä hospodárenie obcí, ktoré dosiahli oproti plánovanému rozpočtu nižší prebytok o 178,6 mil. eur. Dôvodom bol pokles nedaňových príjmov a kapitálových príjmov a zvýšených celkových bežných a kapitálových výdavkov oproti rozpočtovaným. Obce investovali najmä do rekonštrukcie a výstavby infraštruktúry (kanalizácie, nájomné byty, komunikácie, rekonštrukcie budov). </w:t>
      </w:r>
    </w:p>
    <w:p w14:paraId="2DFECE39" w14:textId="1625BADC" w:rsidR="004C748F" w:rsidRPr="00B65251" w:rsidRDefault="00BB0EAF" w:rsidP="0094430C">
      <w:pPr>
        <w:pStyle w:val="Nadpis2"/>
        <w:numPr>
          <w:ilvl w:val="1"/>
          <w:numId w:val="23"/>
        </w:numPr>
        <w:jc w:val="both"/>
      </w:pPr>
      <w:bookmarkStart w:id="16" w:name="_Toc480788317"/>
      <w:bookmarkStart w:id="17" w:name="_Toc43218064"/>
      <w:r w:rsidRPr="00B65251">
        <w:t>Príjmy verejnej správy</w:t>
      </w:r>
      <w:bookmarkEnd w:id="16"/>
      <w:bookmarkEnd w:id="17"/>
    </w:p>
    <w:p w14:paraId="4FED4E33" w14:textId="2E5737BA" w:rsidR="00995AB9" w:rsidRPr="00995AB9" w:rsidRDefault="00995AB9" w:rsidP="00995AB9">
      <w:pPr>
        <w:spacing w:before="120" w:after="120"/>
        <w:jc w:val="both"/>
        <w:rPr>
          <w:rFonts w:eastAsia="Calibri" w:cs="Times New Roman"/>
        </w:rPr>
      </w:pPr>
      <w:r w:rsidRPr="00995AB9">
        <w:rPr>
          <w:rFonts w:eastAsia="Calibri" w:cs="Times New Roman"/>
        </w:rPr>
        <w:t xml:space="preserve">Celkové príjmy VS v roku 2019 dosiahli  39 178,3 mil. eur, čo bolo o 2 276,2 mil. eur viac v porovnaní s plánovaným rozpočtom. Medziročne </w:t>
      </w:r>
      <w:r w:rsidR="00535DC5">
        <w:rPr>
          <w:rFonts w:eastAsia="Calibri" w:cs="Times New Roman"/>
        </w:rPr>
        <w:t>tak vzrástli o</w:t>
      </w:r>
      <w:r w:rsidRPr="00995AB9">
        <w:rPr>
          <w:rFonts w:eastAsia="Calibri" w:cs="Times New Roman"/>
        </w:rPr>
        <w:t xml:space="preserve"> 7,6 % </w:t>
      </w:r>
      <w:r w:rsidR="006A5A35">
        <w:rPr>
          <w:rFonts w:eastAsia="Calibri" w:cs="Times New Roman"/>
        </w:rPr>
        <w:t>(vývoj vybraných príjmov</w:t>
      </w:r>
      <w:r w:rsidR="006A5A35" w:rsidRPr="006A5A35">
        <w:rPr>
          <w:rFonts w:eastAsia="Calibri" w:cs="Times New Roman"/>
        </w:rPr>
        <w:t xml:space="preserve"> VS </w:t>
      </w:r>
      <w:r w:rsidR="006A5A35">
        <w:rPr>
          <w:rFonts w:eastAsia="Calibri" w:cs="Times New Roman"/>
        </w:rPr>
        <w:t xml:space="preserve">je uvedený v Tabuľke 3 v Prílohe). </w:t>
      </w:r>
      <w:r w:rsidRPr="00995AB9">
        <w:rPr>
          <w:rFonts w:eastAsia="Calibri" w:cs="Times New Roman"/>
        </w:rPr>
        <w:t xml:space="preserve">Pozitívny vplyv na rast príjmov mal vývoj vo výbere daňových a odvodových príjmov, pričom najvyšší nárast oproti rozpočtovaným príjmom </w:t>
      </w:r>
      <w:r w:rsidR="004F76D4">
        <w:rPr>
          <w:rFonts w:eastAsia="Calibri" w:cs="Times New Roman"/>
        </w:rPr>
        <w:t>zaznamenali</w:t>
      </w:r>
      <w:r w:rsidRPr="00995AB9">
        <w:rPr>
          <w:rFonts w:eastAsia="Calibri" w:cs="Times New Roman"/>
        </w:rPr>
        <w:t xml:space="preserve"> </w:t>
      </w:r>
      <w:r w:rsidRPr="00995AB9">
        <w:rPr>
          <w:rFonts w:eastAsia="Calibri" w:cs="Times New Roman"/>
          <w:b/>
        </w:rPr>
        <w:t>granty a transfery</w:t>
      </w:r>
      <w:r w:rsidRPr="00995AB9">
        <w:rPr>
          <w:rFonts w:eastAsia="Calibri" w:cs="Times New Roman"/>
        </w:rPr>
        <w:t xml:space="preserve">, ktoré </w:t>
      </w:r>
      <w:r w:rsidRPr="00995AB9">
        <w:rPr>
          <w:rFonts w:eastAsia="Calibri" w:cs="Times New Roman"/>
          <w:b/>
        </w:rPr>
        <w:t>prekroči</w:t>
      </w:r>
      <w:r w:rsidR="00F45B63">
        <w:rPr>
          <w:rFonts w:eastAsia="Calibri" w:cs="Times New Roman"/>
          <w:b/>
        </w:rPr>
        <w:t>li rozpočet o 1 036,5 mil. eur.</w:t>
      </w:r>
    </w:p>
    <w:p w14:paraId="5DDDCF45" w14:textId="2AAA4A4E" w:rsidR="00995AB9" w:rsidRDefault="00995AB9" w:rsidP="00995AB9">
      <w:pPr>
        <w:spacing w:before="120" w:after="120"/>
        <w:jc w:val="both"/>
        <w:rPr>
          <w:rFonts w:eastAsia="Calibri" w:cs="Times New Roman"/>
        </w:rPr>
      </w:pPr>
      <w:r w:rsidRPr="00995AB9">
        <w:rPr>
          <w:rFonts w:eastAsia="Calibri" w:cs="Times New Roman"/>
          <w:b/>
        </w:rPr>
        <w:t>Nedaňové príjmy verejnej správy vzrástli oproti rozpočtu o 356 mil. eur</w:t>
      </w:r>
      <w:r w:rsidRPr="00995AB9">
        <w:rPr>
          <w:rFonts w:eastAsia="Calibri" w:cs="Times New Roman"/>
        </w:rPr>
        <w:t>, pričom na ich rast malo pozitívny vplyv zvýšenie hotovostných príjmov z podnikania a vlastníctva majetku, príjmov z administratívnych a iných poplatkov, úrokových príjmov, ako aj medziročný nárast pohľadávok (napr. z dôvodu pohľadávok Sociálnej poisťovne voči zdravotníckym zariadeniam). Negatívne na nedaňové príjmy vplývali úpravy v súlade s metodikou ESA 2010, kde išlo o vylúčenie príspevkov prevádzkovateľov jadrových zariadení z príjmov Národného jadrového fondu alebo vylúčenie príjmov z predaja emisných kvót.</w:t>
      </w:r>
      <w:r w:rsidRPr="00995AB9">
        <w:rPr>
          <w:rFonts w:eastAsia="Calibri" w:cs="Times New Roman"/>
          <w:vertAlign w:val="superscript"/>
        </w:rPr>
        <w:footnoteReference w:id="4"/>
      </w:r>
    </w:p>
    <w:tbl>
      <w:tblPr>
        <w:tblW w:w="5000" w:type="pct"/>
        <w:tblLook w:val="04A0" w:firstRow="1" w:lastRow="0" w:firstColumn="1" w:lastColumn="0" w:noHBand="0" w:noVBand="1"/>
      </w:tblPr>
      <w:tblGrid>
        <w:gridCol w:w="9356"/>
      </w:tblGrid>
      <w:tr w:rsidR="0003682B" w:rsidRPr="00995AB9" w14:paraId="207170FB" w14:textId="77777777" w:rsidTr="00A76DAD">
        <w:trPr>
          <w:trHeight w:val="140"/>
        </w:trPr>
        <w:tc>
          <w:tcPr>
            <w:tcW w:w="5000" w:type="pct"/>
            <w:tcBorders>
              <w:top w:val="single" w:sz="4" w:space="0" w:color="auto"/>
              <w:bottom w:val="single" w:sz="4" w:space="0" w:color="auto"/>
            </w:tcBorders>
            <w:shd w:val="clear" w:color="auto" w:fill="0070C0"/>
            <w:vAlign w:val="center"/>
          </w:tcPr>
          <w:p w14:paraId="638FD87F" w14:textId="79085309" w:rsidR="0003682B" w:rsidRPr="00995AB9" w:rsidRDefault="002A460A" w:rsidP="00A76DAD">
            <w:pPr>
              <w:jc w:val="both"/>
              <w:rPr>
                <w:rFonts w:eastAsia="Calibri" w:cs="Times New Roman"/>
                <w:b/>
                <w:szCs w:val="24"/>
              </w:rPr>
            </w:pPr>
            <w:r>
              <w:rPr>
                <w:rFonts w:eastAsia="Calibri" w:cs="Times New Roman"/>
                <w:b/>
                <w:color w:val="FFFFFF"/>
                <w:szCs w:val="24"/>
              </w:rPr>
              <w:t xml:space="preserve">Graf 4: </w:t>
            </w:r>
            <w:r w:rsidR="0003682B" w:rsidRPr="00995AB9">
              <w:rPr>
                <w:rFonts w:eastAsia="Calibri" w:cs="Times New Roman"/>
                <w:b/>
                <w:color w:val="FFFFFF"/>
                <w:szCs w:val="24"/>
              </w:rPr>
              <w:t xml:space="preserve">Porovnanie vývoja príjmov podľa schváleného rozpočtu a skutočnosti za rok 2019 (v </w:t>
            </w:r>
            <w:r w:rsidR="00076647">
              <w:rPr>
                <w:rFonts w:eastAsia="Calibri" w:cs="Times New Roman"/>
                <w:b/>
                <w:color w:val="FFFFFF"/>
                <w:szCs w:val="24"/>
              </w:rPr>
              <w:t>mil</w:t>
            </w:r>
            <w:r w:rsidR="0003682B" w:rsidRPr="00995AB9">
              <w:rPr>
                <w:rFonts w:eastAsia="Calibri" w:cs="Times New Roman"/>
                <w:b/>
                <w:color w:val="FFFFFF"/>
                <w:szCs w:val="24"/>
              </w:rPr>
              <w:t>. eur)</w:t>
            </w:r>
          </w:p>
        </w:tc>
      </w:tr>
      <w:tr w:rsidR="0003682B" w:rsidRPr="00995AB9" w14:paraId="4038C099" w14:textId="77777777" w:rsidTr="00A76DAD">
        <w:tblPrEx>
          <w:tblCellMar>
            <w:left w:w="70" w:type="dxa"/>
            <w:right w:w="70" w:type="dxa"/>
          </w:tblCellMar>
        </w:tblPrEx>
        <w:trPr>
          <w:trHeight w:val="2324"/>
        </w:trPr>
        <w:tc>
          <w:tcPr>
            <w:tcW w:w="5000" w:type="pct"/>
            <w:tcBorders>
              <w:top w:val="single" w:sz="4" w:space="0" w:color="auto"/>
              <w:bottom w:val="single" w:sz="4" w:space="0" w:color="auto"/>
            </w:tcBorders>
          </w:tcPr>
          <w:p w14:paraId="3B0815CA" w14:textId="77777777" w:rsidR="0003682B" w:rsidRPr="00995AB9" w:rsidRDefault="0003682B" w:rsidP="00A76DAD">
            <w:pPr>
              <w:rPr>
                <w:rFonts w:eastAsia="Calibri" w:cs="Times New Roman"/>
                <w:sz w:val="20"/>
                <w:szCs w:val="24"/>
              </w:rPr>
            </w:pPr>
            <w:r w:rsidRPr="00995AB9">
              <w:rPr>
                <w:rFonts w:eastAsia="Calibri" w:cs="Times New Roman"/>
                <w:noProof/>
                <w:sz w:val="20"/>
                <w:lang w:eastAsia="sk-SK"/>
              </w:rPr>
              <w:drawing>
                <wp:inline distT="0" distB="0" distL="0" distR="0" wp14:anchorId="5734A014" wp14:editId="75E1C317">
                  <wp:extent cx="5913120" cy="2354580"/>
                  <wp:effectExtent l="0" t="0" r="0" b="7620"/>
                  <wp:docPr id="60" name="Graf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5C417BBB" w14:textId="77777777" w:rsidR="0003682B" w:rsidRPr="00995AB9" w:rsidRDefault="0003682B" w:rsidP="0003682B">
      <w:pPr>
        <w:spacing w:after="120"/>
        <w:jc w:val="both"/>
        <w:rPr>
          <w:rFonts w:eastAsia="Calibri" w:cs="Times New Roman"/>
          <w:i/>
          <w:sz w:val="18"/>
        </w:rPr>
      </w:pPr>
      <w:r w:rsidRPr="00995AB9">
        <w:rPr>
          <w:rFonts w:eastAsia="Calibri" w:cs="Times New Roman"/>
          <w:i/>
          <w:sz w:val="18"/>
        </w:rPr>
        <w:t>Zdroj: MF SR, Strednodobá prognóza daňových príjmov, apríl 2019, Návrh ŠZÚ 2019</w:t>
      </w:r>
    </w:p>
    <w:p w14:paraId="17D74703" w14:textId="6950517B" w:rsidR="003B3AAF" w:rsidRPr="00EB6CA8" w:rsidRDefault="00B7083E" w:rsidP="0097705F">
      <w:pPr>
        <w:spacing w:before="120" w:after="120"/>
        <w:jc w:val="both"/>
        <w:rPr>
          <w:rFonts w:eastAsia="Calibri" w:cs="Times New Roman"/>
        </w:rPr>
      </w:pPr>
      <w:r>
        <w:rPr>
          <w:rFonts w:eastAsia="Calibri" w:cs="Times New Roman"/>
          <w:b/>
        </w:rPr>
        <w:t>A</w:t>
      </w:r>
      <w:r w:rsidR="0097705F" w:rsidRPr="00FC3052">
        <w:rPr>
          <w:rFonts w:eastAsia="Calibri" w:cs="Times New Roman"/>
          <w:b/>
        </w:rPr>
        <w:t>j napriek medziročnému rastu daňových príjmov o 5,9 %, nenaplnili tieto príjmy plánovaný rozpočet a</w:t>
      </w:r>
      <w:r w:rsidR="004F76D4">
        <w:rPr>
          <w:rFonts w:eastAsia="Calibri" w:cs="Times New Roman"/>
          <w:b/>
        </w:rPr>
        <w:t> oproti pôvodnému plánu</w:t>
      </w:r>
      <w:r w:rsidR="0097705F" w:rsidRPr="00FC3052">
        <w:rPr>
          <w:rFonts w:eastAsia="Calibri" w:cs="Times New Roman"/>
          <w:b/>
        </w:rPr>
        <w:t xml:space="preserve"> boli nižšie o 143,2 mil. eur</w:t>
      </w:r>
      <w:r w:rsidR="002A460A">
        <w:rPr>
          <w:rFonts w:eastAsia="Calibri" w:cs="Times New Roman"/>
          <w:b/>
        </w:rPr>
        <w:t xml:space="preserve"> </w:t>
      </w:r>
      <w:r w:rsidR="002A460A" w:rsidRPr="002A460A">
        <w:rPr>
          <w:rFonts w:eastAsia="Calibri" w:cs="Times New Roman"/>
        </w:rPr>
        <w:t>(Graf 4)</w:t>
      </w:r>
      <w:r w:rsidR="0097705F" w:rsidRPr="002A460A">
        <w:rPr>
          <w:rFonts w:eastAsia="Calibri" w:cs="Times New Roman"/>
        </w:rPr>
        <w:t>.</w:t>
      </w:r>
      <w:r w:rsidR="0097705F" w:rsidRPr="00995AB9">
        <w:rPr>
          <w:rFonts w:eastAsia="Calibri" w:cs="Times New Roman"/>
        </w:rPr>
        <w:t xml:space="preserve"> </w:t>
      </w:r>
      <w:r w:rsidR="002662EE" w:rsidRPr="00995AB9">
        <w:rPr>
          <w:rFonts w:eastAsia="Calibri" w:cs="Times New Roman"/>
        </w:rPr>
        <w:t>Nenaplnenie daňových príjmov bolo spôsobené najmä zrušením</w:t>
      </w:r>
      <w:r w:rsidR="004D78E5">
        <w:rPr>
          <w:rFonts w:eastAsia="Calibri" w:cs="Times New Roman"/>
        </w:rPr>
        <w:t>,</w:t>
      </w:r>
      <w:r w:rsidR="002662EE" w:rsidRPr="00995AB9">
        <w:rPr>
          <w:rFonts w:eastAsia="Calibri" w:cs="Times New Roman"/>
        </w:rPr>
        <w:t xml:space="preserve"> resp. nenaplnením daní, s ktorými rozpočet na rok 2019 počítal. Ide najmä o osobitný odvod obchodných </w:t>
      </w:r>
      <w:r w:rsidR="002662EE" w:rsidRPr="00995AB9">
        <w:rPr>
          <w:rFonts w:eastAsia="Calibri" w:cs="Times New Roman"/>
        </w:rPr>
        <w:lastRenderedPageBreak/>
        <w:t>reťazcov (rozpočet počítal s hotovostným plnením 150 mil. eur) a príjmy zo zavedenia eKasy</w:t>
      </w:r>
      <w:r w:rsidR="002662EE" w:rsidRPr="00995AB9">
        <w:rPr>
          <w:rFonts w:eastAsia="Calibri" w:cs="Times New Roman"/>
          <w:vertAlign w:val="superscript"/>
        </w:rPr>
        <w:footnoteReference w:id="5"/>
      </w:r>
      <w:r w:rsidR="002662EE" w:rsidRPr="00995AB9">
        <w:rPr>
          <w:rFonts w:eastAsia="Calibri" w:cs="Times New Roman"/>
        </w:rPr>
        <w:t xml:space="preserve"> a nanormarkerov (rozpočet predpokladal 90 mil. eur).</w:t>
      </w:r>
      <w:r w:rsidR="00586807" w:rsidRPr="00EB6CA8">
        <w:rPr>
          <w:rFonts w:eastAsia="Calibri" w:cs="Times New Roman"/>
        </w:rPr>
        <w:t xml:space="preserve"> Prejavilo sa to aj pri </w:t>
      </w:r>
      <w:r w:rsidR="007C3955">
        <w:rPr>
          <w:rFonts w:eastAsia="Calibri" w:cs="Times New Roman"/>
        </w:rPr>
        <w:t xml:space="preserve">medziročnom </w:t>
      </w:r>
      <w:r w:rsidR="00586807" w:rsidRPr="00EB6CA8">
        <w:rPr>
          <w:rFonts w:eastAsia="Calibri" w:cs="Times New Roman"/>
        </w:rPr>
        <w:t xml:space="preserve">poklese </w:t>
      </w:r>
      <w:r w:rsidR="007C3955">
        <w:rPr>
          <w:rFonts w:eastAsia="Calibri" w:cs="Times New Roman"/>
        </w:rPr>
        <w:t xml:space="preserve">výberu </w:t>
      </w:r>
      <w:r w:rsidR="00366358">
        <w:rPr>
          <w:rFonts w:eastAsia="Calibri" w:cs="Times New Roman"/>
        </w:rPr>
        <w:t>DPPO</w:t>
      </w:r>
      <w:r w:rsidR="00D9070A">
        <w:rPr>
          <w:rFonts w:eastAsia="Calibri" w:cs="Times New Roman"/>
        </w:rPr>
        <w:t xml:space="preserve"> </w:t>
      </w:r>
      <w:r w:rsidR="00586807" w:rsidRPr="00EB6CA8">
        <w:rPr>
          <w:rFonts w:eastAsia="Calibri" w:cs="Times New Roman"/>
        </w:rPr>
        <w:t>o 1,4 %.</w:t>
      </w:r>
      <w:r w:rsidR="00586807">
        <w:rPr>
          <w:rFonts w:eastAsia="Calibri" w:cs="Times New Roman"/>
        </w:rPr>
        <w:t xml:space="preserve"> </w:t>
      </w:r>
      <w:r w:rsidR="007C3955" w:rsidRPr="007C3955">
        <w:rPr>
          <w:rFonts w:eastAsia="Calibri" w:cs="Times New Roman"/>
        </w:rPr>
        <w:t xml:space="preserve">Takmer </w:t>
      </w:r>
      <w:r w:rsidR="00586807" w:rsidRPr="007C3955">
        <w:rPr>
          <w:rFonts w:eastAsia="Calibri" w:cs="Times New Roman"/>
        </w:rPr>
        <w:t xml:space="preserve">všetky </w:t>
      </w:r>
      <w:r w:rsidR="007C3955" w:rsidRPr="007C3955">
        <w:rPr>
          <w:rFonts w:eastAsia="Calibri" w:cs="Times New Roman"/>
        </w:rPr>
        <w:t xml:space="preserve">ostatné </w:t>
      </w:r>
      <w:r w:rsidR="00586807" w:rsidRPr="007C3955">
        <w:rPr>
          <w:rFonts w:eastAsia="Calibri" w:cs="Times New Roman"/>
        </w:rPr>
        <w:t>položky daňových príjmov vš</w:t>
      </w:r>
      <w:r w:rsidR="007C3955" w:rsidRPr="007C3955">
        <w:rPr>
          <w:rFonts w:eastAsia="Calibri" w:cs="Times New Roman"/>
        </w:rPr>
        <w:t xml:space="preserve">ak </w:t>
      </w:r>
      <w:r w:rsidR="007C3955">
        <w:rPr>
          <w:rFonts w:eastAsia="Calibri" w:cs="Times New Roman"/>
        </w:rPr>
        <w:t>zaznamenali vyšší výber</w:t>
      </w:r>
      <w:r w:rsidR="00586807" w:rsidRPr="007C3955">
        <w:rPr>
          <w:rFonts w:eastAsia="Calibri" w:cs="Times New Roman"/>
        </w:rPr>
        <w:t>, keď</w:t>
      </w:r>
      <w:r w:rsidR="00586807" w:rsidRPr="008A430F">
        <w:rPr>
          <w:rFonts w:eastAsia="Calibri" w:cs="Times New Roman"/>
          <w:b/>
        </w:rPr>
        <w:t xml:space="preserve"> najrýchlejší medziročný rast zaznamenali </w:t>
      </w:r>
      <w:r w:rsidR="00366358">
        <w:rPr>
          <w:rFonts w:eastAsia="Calibri" w:cs="Times New Roman"/>
          <w:b/>
        </w:rPr>
        <w:t>DPFO</w:t>
      </w:r>
      <w:r w:rsidR="00D9070A">
        <w:rPr>
          <w:rFonts w:eastAsia="Calibri" w:cs="Times New Roman"/>
          <w:b/>
        </w:rPr>
        <w:t xml:space="preserve"> </w:t>
      </w:r>
      <w:r w:rsidR="00586807" w:rsidRPr="008A430F">
        <w:rPr>
          <w:rFonts w:eastAsia="Calibri" w:cs="Times New Roman"/>
          <w:b/>
        </w:rPr>
        <w:t>zo závislej činnosti (o 10,2 %), daň z pridanej hodnoty (8,1 %) a odvodové príjmy (6,1 %).</w:t>
      </w:r>
      <w:r w:rsidR="00586807" w:rsidRPr="00EB6CA8">
        <w:rPr>
          <w:rFonts w:eastAsia="Calibri" w:cs="Times New Roman"/>
        </w:rPr>
        <w:t xml:space="preserve"> Naopak, najpomalšie rástli spotrebné dane, ktoré zaznamenali rast len 2,5 %. </w:t>
      </w:r>
      <w:r w:rsidR="0097705F" w:rsidRPr="00995AB9">
        <w:rPr>
          <w:rFonts w:eastAsia="Calibri" w:cs="Times New Roman"/>
        </w:rPr>
        <w:t>Nenaplnenie rozpočtovanej sumy spotrebnej dane z minerálneho oleja je tak dôsledkom oslabenia ekonomickej aktivity, pričom ostatné spotrebné dane sa vyvíjali približne v súlade s rozpočtom.</w:t>
      </w:r>
      <w:r w:rsidR="00FC3052">
        <w:rPr>
          <w:rFonts w:eastAsia="Calibri" w:cs="Times New Roman"/>
        </w:rPr>
        <w:t xml:space="preserve"> </w:t>
      </w:r>
    </w:p>
    <w:p w14:paraId="38CC0FB0" w14:textId="0A819D65" w:rsidR="003B3AAF" w:rsidRDefault="003B3AAF" w:rsidP="00CA4572">
      <w:pPr>
        <w:spacing w:before="120" w:after="120"/>
        <w:jc w:val="both"/>
        <w:rPr>
          <w:rFonts w:eastAsia="Calibri" w:cs="Times New Roman"/>
        </w:rPr>
      </w:pPr>
      <w:r w:rsidRPr="00EB6CA8">
        <w:rPr>
          <w:rFonts w:eastAsia="Calibri" w:cs="Times New Roman"/>
        </w:rPr>
        <w:t>V prípade dane z príjmov fyzických osôb sa na celkovom rozdiele oproti rozpočtu vo výške 113,3 mil. eur podieľal najmä výber DPFO zo závislej činnosti. K vyššiemu výnosu prispel hlavne pozitívny vývoj na trhu práce a aj vyššia úspešnosť výberu dane. Pri výnose DPFO z podnikania bol hlavným dôvodom nárastu zvyšujúci sa počet daňových subjektov. V porovnaní s predchádzajúcim rokom vzrástol výber DPFO o 322,6 mil. eur, čo predstavuje 10%</w:t>
      </w:r>
      <w:r w:rsidR="004D78E5">
        <w:rPr>
          <w:rFonts w:eastAsia="Calibri" w:cs="Times New Roman"/>
        </w:rPr>
        <w:t>-ný</w:t>
      </w:r>
      <w:r w:rsidRPr="00EB6CA8">
        <w:rPr>
          <w:rFonts w:eastAsia="Calibri" w:cs="Times New Roman"/>
        </w:rPr>
        <w:t xml:space="preserve"> nárast.</w:t>
      </w:r>
    </w:p>
    <w:p w14:paraId="0EB8E181" w14:textId="3F538579" w:rsidR="003052AD" w:rsidRPr="00995AB9" w:rsidRDefault="00906006" w:rsidP="003052AD">
      <w:pPr>
        <w:spacing w:before="120" w:after="120"/>
        <w:jc w:val="both"/>
        <w:rPr>
          <w:rFonts w:eastAsia="Calibri" w:cs="Times New Roman"/>
        </w:rPr>
      </w:pPr>
      <w:r w:rsidRPr="00C63F64">
        <w:rPr>
          <w:rFonts w:eastAsia="Calibri" w:cs="Times New Roman"/>
          <w:b/>
        </w:rPr>
        <w:t xml:space="preserve">Ročný výber DPH v roku 2019 atakoval hranicu takmer 7 mld. eur a medziročne sa zvýšil o 510 mil. eur. Je to najvyšší výnos zo všetkých daní, </w:t>
      </w:r>
      <w:r w:rsidR="004D78E5">
        <w:rPr>
          <w:rFonts w:eastAsia="Calibri" w:cs="Times New Roman"/>
          <w:b/>
        </w:rPr>
        <w:t>keďže</w:t>
      </w:r>
      <w:r w:rsidRPr="00C63F64">
        <w:rPr>
          <w:rFonts w:eastAsia="Calibri" w:cs="Times New Roman"/>
          <w:b/>
        </w:rPr>
        <w:t xml:space="preserve"> v minulom roku predstavoval z celkových daní 40 % a 7,2 % HDP.</w:t>
      </w:r>
      <w:r w:rsidRPr="00995AB9">
        <w:rPr>
          <w:rFonts w:eastAsia="Calibri" w:cs="Times New Roman"/>
        </w:rPr>
        <w:t xml:space="preserve"> Aj v porovnaní s plánovaným rozpočtom </w:t>
      </w:r>
      <w:r>
        <w:rPr>
          <w:rFonts w:eastAsia="Calibri" w:cs="Times New Roman"/>
        </w:rPr>
        <w:t>bol</w:t>
      </w:r>
      <w:r w:rsidRPr="00995AB9">
        <w:rPr>
          <w:rFonts w:eastAsia="Calibri" w:cs="Times New Roman"/>
        </w:rPr>
        <w:t xml:space="preserve"> </w:t>
      </w:r>
      <w:r>
        <w:rPr>
          <w:rFonts w:eastAsia="Calibri" w:cs="Times New Roman"/>
        </w:rPr>
        <w:t xml:space="preserve">výnos z </w:t>
      </w:r>
      <w:r w:rsidRPr="00995AB9">
        <w:rPr>
          <w:rFonts w:eastAsia="Calibri" w:cs="Times New Roman"/>
        </w:rPr>
        <w:t>DPH vyšš</w:t>
      </w:r>
      <w:r>
        <w:rPr>
          <w:rFonts w:eastAsia="Calibri" w:cs="Times New Roman"/>
        </w:rPr>
        <w:t>í</w:t>
      </w:r>
      <w:r w:rsidRPr="00995AB9">
        <w:rPr>
          <w:rFonts w:eastAsia="Calibri" w:cs="Times New Roman"/>
        </w:rPr>
        <w:t xml:space="preserve"> o 162 mil. eur. K vyššiemu výnosu prispela najmä vyššia úspešnosť výberu dane, a</w:t>
      </w:r>
      <w:r w:rsidR="00B160B6">
        <w:rPr>
          <w:rFonts w:eastAsia="Calibri" w:cs="Times New Roman"/>
        </w:rPr>
        <w:t>le aj vyššia spotreba domácností</w:t>
      </w:r>
      <w:r w:rsidRPr="00995AB9">
        <w:rPr>
          <w:rFonts w:eastAsia="Calibri" w:cs="Times New Roman"/>
        </w:rPr>
        <w:t>, či medziročný nárast investícií a medzispotreby vlády. Na výnos však negatívne vplývali aj dodatočné legislatívne úpravy, ako znížená sadzba na ubytovacie služby</w:t>
      </w:r>
      <w:r w:rsidRPr="00995AB9">
        <w:rPr>
          <w:rFonts w:eastAsia="Calibri" w:cs="Times New Roman"/>
          <w:vertAlign w:val="superscript"/>
        </w:rPr>
        <w:footnoteReference w:id="6"/>
      </w:r>
      <w:r w:rsidRPr="00995AB9">
        <w:rPr>
          <w:rFonts w:eastAsia="Calibri" w:cs="Times New Roman"/>
        </w:rPr>
        <w:t xml:space="preserve"> a zníženie limitu pre refundáciu DPH turistom.</w:t>
      </w:r>
    </w:p>
    <w:tbl>
      <w:tblPr>
        <w:tblW w:w="5000" w:type="pct"/>
        <w:tblLook w:val="04A0" w:firstRow="1" w:lastRow="0" w:firstColumn="1" w:lastColumn="0" w:noHBand="0" w:noVBand="1"/>
      </w:tblPr>
      <w:tblGrid>
        <w:gridCol w:w="9356"/>
      </w:tblGrid>
      <w:tr w:rsidR="003052AD" w:rsidRPr="00995AB9" w14:paraId="256E728B" w14:textId="77777777" w:rsidTr="009879F4">
        <w:trPr>
          <w:trHeight w:val="140"/>
        </w:trPr>
        <w:tc>
          <w:tcPr>
            <w:tcW w:w="5000" w:type="pct"/>
            <w:tcBorders>
              <w:top w:val="single" w:sz="4" w:space="0" w:color="auto"/>
              <w:bottom w:val="single" w:sz="4" w:space="0" w:color="auto"/>
            </w:tcBorders>
            <w:shd w:val="clear" w:color="auto" w:fill="0070C0"/>
            <w:vAlign w:val="center"/>
          </w:tcPr>
          <w:p w14:paraId="65AFD43F" w14:textId="77777777" w:rsidR="003052AD" w:rsidRPr="00995AB9" w:rsidRDefault="003052AD" w:rsidP="009879F4">
            <w:pPr>
              <w:jc w:val="both"/>
              <w:rPr>
                <w:rFonts w:eastAsia="Calibri" w:cs="Times New Roman"/>
                <w:b/>
                <w:szCs w:val="24"/>
              </w:rPr>
            </w:pPr>
            <w:r>
              <w:rPr>
                <w:rFonts w:eastAsia="Calibri" w:cs="Times New Roman"/>
                <w:b/>
                <w:color w:val="FFFFFF"/>
                <w:szCs w:val="24"/>
              </w:rPr>
              <w:t xml:space="preserve">Graf 5: </w:t>
            </w:r>
            <w:r w:rsidRPr="00995AB9">
              <w:rPr>
                <w:rFonts w:eastAsia="Calibri" w:cs="Times New Roman"/>
                <w:b/>
                <w:color w:val="FFFFFF"/>
                <w:szCs w:val="24"/>
              </w:rPr>
              <w:t>Vývoj efektívnej daňovej sadzby DPH v rokoch 2005 až 2019</w:t>
            </w:r>
          </w:p>
        </w:tc>
      </w:tr>
      <w:tr w:rsidR="003052AD" w:rsidRPr="00995AB9" w14:paraId="6FCF66A6" w14:textId="77777777" w:rsidTr="009879F4">
        <w:tblPrEx>
          <w:tblCellMar>
            <w:left w:w="70" w:type="dxa"/>
            <w:right w:w="70" w:type="dxa"/>
          </w:tblCellMar>
        </w:tblPrEx>
        <w:trPr>
          <w:trHeight w:val="2324"/>
        </w:trPr>
        <w:tc>
          <w:tcPr>
            <w:tcW w:w="5000" w:type="pct"/>
            <w:tcBorders>
              <w:top w:val="single" w:sz="4" w:space="0" w:color="auto"/>
              <w:bottom w:val="single" w:sz="4" w:space="0" w:color="auto"/>
            </w:tcBorders>
          </w:tcPr>
          <w:p w14:paraId="192D096D" w14:textId="77777777" w:rsidR="003052AD" w:rsidRPr="00995AB9" w:rsidRDefault="003052AD" w:rsidP="009879F4">
            <w:pPr>
              <w:rPr>
                <w:rFonts w:eastAsia="Calibri" w:cs="Times New Roman"/>
                <w:b/>
                <w:sz w:val="20"/>
                <w:szCs w:val="24"/>
              </w:rPr>
            </w:pPr>
            <w:r w:rsidRPr="00E45E97">
              <w:rPr>
                <w:rFonts w:eastAsia="Calibri" w:cs="Times New Roman"/>
                <w:b/>
                <w:noProof/>
                <w:sz w:val="18"/>
                <w:lang w:eastAsia="sk-SK"/>
              </w:rPr>
              <w:drawing>
                <wp:inline distT="0" distB="0" distL="0" distR="0" wp14:anchorId="15A18D15" wp14:editId="71AE1C38">
                  <wp:extent cx="5844540" cy="1920240"/>
                  <wp:effectExtent l="0" t="0" r="3810" b="3810"/>
                  <wp:docPr id="2" name="Graf 2">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02A1D629" w14:textId="77777777" w:rsidR="003052AD" w:rsidRPr="00995AB9" w:rsidRDefault="003052AD" w:rsidP="003052AD">
      <w:pPr>
        <w:spacing w:after="120"/>
        <w:jc w:val="both"/>
        <w:rPr>
          <w:rFonts w:eastAsia="Calibri" w:cs="Times New Roman"/>
          <w:i/>
          <w:sz w:val="18"/>
        </w:rPr>
      </w:pPr>
      <w:r w:rsidRPr="00995AB9">
        <w:rPr>
          <w:rFonts w:eastAsia="Calibri" w:cs="Times New Roman"/>
          <w:i/>
          <w:sz w:val="18"/>
        </w:rPr>
        <w:t>Zdroj: MF SR, IFP - Daňová prognóza VpDP</w:t>
      </w:r>
    </w:p>
    <w:p w14:paraId="53AA90E5" w14:textId="471D54BF" w:rsidR="00995AB9" w:rsidRDefault="00995AB9" w:rsidP="00995AB9">
      <w:pPr>
        <w:spacing w:before="120" w:after="120"/>
        <w:jc w:val="both"/>
        <w:rPr>
          <w:rFonts w:eastAsia="Calibri" w:cs="Times New Roman"/>
        </w:rPr>
      </w:pPr>
      <w:r w:rsidRPr="00995AB9">
        <w:rPr>
          <w:rFonts w:eastAsia="Calibri" w:cs="Times New Roman"/>
          <w:b/>
        </w:rPr>
        <w:t>Efektívna daňová sadzba má od roku 2013 rastúci trend, pričom v</w:t>
      </w:r>
      <w:r w:rsidR="004A2491">
        <w:rPr>
          <w:rFonts w:eastAsia="Calibri" w:cs="Times New Roman"/>
          <w:b/>
        </w:rPr>
        <w:t>o</w:t>
      </w:r>
      <w:r w:rsidRPr="00995AB9">
        <w:rPr>
          <w:rFonts w:eastAsia="Calibri" w:cs="Times New Roman"/>
          <w:b/>
        </w:rPr>
        <w:t> 4. kvartáli 2019 bola na úrovni 15,7 %</w:t>
      </w:r>
      <w:r w:rsidR="002A460A">
        <w:rPr>
          <w:rFonts w:eastAsia="Calibri" w:cs="Times New Roman"/>
          <w:b/>
        </w:rPr>
        <w:t xml:space="preserve"> </w:t>
      </w:r>
      <w:r w:rsidR="002A460A" w:rsidRPr="002A460A">
        <w:rPr>
          <w:rFonts w:eastAsia="Calibri" w:cs="Times New Roman"/>
        </w:rPr>
        <w:t>(Graf 5)</w:t>
      </w:r>
      <w:r w:rsidRPr="002A460A">
        <w:rPr>
          <w:rFonts w:eastAsia="Calibri" w:cs="Times New Roman"/>
        </w:rPr>
        <w:t xml:space="preserve">. </w:t>
      </w:r>
      <w:r w:rsidRPr="00995AB9">
        <w:rPr>
          <w:rFonts w:eastAsia="Calibri" w:cs="Times New Roman"/>
        </w:rPr>
        <w:t xml:space="preserve">V súlade s rastom efektívnej daňovej sadzby klesá aj </w:t>
      </w:r>
      <w:r w:rsidRPr="00995AB9">
        <w:rPr>
          <w:rFonts w:eastAsia="Calibri" w:cs="Times New Roman"/>
          <w:b/>
        </w:rPr>
        <w:t xml:space="preserve">daňová medzera na DPH. </w:t>
      </w:r>
      <w:r w:rsidRPr="00995AB9">
        <w:rPr>
          <w:rFonts w:eastAsia="Calibri" w:cs="Times New Roman"/>
        </w:rPr>
        <w:t xml:space="preserve">Za posledných sedem rokov klesla o 13,4 </w:t>
      </w:r>
      <w:r w:rsidR="00F1508C">
        <w:rPr>
          <w:rFonts w:eastAsia="Calibri" w:cs="Times New Roman"/>
        </w:rPr>
        <w:t>p. b.</w:t>
      </w:r>
      <w:r w:rsidRPr="00995AB9">
        <w:rPr>
          <w:rFonts w:eastAsia="Calibri" w:cs="Times New Roman"/>
        </w:rPr>
        <w:t xml:space="preserve"> Tento pozitívny trend je potvrdený aj metodikou využívanou v rámci EÚ, ktorá podľa aktuálnej analýzy</w:t>
      </w:r>
      <w:r w:rsidRPr="00995AB9">
        <w:rPr>
          <w:rFonts w:eastAsia="Calibri" w:cs="Times New Roman"/>
          <w:vertAlign w:val="superscript"/>
        </w:rPr>
        <w:footnoteReference w:id="7"/>
      </w:r>
      <w:r w:rsidRPr="00995AB9">
        <w:rPr>
          <w:rFonts w:eastAsia="Calibri" w:cs="Times New Roman"/>
        </w:rPr>
        <w:t xml:space="preserve"> pre rok 2017 odhadla daňovú medzeru na DPH v SR na úrovni 23,2 %.</w:t>
      </w:r>
    </w:p>
    <w:p w14:paraId="7C9C4D7A" w14:textId="3C67081E" w:rsidR="00995AB9" w:rsidRPr="00995AB9" w:rsidRDefault="0046419A" w:rsidP="00995AB9">
      <w:pPr>
        <w:spacing w:after="120"/>
        <w:jc w:val="both"/>
        <w:rPr>
          <w:rFonts w:eastAsia="Calibri" w:cs="Times New Roman"/>
          <w:i/>
          <w:sz w:val="18"/>
        </w:rPr>
      </w:pPr>
      <w:r>
        <w:rPr>
          <w:rFonts w:eastAsia="Calibri" w:cs="Times New Roman"/>
        </w:rPr>
        <w:t>P</w:t>
      </w:r>
      <w:r w:rsidR="00906006" w:rsidRPr="00995AB9">
        <w:rPr>
          <w:rFonts w:eastAsia="Calibri" w:cs="Times New Roman"/>
        </w:rPr>
        <w:t>odľa metodiky EK</w:t>
      </w:r>
      <w:r w:rsidR="00906006" w:rsidRPr="00995AB9">
        <w:rPr>
          <w:rFonts w:eastAsia="Calibri" w:cs="Times New Roman"/>
          <w:vertAlign w:val="superscript"/>
        </w:rPr>
        <w:footnoteReference w:id="8"/>
      </w:r>
      <w:r w:rsidR="00906006" w:rsidRPr="00995AB9">
        <w:rPr>
          <w:rFonts w:eastAsia="Calibri" w:cs="Times New Roman"/>
        </w:rPr>
        <w:t xml:space="preserve"> </w:t>
      </w:r>
      <w:r>
        <w:rPr>
          <w:rFonts w:eastAsia="Calibri" w:cs="Times New Roman"/>
        </w:rPr>
        <w:t xml:space="preserve">na </w:t>
      </w:r>
      <w:r w:rsidR="00906006" w:rsidRPr="00995AB9">
        <w:rPr>
          <w:rFonts w:eastAsia="Calibri" w:cs="Times New Roman"/>
        </w:rPr>
        <w:t>výpoč</w:t>
      </w:r>
      <w:r>
        <w:rPr>
          <w:rFonts w:eastAsia="Calibri" w:cs="Times New Roman"/>
        </w:rPr>
        <w:t>e</w:t>
      </w:r>
      <w:r w:rsidR="00906006" w:rsidRPr="00995AB9">
        <w:rPr>
          <w:rFonts w:eastAsia="Calibri" w:cs="Times New Roman"/>
        </w:rPr>
        <w:t>t daňovej medzery sa Slovensko v roku 2017 zaradilo medzi posledných 5 krajín EÚ 28</w:t>
      </w:r>
      <w:r w:rsidR="002A460A">
        <w:rPr>
          <w:rFonts w:eastAsia="Calibri" w:cs="Times New Roman"/>
        </w:rPr>
        <w:t xml:space="preserve"> (Graf 6)</w:t>
      </w:r>
      <w:r w:rsidR="00906006" w:rsidRPr="00995AB9">
        <w:rPr>
          <w:rFonts w:eastAsia="Calibri" w:cs="Times New Roman"/>
        </w:rPr>
        <w:t>. Oproti predošlému roku sa SR posunulo o jednu priečku dopredu s úrovňou daňovej medzery na DPH 23,2 % a predbehlo tak Lotyšsko. Na druhej strane, SR stále zaostáva za krajinami V3+2, kde daňová medzera na DPH v</w:t>
      </w:r>
      <w:r w:rsidR="0077407C">
        <w:rPr>
          <w:rFonts w:eastAsia="Calibri" w:cs="Times New Roman"/>
        </w:rPr>
        <w:t> Maďarsku</w:t>
      </w:r>
      <w:r w:rsidR="00906006" w:rsidRPr="00995AB9">
        <w:rPr>
          <w:rFonts w:eastAsia="Calibri" w:cs="Times New Roman"/>
        </w:rPr>
        <w:t xml:space="preserve"> v roku 2017</w:t>
      </w:r>
      <w:r w:rsidR="00906006">
        <w:rPr>
          <w:rFonts w:eastAsia="Calibri" w:cs="Times New Roman"/>
        </w:rPr>
        <w:t xml:space="preserve"> bola</w:t>
      </w:r>
      <w:r w:rsidR="00906006" w:rsidRPr="00995AB9">
        <w:rPr>
          <w:rFonts w:eastAsia="Calibri" w:cs="Times New Roman"/>
        </w:rPr>
        <w:t xml:space="preserve"> 13,9 %, v P</w:t>
      </w:r>
      <w:r w:rsidR="0077407C">
        <w:rPr>
          <w:rFonts w:eastAsia="Calibri" w:cs="Times New Roman"/>
        </w:rPr>
        <w:t>oľsku</w:t>
      </w:r>
      <w:r w:rsidR="00906006" w:rsidRPr="00995AB9">
        <w:rPr>
          <w:rFonts w:eastAsia="Calibri" w:cs="Times New Roman"/>
        </w:rPr>
        <w:t xml:space="preserve"> 13,7 % a v Č</w:t>
      </w:r>
      <w:r w:rsidR="0077407C">
        <w:rPr>
          <w:rFonts w:eastAsia="Calibri" w:cs="Times New Roman"/>
        </w:rPr>
        <w:t>esku</w:t>
      </w:r>
      <w:r w:rsidR="00906006" w:rsidRPr="00995AB9">
        <w:rPr>
          <w:rFonts w:eastAsia="Calibri" w:cs="Times New Roman"/>
        </w:rPr>
        <w:t xml:space="preserve"> 12,4 %. </w:t>
      </w:r>
      <w:r w:rsidR="00906006" w:rsidRPr="00F74B4C">
        <w:rPr>
          <w:rFonts w:eastAsia="Calibri" w:cs="Times New Roman"/>
          <w:b/>
        </w:rPr>
        <w:t>Po</w:t>
      </w:r>
      <w:r w:rsidR="00906006" w:rsidRPr="00995AB9">
        <w:rPr>
          <w:rFonts w:eastAsia="Calibri" w:cs="Times New Roman"/>
          <w:b/>
        </w:rPr>
        <w:t xml:space="preserve">dľa IFP </w:t>
      </w:r>
      <w:r w:rsidR="00906006">
        <w:rPr>
          <w:rFonts w:eastAsia="Calibri" w:cs="Times New Roman"/>
          <w:b/>
        </w:rPr>
        <w:t>d</w:t>
      </w:r>
      <w:r w:rsidR="00906006" w:rsidRPr="00995AB9">
        <w:rPr>
          <w:rFonts w:eastAsia="Calibri" w:cs="Times New Roman"/>
          <w:b/>
        </w:rPr>
        <w:t>aňová medzera v roku 2018 predstavovala 26,9 % z potenciálnej DPH, čo znamená, že nominálny výber mohol byť reálne vyšší o 2 317 mil. eur</w:t>
      </w:r>
      <w:r w:rsidR="002A460A">
        <w:rPr>
          <w:rFonts w:eastAsia="Calibri" w:cs="Times New Roman"/>
          <w:b/>
        </w:rPr>
        <w:t xml:space="preserve"> </w:t>
      </w:r>
      <w:r w:rsidR="002A460A" w:rsidRPr="002A460A">
        <w:rPr>
          <w:rFonts w:eastAsia="Calibri" w:cs="Times New Roman"/>
        </w:rPr>
        <w:t>(Graf 7)</w:t>
      </w:r>
      <w:r w:rsidR="00906006" w:rsidRPr="002A460A">
        <w:rPr>
          <w:rFonts w:eastAsia="Calibri" w:cs="Times New Roman"/>
        </w:rPr>
        <w:t>.</w:t>
      </w:r>
    </w:p>
    <w:tbl>
      <w:tblPr>
        <w:tblW w:w="5000" w:type="pct"/>
        <w:tblLook w:val="04A0" w:firstRow="1" w:lastRow="0" w:firstColumn="1" w:lastColumn="0" w:noHBand="0" w:noVBand="1"/>
      </w:tblPr>
      <w:tblGrid>
        <w:gridCol w:w="9356"/>
      </w:tblGrid>
      <w:tr w:rsidR="00995AB9" w:rsidRPr="00995AB9" w14:paraId="5E946D8C" w14:textId="77777777" w:rsidTr="00A940B3">
        <w:trPr>
          <w:trHeight w:val="140"/>
        </w:trPr>
        <w:tc>
          <w:tcPr>
            <w:tcW w:w="5000" w:type="pct"/>
            <w:tcBorders>
              <w:top w:val="single" w:sz="4" w:space="0" w:color="auto"/>
              <w:bottom w:val="single" w:sz="4" w:space="0" w:color="auto"/>
            </w:tcBorders>
            <w:shd w:val="clear" w:color="auto" w:fill="0070C0"/>
            <w:vAlign w:val="center"/>
          </w:tcPr>
          <w:p w14:paraId="4846C8DC" w14:textId="7A265FC6" w:rsidR="00995AB9" w:rsidRPr="00995AB9" w:rsidRDefault="002A460A" w:rsidP="002A460A">
            <w:pPr>
              <w:jc w:val="both"/>
              <w:rPr>
                <w:rFonts w:eastAsia="Calibri" w:cs="Times New Roman"/>
                <w:b/>
                <w:szCs w:val="24"/>
              </w:rPr>
            </w:pPr>
            <w:r>
              <w:rPr>
                <w:rFonts w:eastAsia="Calibri" w:cs="Times New Roman"/>
                <w:b/>
                <w:color w:val="FFFFFF"/>
                <w:szCs w:val="24"/>
              </w:rPr>
              <w:lastRenderedPageBreak/>
              <w:t xml:space="preserve">Graf 6: </w:t>
            </w:r>
            <w:r w:rsidR="00995AB9" w:rsidRPr="00995AB9">
              <w:rPr>
                <w:rFonts w:eastAsia="Calibri" w:cs="Times New Roman"/>
                <w:b/>
                <w:color w:val="FFFFFF"/>
                <w:szCs w:val="24"/>
              </w:rPr>
              <w:t>Daňová medzera podľa EK (% z potenciálnej DPH) v roku 2017</w:t>
            </w:r>
          </w:p>
        </w:tc>
      </w:tr>
      <w:tr w:rsidR="00995AB9" w:rsidRPr="00995AB9" w14:paraId="26F4B1CE" w14:textId="77777777" w:rsidTr="00A940B3">
        <w:tblPrEx>
          <w:tblCellMar>
            <w:left w:w="70" w:type="dxa"/>
            <w:right w:w="70" w:type="dxa"/>
          </w:tblCellMar>
        </w:tblPrEx>
        <w:trPr>
          <w:trHeight w:val="2098"/>
        </w:trPr>
        <w:tc>
          <w:tcPr>
            <w:tcW w:w="5000" w:type="pct"/>
            <w:tcBorders>
              <w:top w:val="single" w:sz="4" w:space="0" w:color="auto"/>
              <w:bottom w:val="single" w:sz="4" w:space="0" w:color="auto"/>
            </w:tcBorders>
          </w:tcPr>
          <w:p w14:paraId="7F3B7497" w14:textId="77777777" w:rsidR="00995AB9" w:rsidRPr="00995AB9" w:rsidRDefault="00995AB9" w:rsidP="00995AB9">
            <w:pPr>
              <w:rPr>
                <w:rFonts w:eastAsia="Calibri" w:cs="Times New Roman"/>
                <w:sz w:val="20"/>
                <w:szCs w:val="24"/>
              </w:rPr>
            </w:pPr>
            <w:r w:rsidRPr="00995AB9">
              <w:rPr>
                <w:rFonts w:eastAsia="Calibri" w:cs="Times New Roman"/>
                <w:noProof/>
                <w:sz w:val="20"/>
                <w:lang w:eastAsia="sk-SK"/>
              </w:rPr>
              <w:drawing>
                <wp:inline distT="0" distB="0" distL="0" distR="0" wp14:anchorId="5DFEAE48" wp14:editId="2EE62C5E">
                  <wp:extent cx="5844540" cy="1668780"/>
                  <wp:effectExtent l="0" t="0" r="3810" b="7620"/>
                  <wp:docPr id="59" name="Graf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1455E383" w14:textId="77777777" w:rsidR="00995AB9" w:rsidRPr="00995AB9" w:rsidRDefault="00995AB9" w:rsidP="00995AB9">
      <w:pPr>
        <w:spacing w:after="120"/>
        <w:jc w:val="both"/>
        <w:rPr>
          <w:rFonts w:eastAsia="Calibri" w:cs="Times New Roman"/>
          <w:i/>
          <w:sz w:val="18"/>
        </w:rPr>
      </w:pPr>
      <w:r w:rsidRPr="00995AB9">
        <w:rPr>
          <w:rFonts w:eastAsia="Calibri" w:cs="Times New Roman"/>
          <w:i/>
          <w:sz w:val="18"/>
        </w:rPr>
        <w:t>Zdroj: Eurostat</w:t>
      </w:r>
    </w:p>
    <w:tbl>
      <w:tblPr>
        <w:tblW w:w="5000" w:type="pct"/>
        <w:tblLook w:val="04A0" w:firstRow="1" w:lastRow="0" w:firstColumn="1" w:lastColumn="0" w:noHBand="0" w:noVBand="1"/>
      </w:tblPr>
      <w:tblGrid>
        <w:gridCol w:w="9356"/>
      </w:tblGrid>
      <w:tr w:rsidR="002A460A" w:rsidRPr="00995AB9" w14:paraId="134BAD5A" w14:textId="77777777" w:rsidTr="002A460A">
        <w:trPr>
          <w:trHeight w:val="140"/>
        </w:trPr>
        <w:tc>
          <w:tcPr>
            <w:tcW w:w="5000" w:type="pct"/>
            <w:tcBorders>
              <w:top w:val="single" w:sz="4" w:space="0" w:color="auto"/>
              <w:bottom w:val="single" w:sz="4" w:space="0" w:color="auto"/>
            </w:tcBorders>
            <w:shd w:val="clear" w:color="auto" w:fill="0070C0"/>
            <w:vAlign w:val="center"/>
          </w:tcPr>
          <w:p w14:paraId="7646C049" w14:textId="2545E32F" w:rsidR="002A460A" w:rsidRPr="00995AB9" w:rsidRDefault="002A460A" w:rsidP="002A460A">
            <w:pPr>
              <w:jc w:val="both"/>
              <w:rPr>
                <w:rFonts w:eastAsia="Calibri" w:cs="Times New Roman"/>
                <w:b/>
                <w:szCs w:val="24"/>
              </w:rPr>
            </w:pPr>
            <w:r>
              <w:rPr>
                <w:rFonts w:eastAsia="Calibri" w:cs="Times New Roman"/>
                <w:b/>
                <w:color w:val="FFFFFF"/>
                <w:szCs w:val="24"/>
              </w:rPr>
              <w:t xml:space="preserve">Graf 7: </w:t>
            </w:r>
            <w:r w:rsidRPr="00995AB9">
              <w:rPr>
                <w:rFonts w:eastAsia="Calibri" w:cs="Times New Roman"/>
                <w:b/>
                <w:color w:val="FFFFFF"/>
                <w:szCs w:val="24"/>
              </w:rPr>
              <w:t>Vývoj daňovej medzery na DPH v rokoch 2000 až 2018 (v % potenciálneho výnosu)</w:t>
            </w:r>
          </w:p>
        </w:tc>
      </w:tr>
      <w:tr w:rsidR="002A460A" w:rsidRPr="00995AB9" w14:paraId="726705C9" w14:textId="77777777" w:rsidTr="002A460A">
        <w:tblPrEx>
          <w:tblCellMar>
            <w:left w:w="70" w:type="dxa"/>
            <w:right w:w="70" w:type="dxa"/>
          </w:tblCellMar>
        </w:tblPrEx>
        <w:trPr>
          <w:trHeight w:val="2324"/>
        </w:trPr>
        <w:tc>
          <w:tcPr>
            <w:tcW w:w="5000" w:type="pct"/>
            <w:tcBorders>
              <w:top w:val="single" w:sz="4" w:space="0" w:color="auto"/>
              <w:bottom w:val="single" w:sz="4" w:space="0" w:color="auto"/>
            </w:tcBorders>
          </w:tcPr>
          <w:p w14:paraId="594620D9" w14:textId="77777777" w:rsidR="002A460A" w:rsidRPr="00995AB9" w:rsidRDefault="002A460A" w:rsidP="002A460A">
            <w:pPr>
              <w:rPr>
                <w:rFonts w:eastAsia="Calibri" w:cs="Times New Roman"/>
                <w:sz w:val="20"/>
                <w:szCs w:val="24"/>
              </w:rPr>
            </w:pPr>
            <w:r w:rsidRPr="00995AB9">
              <w:rPr>
                <w:rFonts w:eastAsia="Calibri" w:cs="Times New Roman"/>
                <w:noProof/>
                <w:sz w:val="20"/>
                <w:lang w:eastAsia="sk-SK"/>
              </w:rPr>
              <w:drawing>
                <wp:inline distT="0" distB="0" distL="0" distR="0" wp14:anchorId="7D2CC99B" wp14:editId="088C4D8D">
                  <wp:extent cx="5981700" cy="2164080"/>
                  <wp:effectExtent l="0" t="0" r="0" b="7620"/>
                  <wp:docPr id="58" name="Graf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614CD0C2" w14:textId="77777777" w:rsidR="002A460A" w:rsidRDefault="002A460A" w:rsidP="002A460A">
      <w:pPr>
        <w:spacing w:after="120"/>
        <w:jc w:val="both"/>
        <w:rPr>
          <w:rFonts w:eastAsia="Calibri" w:cs="Times New Roman"/>
        </w:rPr>
      </w:pPr>
      <w:r w:rsidRPr="00995AB9">
        <w:rPr>
          <w:rFonts w:eastAsia="Calibri" w:cs="Times New Roman"/>
          <w:i/>
          <w:sz w:val="18"/>
        </w:rPr>
        <w:t>Zdroj: MF SR, IFP</w:t>
      </w:r>
    </w:p>
    <w:p w14:paraId="5399FA6A" w14:textId="4A95E28F" w:rsidR="00995AB9" w:rsidRPr="00995AB9" w:rsidRDefault="00995AB9" w:rsidP="00995AB9">
      <w:pPr>
        <w:spacing w:before="120" w:after="120"/>
        <w:jc w:val="both"/>
        <w:rPr>
          <w:rFonts w:eastAsia="Calibri" w:cs="Times New Roman"/>
        </w:rPr>
      </w:pPr>
      <w:r w:rsidRPr="00995AB9">
        <w:rPr>
          <w:rFonts w:eastAsia="Calibri" w:cs="Times New Roman"/>
        </w:rPr>
        <w:t xml:space="preserve">Oproti rozpočtu 2019 bol vybraný vyšší objem finančných prostriedkov do </w:t>
      </w:r>
      <w:r w:rsidR="00AC1442">
        <w:rPr>
          <w:rFonts w:eastAsia="Calibri" w:cs="Times New Roman"/>
        </w:rPr>
        <w:t>fondov</w:t>
      </w:r>
      <w:r w:rsidRPr="00995AB9">
        <w:rPr>
          <w:rFonts w:eastAsia="Calibri" w:cs="Times New Roman"/>
        </w:rPr>
        <w:t xml:space="preserve"> sociálneho zabezpečenia, pričom príspevky medziročne vzrástli o 6,1 %. Výnos sociálnych a zdravotných odvodov bol pozitívne ovplyvnený silnejším vývojom na trhu práce. V konečnom dôsledku tak rástli medziročne všetky zložky daňových a odvodových príjmov, až na daň z príjmov právnických  osôb, ktorá poklesla o 1,4 %. Výnos DPPO</w:t>
      </w:r>
      <w:r w:rsidRPr="00995AB9">
        <w:rPr>
          <w:rFonts w:eastAsia="Calibri" w:cs="Times New Roman"/>
          <w:vertAlign w:val="superscript"/>
        </w:rPr>
        <w:footnoteReference w:id="9"/>
      </w:r>
      <w:r w:rsidRPr="00995AB9">
        <w:rPr>
          <w:rFonts w:eastAsia="Calibri" w:cs="Times New Roman"/>
        </w:rPr>
        <w:t xml:space="preserve"> je oproti rozpočtu 2019 nižší o 121,3 mil. eur, čo je dôsledkom najmä spomalenia tempa rastu ziskov firiem.</w:t>
      </w:r>
    </w:p>
    <w:p w14:paraId="5528995C" w14:textId="51D5EBB6" w:rsidR="00995AB9" w:rsidRDefault="00FC3052" w:rsidP="00A13819">
      <w:pPr>
        <w:spacing w:before="120" w:after="120"/>
        <w:jc w:val="both"/>
        <w:rPr>
          <w:rFonts w:eastAsia="Calibri" w:cs="Times New Roman"/>
        </w:rPr>
      </w:pPr>
      <w:r>
        <w:rPr>
          <w:rFonts w:eastAsia="Calibri" w:cs="Times New Roman"/>
        </w:rPr>
        <w:t xml:space="preserve">Pri pohľade na </w:t>
      </w:r>
      <w:r w:rsidR="00995AB9" w:rsidRPr="00995AB9">
        <w:rPr>
          <w:rFonts w:eastAsia="Calibri" w:cs="Times New Roman"/>
        </w:rPr>
        <w:t xml:space="preserve">podiel príjmov verejnej správy na HDP v medzinárodnom meradle </w:t>
      </w:r>
      <w:r w:rsidR="00586807">
        <w:rPr>
          <w:rFonts w:eastAsia="Calibri" w:cs="Times New Roman"/>
        </w:rPr>
        <w:t>sa</w:t>
      </w:r>
      <w:r w:rsidR="00995AB9" w:rsidRPr="00995AB9">
        <w:rPr>
          <w:rFonts w:eastAsia="Calibri" w:cs="Times New Roman"/>
        </w:rPr>
        <w:t xml:space="preserve"> Slovensko umiestnilo v rámci krajín V4+2 s podielom 41,5 % na predposlednej priečke pred Poľskom</w:t>
      </w:r>
      <w:r w:rsidR="002A460A">
        <w:rPr>
          <w:rFonts w:eastAsia="Calibri" w:cs="Times New Roman"/>
        </w:rPr>
        <w:t xml:space="preserve"> (Graf 8)</w:t>
      </w:r>
      <w:r w:rsidR="00995AB9" w:rsidRPr="00995AB9">
        <w:rPr>
          <w:rFonts w:eastAsia="Calibri" w:cs="Times New Roman"/>
        </w:rPr>
        <w:t>. Oproti minulému roku s</w:t>
      </w:r>
      <w:r w:rsidR="00360C35">
        <w:rPr>
          <w:rFonts w:eastAsia="Calibri" w:cs="Times New Roman"/>
        </w:rPr>
        <w:t>a</w:t>
      </w:r>
      <w:r w:rsidR="00995AB9" w:rsidRPr="00995AB9">
        <w:rPr>
          <w:rFonts w:eastAsia="Calibri" w:cs="Times New Roman"/>
        </w:rPr>
        <w:t xml:space="preserve"> </w:t>
      </w:r>
      <w:r w:rsidR="00586807">
        <w:rPr>
          <w:rFonts w:eastAsia="Calibri" w:cs="Times New Roman"/>
        </w:rPr>
        <w:t xml:space="preserve">tak </w:t>
      </w:r>
      <w:r w:rsidR="00995AB9" w:rsidRPr="00995AB9">
        <w:rPr>
          <w:rFonts w:eastAsia="Calibri" w:cs="Times New Roman"/>
        </w:rPr>
        <w:t>Slovensko po</w:t>
      </w:r>
      <w:r w:rsidR="00360C35">
        <w:rPr>
          <w:rFonts w:eastAsia="Calibri" w:cs="Times New Roman"/>
        </w:rPr>
        <w:t>sunulo</w:t>
      </w:r>
      <w:r w:rsidR="00995AB9" w:rsidRPr="00995AB9">
        <w:rPr>
          <w:rFonts w:eastAsia="Calibri" w:cs="Times New Roman"/>
        </w:rPr>
        <w:t xml:space="preserve"> o 2 priečky, pričom najvyšší podiel dosiahlo Rakúsko (49 %), ktoré bolo nasledované Slovinskom, Maďarskom a Českou republikou.</w:t>
      </w:r>
    </w:p>
    <w:tbl>
      <w:tblPr>
        <w:tblW w:w="5000" w:type="pct"/>
        <w:tblLook w:val="04A0" w:firstRow="1" w:lastRow="0" w:firstColumn="1" w:lastColumn="0" w:noHBand="0" w:noVBand="1"/>
      </w:tblPr>
      <w:tblGrid>
        <w:gridCol w:w="9356"/>
      </w:tblGrid>
      <w:tr w:rsidR="00995AB9" w:rsidRPr="00995AB9" w14:paraId="6799D3AE" w14:textId="77777777" w:rsidTr="00A940B3">
        <w:trPr>
          <w:trHeight w:val="140"/>
        </w:trPr>
        <w:tc>
          <w:tcPr>
            <w:tcW w:w="5000" w:type="pct"/>
            <w:tcBorders>
              <w:top w:val="single" w:sz="4" w:space="0" w:color="auto"/>
              <w:bottom w:val="single" w:sz="4" w:space="0" w:color="auto"/>
            </w:tcBorders>
            <w:shd w:val="clear" w:color="auto" w:fill="0070C0"/>
            <w:vAlign w:val="center"/>
          </w:tcPr>
          <w:p w14:paraId="11904AFF" w14:textId="0AD2C1D2" w:rsidR="00995AB9" w:rsidRPr="00995AB9" w:rsidRDefault="002A460A" w:rsidP="003052AD">
            <w:pPr>
              <w:jc w:val="both"/>
              <w:rPr>
                <w:rFonts w:eastAsia="Calibri" w:cs="Times New Roman"/>
                <w:b/>
                <w:szCs w:val="24"/>
              </w:rPr>
            </w:pPr>
            <w:r>
              <w:rPr>
                <w:rFonts w:eastAsia="Calibri" w:cs="Times New Roman"/>
                <w:b/>
                <w:color w:val="FFFFFF"/>
                <w:szCs w:val="24"/>
              </w:rPr>
              <w:t xml:space="preserve">Graf 8: </w:t>
            </w:r>
            <w:r w:rsidR="00995AB9" w:rsidRPr="00995AB9">
              <w:rPr>
                <w:rFonts w:eastAsia="Calibri" w:cs="Times New Roman"/>
                <w:b/>
                <w:color w:val="FFFFFF"/>
                <w:szCs w:val="24"/>
              </w:rPr>
              <w:t>Medzinárodné porovnanie príjmov VS v roku 2019</w:t>
            </w:r>
          </w:p>
        </w:tc>
      </w:tr>
      <w:tr w:rsidR="00995AB9" w:rsidRPr="00995AB9" w14:paraId="15B1FF9A" w14:textId="77777777" w:rsidTr="00A940B3">
        <w:tblPrEx>
          <w:tblCellMar>
            <w:left w:w="70" w:type="dxa"/>
            <w:right w:w="70" w:type="dxa"/>
          </w:tblCellMar>
        </w:tblPrEx>
        <w:trPr>
          <w:trHeight w:val="2324"/>
        </w:trPr>
        <w:tc>
          <w:tcPr>
            <w:tcW w:w="5000" w:type="pct"/>
            <w:tcBorders>
              <w:top w:val="single" w:sz="4" w:space="0" w:color="auto"/>
              <w:bottom w:val="single" w:sz="4" w:space="0" w:color="auto"/>
            </w:tcBorders>
          </w:tcPr>
          <w:p w14:paraId="135A9926" w14:textId="59824FA8" w:rsidR="00995AB9" w:rsidRPr="00995AB9" w:rsidRDefault="003052AD" w:rsidP="00995AB9">
            <w:pPr>
              <w:rPr>
                <w:rFonts w:eastAsia="Calibri" w:cs="Times New Roman"/>
                <w:sz w:val="20"/>
                <w:szCs w:val="24"/>
              </w:rPr>
            </w:pPr>
            <w:r w:rsidRPr="00995AB9">
              <w:rPr>
                <w:rFonts w:eastAsia="Calibri" w:cs="Times New Roman"/>
                <w:noProof/>
                <w:sz w:val="20"/>
                <w:lang w:eastAsia="sk-SK"/>
              </w:rPr>
              <w:drawing>
                <wp:inline distT="0" distB="0" distL="0" distR="0" wp14:anchorId="7736C8A1" wp14:editId="0BBBB836">
                  <wp:extent cx="5890260" cy="1767840"/>
                  <wp:effectExtent l="0" t="0" r="0" b="3810"/>
                  <wp:docPr id="61" name="Graf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68A784A5" w14:textId="2D694690" w:rsidR="00995AB9" w:rsidRDefault="00995AB9" w:rsidP="00995AB9">
      <w:pPr>
        <w:spacing w:after="120"/>
        <w:jc w:val="both"/>
        <w:rPr>
          <w:rFonts w:eastAsia="Calibri" w:cs="Times New Roman"/>
          <w:i/>
          <w:sz w:val="18"/>
        </w:rPr>
      </w:pPr>
      <w:r w:rsidRPr="00995AB9">
        <w:rPr>
          <w:rFonts w:eastAsia="Calibri" w:cs="Times New Roman"/>
          <w:i/>
          <w:sz w:val="18"/>
        </w:rPr>
        <w:t>Zdroj: Eurostat</w:t>
      </w:r>
    </w:p>
    <w:p w14:paraId="17AEED20" w14:textId="3F6969F6" w:rsidR="008362CF" w:rsidRPr="00B65251" w:rsidRDefault="00BB0EAF" w:rsidP="0094430C">
      <w:pPr>
        <w:pStyle w:val="Nadpis2"/>
        <w:numPr>
          <w:ilvl w:val="1"/>
          <w:numId w:val="23"/>
        </w:numPr>
      </w:pPr>
      <w:bookmarkStart w:id="18" w:name="_Toc480788318"/>
      <w:bookmarkStart w:id="19" w:name="_Toc43218065"/>
      <w:r w:rsidRPr="00B65251">
        <w:lastRenderedPageBreak/>
        <w:t>Výdavky verejnej správy</w:t>
      </w:r>
      <w:bookmarkEnd w:id="18"/>
      <w:bookmarkEnd w:id="19"/>
    </w:p>
    <w:p w14:paraId="1CF8D57F" w14:textId="3355A88C" w:rsidR="00995AB9" w:rsidRDefault="00995AB9" w:rsidP="00950767">
      <w:pPr>
        <w:spacing w:after="120"/>
        <w:jc w:val="both"/>
      </w:pPr>
      <w:r>
        <w:t xml:space="preserve">Celkové výdavky </w:t>
      </w:r>
      <w:r w:rsidR="00950767">
        <w:t>VS</w:t>
      </w:r>
      <w:r>
        <w:t xml:space="preserve"> dosiahli v minulom roku takmer 40,4 mld. eur, čo je oproti </w:t>
      </w:r>
      <w:r w:rsidR="00E178AD">
        <w:t xml:space="preserve">roku 2018 o 8,1 % viac. Oproti </w:t>
      </w:r>
      <w:r>
        <w:t xml:space="preserve">schválenému rozpočtu </w:t>
      </w:r>
      <w:r w:rsidR="0019578F">
        <w:t>to predstavu</w:t>
      </w:r>
      <w:r w:rsidR="00E178AD">
        <w:t xml:space="preserve">je navýšenie </w:t>
      </w:r>
      <w:r>
        <w:t>o</w:t>
      </w:r>
      <w:r w:rsidR="004648DB">
        <w:t> 9,5 %</w:t>
      </w:r>
      <w:r>
        <w:t>. Z</w:t>
      </w:r>
      <w:r w:rsidR="00E178AD">
        <w:t>namená to</w:t>
      </w:r>
      <w:r>
        <w:t xml:space="preserve">, že MF SR výrazne podhodnotilo výdavky </w:t>
      </w:r>
      <w:r w:rsidR="0019578F">
        <w:t xml:space="preserve">VS </w:t>
      </w:r>
      <w:r w:rsidR="00950767">
        <w:t>pri tvorbe rozpočtu a očakávalo</w:t>
      </w:r>
      <w:r>
        <w:t xml:space="preserve"> oproti roku 2018 nižšie</w:t>
      </w:r>
      <w:r w:rsidR="00950767">
        <w:t xml:space="preserve"> výdavky o takmer 460 mil. eur.</w:t>
      </w:r>
    </w:p>
    <w:p w14:paraId="11232395" w14:textId="09643FE1" w:rsidR="00995AB9" w:rsidRDefault="00360C35" w:rsidP="00F96DE6">
      <w:pPr>
        <w:spacing w:after="120"/>
        <w:jc w:val="both"/>
        <w:rPr>
          <w:b/>
        </w:rPr>
      </w:pPr>
      <w:r>
        <w:rPr>
          <w:b/>
        </w:rPr>
        <w:t>V</w:t>
      </w:r>
      <w:r w:rsidR="00995AB9">
        <w:rPr>
          <w:b/>
        </w:rPr>
        <w:t>ýdavky rozpočtu VS rástli rýchlejším tempom ako príjmy a ich vývoj tak neprispel k dosiahnutiu vyrovnaného rozpočtu verejných financií, naopak</w:t>
      </w:r>
      <w:r w:rsidR="00536BA8">
        <w:rPr>
          <w:b/>
        </w:rPr>
        <w:t>,</w:t>
      </w:r>
      <w:r w:rsidR="00995AB9">
        <w:rPr>
          <w:b/>
        </w:rPr>
        <w:t xml:space="preserve"> výrazným spôsobom navýšili ich deficit.</w:t>
      </w:r>
    </w:p>
    <w:p w14:paraId="0C18D8AF" w14:textId="77777777" w:rsidR="00995AB9" w:rsidRPr="00C63B60" w:rsidRDefault="00995AB9" w:rsidP="00CA4572">
      <w:pPr>
        <w:rPr>
          <w:b/>
          <w:i/>
        </w:rPr>
      </w:pPr>
      <w:r w:rsidRPr="00C63B60">
        <w:rPr>
          <w:b/>
          <w:i/>
        </w:rPr>
        <w:t>Vývoj výdavkov VS na akruálnej báze v rokoch 2018 až 2019</w:t>
      </w:r>
    </w:p>
    <w:tbl>
      <w:tblPr>
        <w:tblStyle w:val="Mriekatabuky"/>
        <w:tblW w:w="5000" w:type="pct"/>
        <w:tblLook w:val="04A0" w:firstRow="1" w:lastRow="0" w:firstColumn="1" w:lastColumn="0" w:noHBand="0" w:noVBand="1"/>
      </w:tblPr>
      <w:tblGrid>
        <w:gridCol w:w="1991"/>
        <w:gridCol w:w="1250"/>
        <w:gridCol w:w="1202"/>
        <w:gridCol w:w="1133"/>
        <w:gridCol w:w="1318"/>
        <w:gridCol w:w="1211"/>
        <w:gridCol w:w="1241"/>
      </w:tblGrid>
      <w:tr w:rsidR="00995AB9" w:rsidRPr="00950767" w14:paraId="1198CD8D" w14:textId="77777777" w:rsidTr="002445FF">
        <w:trPr>
          <w:trHeight w:val="397"/>
        </w:trPr>
        <w:tc>
          <w:tcPr>
            <w:tcW w:w="1065" w:type="pct"/>
            <w:shd w:val="clear" w:color="auto" w:fill="0070C0"/>
            <w:vAlign w:val="center"/>
          </w:tcPr>
          <w:p w14:paraId="303D64FA" w14:textId="77777777" w:rsidR="00995AB9" w:rsidRPr="00950767" w:rsidRDefault="00995AB9" w:rsidP="00CA4572">
            <w:pPr>
              <w:pStyle w:val="Bezriadkovania"/>
              <w:rPr>
                <w:b/>
                <w:color w:val="FFFFFF" w:themeColor="background1"/>
                <w:sz w:val="20"/>
              </w:rPr>
            </w:pPr>
            <w:r w:rsidRPr="00950767">
              <w:rPr>
                <w:b/>
                <w:color w:val="FFFFFF" w:themeColor="background1"/>
                <w:sz w:val="20"/>
              </w:rPr>
              <w:t>Výdavky VS (v tis. eur)</w:t>
            </w:r>
          </w:p>
        </w:tc>
        <w:tc>
          <w:tcPr>
            <w:tcW w:w="669" w:type="pct"/>
            <w:shd w:val="clear" w:color="auto" w:fill="0070C0"/>
            <w:vAlign w:val="center"/>
          </w:tcPr>
          <w:p w14:paraId="3E579586" w14:textId="77777777" w:rsidR="00995AB9" w:rsidRPr="00950767" w:rsidRDefault="00995AB9" w:rsidP="00CA4572">
            <w:pPr>
              <w:pStyle w:val="Bezriadkovania"/>
              <w:jc w:val="center"/>
              <w:rPr>
                <w:b/>
                <w:color w:val="FFFFFF" w:themeColor="background1"/>
                <w:sz w:val="20"/>
              </w:rPr>
            </w:pPr>
            <w:r w:rsidRPr="00950767">
              <w:rPr>
                <w:b/>
                <w:color w:val="FFFFFF" w:themeColor="background1"/>
                <w:sz w:val="20"/>
              </w:rPr>
              <w:t>Skutočnosť 2018</w:t>
            </w:r>
          </w:p>
        </w:tc>
        <w:tc>
          <w:tcPr>
            <w:tcW w:w="643" w:type="pct"/>
            <w:shd w:val="clear" w:color="auto" w:fill="0070C0"/>
            <w:vAlign w:val="center"/>
          </w:tcPr>
          <w:p w14:paraId="41101331" w14:textId="77777777" w:rsidR="00995AB9" w:rsidRPr="00950767" w:rsidRDefault="00995AB9" w:rsidP="00CA4572">
            <w:pPr>
              <w:pStyle w:val="Bezriadkovania"/>
              <w:jc w:val="center"/>
              <w:rPr>
                <w:b/>
                <w:color w:val="FFFFFF" w:themeColor="background1"/>
                <w:sz w:val="20"/>
              </w:rPr>
            </w:pPr>
            <w:r w:rsidRPr="00950767">
              <w:rPr>
                <w:b/>
                <w:color w:val="FFFFFF" w:themeColor="background1"/>
                <w:sz w:val="20"/>
              </w:rPr>
              <w:t>Rozpočet 2019</w:t>
            </w:r>
          </w:p>
        </w:tc>
        <w:tc>
          <w:tcPr>
            <w:tcW w:w="606" w:type="pct"/>
            <w:shd w:val="clear" w:color="auto" w:fill="0070C0"/>
            <w:vAlign w:val="center"/>
          </w:tcPr>
          <w:p w14:paraId="20BD0CA7" w14:textId="77777777" w:rsidR="00995AB9" w:rsidRPr="00950767" w:rsidRDefault="00995AB9" w:rsidP="00CA4572">
            <w:pPr>
              <w:pStyle w:val="Bezriadkovania"/>
              <w:jc w:val="center"/>
              <w:rPr>
                <w:b/>
                <w:color w:val="FFFFFF" w:themeColor="background1"/>
                <w:sz w:val="20"/>
              </w:rPr>
            </w:pPr>
            <w:r w:rsidRPr="00950767">
              <w:rPr>
                <w:b/>
                <w:color w:val="FFFFFF" w:themeColor="background1"/>
                <w:sz w:val="20"/>
              </w:rPr>
              <w:t>Skutočnosť 2019</w:t>
            </w:r>
          </w:p>
        </w:tc>
        <w:tc>
          <w:tcPr>
            <w:tcW w:w="705" w:type="pct"/>
            <w:shd w:val="clear" w:color="auto" w:fill="0070C0"/>
            <w:vAlign w:val="center"/>
          </w:tcPr>
          <w:p w14:paraId="12FF505E" w14:textId="77777777" w:rsidR="00995AB9" w:rsidRDefault="00995AB9" w:rsidP="00CA4572">
            <w:pPr>
              <w:pStyle w:val="Bezriadkovania"/>
              <w:jc w:val="center"/>
              <w:rPr>
                <w:b/>
                <w:color w:val="FFFFFF" w:themeColor="background1"/>
                <w:sz w:val="20"/>
              </w:rPr>
            </w:pPr>
            <w:r w:rsidRPr="00950767">
              <w:rPr>
                <w:b/>
                <w:color w:val="FFFFFF" w:themeColor="background1"/>
                <w:sz w:val="20"/>
              </w:rPr>
              <w:t>Rozdiel</w:t>
            </w:r>
          </w:p>
          <w:p w14:paraId="0F9B31F2" w14:textId="7CB9FDB6" w:rsidR="002445FF" w:rsidRPr="00950767" w:rsidRDefault="002445FF" w:rsidP="00CA4572">
            <w:pPr>
              <w:pStyle w:val="Bezriadkovania"/>
              <w:jc w:val="center"/>
              <w:rPr>
                <w:b/>
                <w:color w:val="FFFFFF" w:themeColor="background1"/>
                <w:sz w:val="20"/>
              </w:rPr>
            </w:pPr>
            <w:r>
              <w:rPr>
                <w:b/>
                <w:color w:val="FFFFFF" w:themeColor="background1"/>
                <w:sz w:val="20"/>
              </w:rPr>
              <w:t>2019S</w:t>
            </w:r>
            <w:r w:rsidR="00C2335E">
              <w:rPr>
                <w:b/>
                <w:color w:val="FFFFFF" w:themeColor="background1"/>
                <w:sz w:val="20"/>
              </w:rPr>
              <w:t xml:space="preserve"> </w:t>
            </w:r>
            <w:r>
              <w:rPr>
                <w:b/>
                <w:color w:val="FFFFFF" w:themeColor="background1"/>
                <w:sz w:val="20"/>
              </w:rPr>
              <w:t>-</w:t>
            </w:r>
            <w:r w:rsidR="00C2335E">
              <w:rPr>
                <w:b/>
                <w:color w:val="FFFFFF" w:themeColor="background1"/>
                <w:sz w:val="20"/>
              </w:rPr>
              <w:t xml:space="preserve"> </w:t>
            </w:r>
            <w:r>
              <w:rPr>
                <w:b/>
                <w:color w:val="FFFFFF" w:themeColor="background1"/>
                <w:sz w:val="20"/>
              </w:rPr>
              <w:t>2018S</w:t>
            </w:r>
          </w:p>
        </w:tc>
        <w:tc>
          <w:tcPr>
            <w:tcW w:w="648" w:type="pct"/>
            <w:shd w:val="clear" w:color="auto" w:fill="0070C0"/>
            <w:vAlign w:val="center"/>
          </w:tcPr>
          <w:p w14:paraId="12B2661F" w14:textId="77777777" w:rsidR="00995AB9" w:rsidRDefault="002445FF" w:rsidP="002445FF">
            <w:pPr>
              <w:pStyle w:val="Bezriadkovania"/>
              <w:jc w:val="center"/>
              <w:rPr>
                <w:b/>
                <w:color w:val="FFFFFF" w:themeColor="background1"/>
                <w:sz w:val="20"/>
              </w:rPr>
            </w:pPr>
            <w:r>
              <w:rPr>
                <w:b/>
                <w:color w:val="FFFFFF" w:themeColor="background1"/>
                <w:sz w:val="20"/>
              </w:rPr>
              <w:t>Index</w:t>
            </w:r>
            <w:r w:rsidR="00995AB9" w:rsidRPr="00950767">
              <w:rPr>
                <w:b/>
                <w:color w:val="FFFFFF" w:themeColor="background1"/>
                <w:sz w:val="20"/>
              </w:rPr>
              <w:t xml:space="preserve"> (v %)</w:t>
            </w:r>
          </w:p>
          <w:p w14:paraId="4FD7CB22" w14:textId="08431DDC" w:rsidR="002445FF" w:rsidRPr="00950767" w:rsidRDefault="002445FF" w:rsidP="002445FF">
            <w:pPr>
              <w:pStyle w:val="Bezriadkovania"/>
              <w:jc w:val="center"/>
              <w:rPr>
                <w:b/>
                <w:color w:val="FFFFFF" w:themeColor="background1"/>
                <w:sz w:val="20"/>
              </w:rPr>
            </w:pPr>
            <w:r>
              <w:rPr>
                <w:b/>
                <w:color w:val="FFFFFF" w:themeColor="background1"/>
                <w:sz w:val="20"/>
              </w:rPr>
              <w:t>2019S/2018S</w:t>
            </w:r>
          </w:p>
        </w:tc>
        <w:tc>
          <w:tcPr>
            <w:tcW w:w="664" w:type="pct"/>
            <w:shd w:val="clear" w:color="auto" w:fill="0070C0"/>
            <w:vAlign w:val="center"/>
          </w:tcPr>
          <w:p w14:paraId="6EE5827B" w14:textId="77777777" w:rsidR="00995AB9" w:rsidRDefault="00995AB9" w:rsidP="00CA4572">
            <w:pPr>
              <w:pStyle w:val="Bezriadkovania"/>
              <w:jc w:val="center"/>
              <w:rPr>
                <w:b/>
                <w:color w:val="FFFFFF" w:themeColor="background1"/>
                <w:sz w:val="20"/>
              </w:rPr>
            </w:pPr>
            <w:r w:rsidRPr="00950767">
              <w:rPr>
                <w:b/>
                <w:color w:val="FFFFFF" w:themeColor="background1"/>
                <w:sz w:val="20"/>
              </w:rPr>
              <w:t>Rozdiel</w:t>
            </w:r>
          </w:p>
          <w:p w14:paraId="2498B65D" w14:textId="415E49F5" w:rsidR="002445FF" w:rsidRPr="00950767" w:rsidRDefault="002445FF" w:rsidP="00CA4572">
            <w:pPr>
              <w:pStyle w:val="Bezriadkovania"/>
              <w:jc w:val="center"/>
              <w:rPr>
                <w:b/>
                <w:color w:val="FFFFFF" w:themeColor="background1"/>
                <w:sz w:val="20"/>
              </w:rPr>
            </w:pPr>
            <w:r>
              <w:rPr>
                <w:b/>
                <w:color w:val="FFFFFF" w:themeColor="background1"/>
                <w:sz w:val="20"/>
              </w:rPr>
              <w:t>2019S-2019R</w:t>
            </w:r>
          </w:p>
        </w:tc>
      </w:tr>
      <w:tr w:rsidR="00995AB9" w:rsidRPr="00950767" w14:paraId="1414A510" w14:textId="77777777" w:rsidTr="00B65251">
        <w:tc>
          <w:tcPr>
            <w:tcW w:w="1065" w:type="pct"/>
            <w:shd w:val="clear" w:color="auto" w:fill="auto"/>
            <w:vAlign w:val="center"/>
          </w:tcPr>
          <w:p w14:paraId="1C64785C" w14:textId="77777777" w:rsidR="00995AB9" w:rsidRPr="00950767" w:rsidRDefault="00995AB9" w:rsidP="00CA4572">
            <w:pPr>
              <w:pStyle w:val="Bezriadkovania"/>
              <w:rPr>
                <w:b/>
                <w:sz w:val="20"/>
              </w:rPr>
            </w:pPr>
            <w:r w:rsidRPr="00950767">
              <w:rPr>
                <w:b/>
                <w:sz w:val="20"/>
              </w:rPr>
              <w:t>Výdavky spolu</w:t>
            </w:r>
          </w:p>
        </w:tc>
        <w:tc>
          <w:tcPr>
            <w:tcW w:w="669" w:type="pct"/>
            <w:shd w:val="clear" w:color="auto" w:fill="auto"/>
            <w:vAlign w:val="center"/>
          </w:tcPr>
          <w:p w14:paraId="556A2D53" w14:textId="77777777" w:rsidR="00995AB9" w:rsidRPr="00950767" w:rsidRDefault="00995AB9" w:rsidP="00CA4572">
            <w:pPr>
              <w:pStyle w:val="Bezriadkovania"/>
              <w:jc w:val="right"/>
              <w:rPr>
                <w:b/>
                <w:sz w:val="20"/>
              </w:rPr>
            </w:pPr>
            <w:r w:rsidRPr="00950767">
              <w:rPr>
                <w:b/>
                <w:sz w:val="20"/>
              </w:rPr>
              <w:t>37 360 000</w:t>
            </w:r>
          </w:p>
        </w:tc>
        <w:tc>
          <w:tcPr>
            <w:tcW w:w="643" w:type="pct"/>
            <w:shd w:val="clear" w:color="auto" w:fill="auto"/>
            <w:vAlign w:val="center"/>
          </w:tcPr>
          <w:p w14:paraId="6559A310" w14:textId="77777777" w:rsidR="00995AB9" w:rsidRPr="00950767" w:rsidRDefault="00995AB9" w:rsidP="00CA4572">
            <w:pPr>
              <w:pStyle w:val="Bezriadkovania"/>
              <w:jc w:val="right"/>
              <w:rPr>
                <w:b/>
                <w:sz w:val="20"/>
              </w:rPr>
            </w:pPr>
            <w:r w:rsidRPr="00950767">
              <w:rPr>
                <w:b/>
                <w:sz w:val="20"/>
              </w:rPr>
              <w:t>36 902 142</w:t>
            </w:r>
          </w:p>
        </w:tc>
        <w:tc>
          <w:tcPr>
            <w:tcW w:w="606" w:type="pct"/>
            <w:shd w:val="clear" w:color="auto" w:fill="auto"/>
            <w:vAlign w:val="center"/>
          </w:tcPr>
          <w:p w14:paraId="3AD19BD1" w14:textId="77777777" w:rsidR="00995AB9" w:rsidRPr="00950767" w:rsidRDefault="00995AB9" w:rsidP="00CA4572">
            <w:pPr>
              <w:pStyle w:val="Bezriadkovania"/>
              <w:jc w:val="right"/>
              <w:rPr>
                <w:b/>
                <w:sz w:val="20"/>
              </w:rPr>
            </w:pPr>
            <w:r w:rsidRPr="00950767">
              <w:rPr>
                <w:b/>
                <w:sz w:val="20"/>
              </w:rPr>
              <w:t>40 398 022</w:t>
            </w:r>
          </w:p>
        </w:tc>
        <w:tc>
          <w:tcPr>
            <w:tcW w:w="705" w:type="pct"/>
            <w:shd w:val="clear" w:color="auto" w:fill="auto"/>
            <w:vAlign w:val="center"/>
          </w:tcPr>
          <w:p w14:paraId="16537632" w14:textId="77777777" w:rsidR="00995AB9" w:rsidRPr="00950767" w:rsidRDefault="00995AB9" w:rsidP="003B7C66">
            <w:pPr>
              <w:pStyle w:val="Bezriadkovania"/>
              <w:ind w:right="129"/>
              <w:jc w:val="right"/>
              <w:rPr>
                <w:b/>
                <w:sz w:val="20"/>
              </w:rPr>
            </w:pPr>
            <w:r w:rsidRPr="00950767">
              <w:rPr>
                <w:b/>
                <w:sz w:val="20"/>
              </w:rPr>
              <w:t>3 038 022</w:t>
            </w:r>
          </w:p>
        </w:tc>
        <w:tc>
          <w:tcPr>
            <w:tcW w:w="648" w:type="pct"/>
            <w:shd w:val="clear" w:color="auto" w:fill="auto"/>
            <w:vAlign w:val="center"/>
          </w:tcPr>
          <w:p w14:paraId="1AEA2AC4" w14:textId="77777777" w:rsidR="00995AB9" w:rsidRPr="00950767" w:rsidRDefault="00995AB9" w:rsidP="003B7C66">
            <w:pPr>
              <w:pStyle w:val="Bezriadkovania"/>
              <w:ind w:right="176"/>
              <w:jc w:val="right"/>
              <w:rPr>
                <w:b/>
                <w:sz w:val="20"/>
              </w:rPr>
            </w:pPr>
            <w:r w:rsidRPr="00950767">
              <w:rPr>
                <w:b/>
                <w:sz w:val="20"/>
              </w:rPr>
              <w:t>108,1</w:t>
            </w:r>
          </w:p>
        </w:tc>
        <w:tc>
          <w:tcPr>
            <w:tcW w:w="664" w:type="pct"/>
            <w:shd w:val="clear" w:color="auto" w:fill="auto"/>
            <w:vAlign w:val="center"/>
          </w:tcPr>
          <w:p w14:paraId="24776970" w14:textId="77777777" w:rsidR="00995AB9" w:rsidRPr="00950767" w:rsidRDefault="00995AB9" w:rsidP="003B7C66">
            <w:pPr>
              <w:pStyle w:val="Bezriadkovania"/>
              <w:ind w:right="129"/>
              <w:jc w:val="right"/>
              <w:rPr>
                <w:b/>
                <w:sz w:val="20"/>
              </w:rPr>
            </w:pPr>
            <w:r w:rsidRPr="00950767">
              <w:rPr>
                <w:b/>
                <w:sz w:val="20"/>
              </w:rPr>
              <w:t>3 495 880</w:t>
            </w:r>
          </w:p>
        </w:tc>
      </w:tr>
      <w:tr w:rsidR="00995AB9" w:rsidRPr="00950767" w14:paraId="4FE43FF9" w14:textId="77777777" w:rsidTr="00B65251">
        <w:tc>
          <w:tcPr>
            <w:tcW w:w="1065" w:type="pct"/>
            <w:shd w:val="clear" w:color="auto" w:fill="auto"/>
            <w:vAlign w:val="center"/>
          </w:tcPr>
          <w:p w14:paraId="770D1334" w14:textId="77777777" w:rsidR="00995AB9" w:rsidRPr="00950767" w:rsidRDefault="00995AB9" w:rsidP="00CA4572">
            <w:pPr>
              <w:pStyle w:val="Bezriadkovania"/>
              <w:rPr>
                <w:sz w:val="20"/>
              </w:rPr>
            </w:pPr>
            <w:r w:rsidRPr="00950767">
              <w:rPr>
                <w:sz w:val="20"/>
              </w:rPr>
              <w:t>Bežné výdavky</w:t>
            </w:r>
          </w:p>
        </w:tc>
        <w:tc>
          <w:tcPr>
            <w:tcW w:w="669" w:type="pct"/>
            <w:shd w:val="clear" w:color="auto" w:fill="auto"/>
            <w:vAlign w:val="center"/>
          </w:tcPr>
          <w:p w14:paraId="4BA69B2A" w14:textId="77777777" w:rsidR="00995AB9" w:rsidRPr="00950767" w:rsidRDefault="00995AB9" w:rsidP="00CA4572">
            <w:pPr>
              <w:pStyle w:val="Bezriadkovania"/>
              <w:jc w:val="right"/>
              <w:rPr>
                <w:sz w:val="20"/>
              </w:rPr>
            </w:pPr>
            <w:r w:rsidRPr="00950767">
              <w:rPr>
                <w:sz w:val="20"/>
              </w:rPr>
              <w:t>34 402 539</w:t>
            </w:r>
          </w:p>
        </w:tc>
        <w:tc>
          <w:tcPr>
            <w:tcW w:w="643" w:type="pct"/>
            <w:shd w:val="clear" w:color="auto" w:fill="auto"/>
            <w:vAlign w:val="center"/>
          </w:tcPr>
          <w:p w14:paraId="519B7C0A" w14:textId="77777777" w:rsidR="00995AB9" w:rsidRPr="00950767" w:rsidRDefault="00995AB9" w:rsidP="00CA4572">
            <w:pPr>
              <w:pStyle w:val="Bezriadkovania"/>
              <w:jc w:val="right"/>
              <w:rPr>
                <w:sz w:val="20"/>
              </w:rPr>
            </w:pPr>
            <w:r w:rsidRPr="00950767">
              <w:rPr>
                <w:sz w:val="20"/>
              </w:rPr>
              <w:t>34 735 228</w:t>
            </w:r>
          </w:p>
        </w:tc>
        <w:tc>
          <w:tcPr>
            <w:tcW w:w="606" w:type="pct"/>
            <w:shd w:val="clear" w:color="auto" w:fill="auto"/>
            <w:vAlign w:val="center"/>
          </w:tcPr>
          <w:p w14:paraId="54F2670B" w14:textId="77777777" w:rsidR="00995AB9" w:rsidRPr="00950767" w:rsidRDefault="00995AB9" w:rsidP="00CA4572">
            <w:pPr>
              <w:pStyle w:val="Bezriadkovania"/>
              <w:jc w:val="right"/>
              <w:rPr>
                <w:sz w:val="20"/>
              </w:rPr>
            </w:pPr>
            <w:r w:rsidRPr="00950767">
              <w:rPr>
                <w:sz w:val="20"/>
              </w:rPr>
              <w:t>36 858 864</w:t>
            </w:r>
          </w:p>
        </w:tc>
        <w:tc>
          <w:tcPr>
            <w:tcW w:w="705" w:type="pct"/>
            <w:shd w:val="clear" w:color="auto" w:fill="auto"/>
            <w:vAlign w:val="center"/>
          </w:tcPr>
          <w:p w14:paraId="726801E9" w14:textId="77777777" w:rsidR="00995AB9" w:rsidRPr="00950767" w:rsidRDefault="00995AB9" w:rsidP="003B7C66">
            <w:pPr>
              <w:pStyle w:val="Bezriadkovania"/>
              <w:ind w:right="129"/>
              <w:jc w:val="right"/>
              <w:rPr>
                <w:sz w:val="20"/>
              </w:rPr>
            </w:pPr>
            <w:r w:rsidRPr="00950767">
              <w:rPr>
                <w:sz w:val="20"/>
              </w:rPr>
              <w:t>2 456 325</w:t>
            </w:r>
          </w:p>
        </w:tc>
        <w:tc>
          <w:tcPr>
            <w:tcW w:w="648" w:type="pct"/>
            <w:shd w:val="clear" w:color="auto" w:fill="auto"/>
            <w:vAlign w:val="center"/>
          </w:tcPr>
          <w:p w14:paraId="1B1E3D96" w14:textId="77777777" w:rsidR="00995AB9" w:rsidRPr="00950767" w:rsidRDefault="00995AB9" w:rsidP="003B7C66">
            <w:pPr>
              <w:pStyle w:val="Bezriadkovania"/>
              <w:ind w:right="176"/>
              <w:jc w:val="right"/>
              <w:rPr>
                <w:sz w:val="20"/>
              </w:rPr>
            </w:pPr>
            <w:r w:rsidRPr="00950767">
              <w:rPr>
                <w:sz w:val="20"/>
              </w:rPr>
              <w:t>107,1</w:t>
            </w:r>
          </w:p>
        </w:tc>
        <w:tc>
          <w:tcPr>
            <w:tcW w:w="664" w:type="pct"/>
            <w:shd w:val="clear" w:color="auto" w:fill="auto"/>
            <w:vAlign w:val="center"/>
          </w:tcPr>
          <w:p w14:paraId="722D535E" w14:textId="77777777" w:rsidR="00995AB9" w:rsidRPr="00950767" w:rsidRDefault="00995AB9" w:rsidP="003B7C66">
            <w:pPr>
              <w:pStyle w:val="Bezriadkovania"/>
              <w:ind w:right="129"/>
              <w:jc w:val="right"/>
              <w:rPr>
                <w:sz w:val="20"/>
              </w:rPr>
            </w:pPr>
            <w:r w:rsidRPr="00950767">
              <w:rPr>
                <w:sz w:val="20"/>
              </w:rPr>
              <w:t>2 123 636</w:t>
            </w:r>
          </w:p>
        </w:tc>
      </w:tr>
      <w:tr w:rsidR="00995AB9" w:rsidRPr="00950767" w14:paraId="585B34F2" w14:textId="77777777" w:rsidTr="00B65251">
        <w:tc>
          <w:tcPr>
            <w:tcW w:w="1065" w:type="pct"/>
            <w:shd w:val="clear" w:color="auto" w:fill="auto"/>
            <w:vAlign w:val="center"/>
          </w:tcPr>
          <w:p w14:paraId="027712FF" w14:textId="77777777" w:rsidR="00995AB9" w:rsidRPr="00950767" w:rsidRDefault="00995AB9" w:rsidP="00CA4572">
            <w:pPr>
              <w:pStyle w:val="Bezriadkovania"/>
              <w:rPr>
                <w:sz w:val="20"/>
              </w:rPr>
            </w:pPr>
            <w:r w:rsidRPr="00950767">
              <w:rPr>
                <w:sz w:val="20"/>
              </w:rPr>
              <w:t>Kapitálové výdavky</w:t>
            </w:r>
          </w:p>
        </w:tc>
        <w:tc>
          <w:tcPr>
            <w:tcW w:w="669" w:type="pct"/>
            <w:shd w:val="clear" w:color="auto" w:fill="auto"/>
            <w:vAlign w:val="center"/>
          </w:tcPr>
          <w:p w14:paraId="2D206474" w14:textId="77777777" w:rsidR="00995AB9" w:rsidRPr="00950767" w:rsidRDefault="00995AB9" w:rsidP="00CA4572">
            <w:pPr>
              <w:pStyle w:val="Bezriadkovania"/>
              <w:jc w:val="right"/>
              <w:rPr>
                <w:sz w:val="20"/>
              </w:rPr>
            </w:pPr>
            <w:r w:rsidRPr="00950767">
              <w:rPr>
                <w:sz w:val="20"/>
              </w:rPr>
              <w:t>2 957 461</w:t>
            </w:r>
          </w:p>
        </w:tc>
        <w:tc>
          <w:tcPr>
            <w:tcW w:w="643" w:type="pct"/>
            <w:shd w:val="clear" w:color="auto" w:fill="auto"/>
            <w:vAlign w:val="center"/>
          </w:tcPr>
          <w:p w14:paraId="4EBA893D" w14:textId="77777777" w:rsidR="00995AB9" w:rsidRPr="00950767" w:rsidRDefault="00995AB9" w:rsidP="00CA4572">
            <w:pPr>
              <w:pStyle w:val="Bezriadkovania"/>
              <w:jc w:val="right"/>
              <w:rPr>
                <w:sz w:val="20"/>
              </w:rPr>
            </w:pPr>
            <w:r w:rsidRPr="00950767">
              <w:rPr>
                <w:sz w:val="20"/>
              </w:rPr>
              <w:t>2 166 914</w:t>
            </w:r>
          </w:p>
        </w:tc>
        <w:tc>
          <w:tcPr>
            <w:tcW w:w="606" w:type="pct"/>
            <w:shd w:val="clear" w:color="auto" w:fill="auto"/>
            <w:vAlign w:val="center"/>
          </w:tcPr>
          <w:p w14:paraId="652FC47F" w14:textId="77777777" w:rsidR="00995AB9" w:rsidRPr="00950767" w:rsidRDefault="00995AB9" w:rsidP="00CA4572">
            <w:pPr>
              <w:pStyle w:val="Bezriadkovania"/>
              <w:jc w:val="right"/>
              <w:rPr>
                <w:sz w:val="20"/>
              </w:rPr>
            </w:pPr>
            <w:r w:rsidRPr="00950767">
              <w:rPr>
                <w:sz w:val="20"/>
              </w:rPr>
              <w:t>3 539 158</w:t>
            </w:r>
          </w:p>
        </w:tc>
        <w:tc>
          <w:tcPr>
            <w:tcW w:w="705" w:type="pct"/>
            <w:shd w:val="clear" w:color="auto" w:fill="auto"/>
            <w:vAlign w:val="center"/>
          </w:tcPr>
          <w:p w14:paraId="74922615" w14:textId="77777777" w:rsidR="00995AB9" w:rsidRPr="00950767" w:rsidRDefault="00995AB9" w:rsidP="003B7C66">
            <w:pPr>
              <w:pStyle w:val="Bezriadkovania"/>
              <w:ind w:right="129"/>
              <w:jc w:val="right"/>
              <w:rPr>
                <w:sz w:val="20"/>
              </w:rPr>
            </w:pPr>
            <w:r w:rsidRPr="00950767">
              <w:rPr>
                <w:sz w:val="20"/>
              </w:rPr>
              <w:t>581 697</w:t>
            </w:r>
          </w:p>
        </w:tc>
        <w:tc>
          <w:tcPr>
            <w:tcW w:w="648" w:type="pct"/>
            <w:shd w:val="clear" w:color="auto" w:fill="auto"/>
            <w:vAlign w:val="center"/>
          </w:tcPr>
          <w:p w14:paraId="25CBEDB0" w14:textId="77777777" w:rsidR="00995AB9" w:rsidRPr="00950767" w:rsidRDefault="00995AB9" w:rsidP="003B7C66">
            <w:pPr>
              <w:pStyle w:val="Bezriadkovania"/>
              <w:ind w:right="176"/>
              <w:jc w:val="right"/>
              <w:rPr>
                <w:sz w:val="20"/>
              </w:rPr>
            </w:pPr>
            <w:r w:rsidRPr="00950767">
              <w:rPr>
                <w:sz w:val="20"/>
              </w:rPr>
              <w:t>119,7</w:t>
            </w:r>
          </w:p>
        </w:tc>
        <w:tc>
          <w:tcPr>
            <w:tcW w:w="664" w:type="pct"/>
            <w:shd w:val="clear" w:color="auto" w:fill="auto"/>
            <w:vAlign w:val="center"/>
          </w:tcPr>
          <w:p w14:paraId="1B6A4EBC" w14:textId="77777777" w:rsidR="00995AB9" w:rsidRPr="00950767" w:rsidRDefault="00995AB9" w:rsidP="003B7C66">
            <w:pPr>
              <w:pStyle w:val="Bezriadkovania"/>
              <w:ind w:right="129"/>
              <w:jc w:val="right"/>
              <w:rPr>
                <w:sz w:val="20"/>
              </w:rPr>
            </w:pPr>
            <w:r w:rsidRPr="00950767">
              <w:rPr>
                <w:sz w:val="20"/>
              </w:rPr>
              <w:t>1 372 244</w:t>
            </w:r>
          </w:p>
        </w:tc>
      </w:tr>
    </w:tbl>
    <w:p w14:paraId="3E0B2006" w14:textId="77777777" w:rsidR="00995AB9" w:rsidRPr="00376728" w:rsidRDefault="00995AB9" w:rsidP="00F96DE6">
      <w:pPr>
        <w:spacing w:after="120"/>
        <w:rPr>
          <w:i/>
          <w:sz w:val="18"/>
        </w:rPr>
      </w:pPr>
      <w:r w:rsidRPr="00376728">
        <w:rPr>
          <w:i/>
          <w:sz w:val="18"/>
        </w:rPr>
        <w:t>Zdroj: ŠZÚ 2019</w:t>
      </w:r>
    </w:p>
    <w:p w14:paraId="4BD86689" w14:textId="598917D2" w:rsidR="00995AB9" w:rsidRDefault="00995AB9" w:rsidP="00F96DE6">
      <w:pPr>
        <w:spacing w:after="120"/>
        <w:jc w:val="both"/>
      </w:pPr>
      <w:r>
        <w:t>V rámci medzinárodného porovnania podielu výdavkov verej</w:t>
      </w:r>
      <w:r w:rsidR="00910D4C">
        <w:t>nej správy na HDP krajín V4 + 2</w:t>
      </w:r>
      <w:r>
        <w:t xml:space="preserve"> sa Slovensko s podielom 42,8 % HDP umiestnilo za Ra</w:t>
      </w:r>
      <w:r w:rsidR="0077407C">
        <w:t>kúskom, Maďarskom a</w:t>
      </w:r>
      <w:r w:rsidR="002A460A">
        <w:t> </w:t>
      </w:r>
      <w:r w:rsidR="0077407C">
        <w:t>Slovinskom</w:t>
      </w:r>
      <w:r w:rsidR="002A460A">
        <w:t xml:space="preserve"> (Graf 9)</w:t>
      </w:r>
      <w:r w:rsidR="0077407C">
        <w:t>.</w:t>
      </w:r>
    </w:p>
    <w:tbl>
      <w:tblPr>
        <w:tblW w:w="5000" w:type="pct"/>
        <w:tblLook w:val="04A0" w:firstRow="1" w:lastRow="0" w:firstColumn="1" w:lastColumn="0" w:noHBand="0" w:noVBand="1"/>
      </w:tblPr>
      <w:tblGrid>
        <w:gridCol w:w="9356"/>
      </w:tblGrid>
      <w:tr w:rsidR="00995AB9" w:rsidRPr="00926AA7" w14:paraId="58449E49" w14:textId="77777777" w:rsidTr="00A940B3">
        <w:trPr>
          <w:trHeight w:val="140"/>
        </w:trPr>
        <w:tc>
          <w:tcPr>
            <w:tcW w:w="5000" w:type="pct"/>
            <w:tcBorders>
              <w:top w:val="single" w:sz="4" w:space="0" w:color="auto"/>
              <w:bottom w:val="single" w:sz="4" w:space="0" w:color="auto"/>
            </w:tcBorders>
            <w:shd w:val="clear" w:color="auto" w:fill="0070C0"/>
            <w:vAlign w:val="center"/>
          </w:tcPr>
          <w:p w14:paraId="47E2863D" w14:textId="44139AD9" w:rsidR="00995AB9" w:rsidRPr="00926AA7" w:rsidRDefault="002A460A" w:rsidP="00CA4572">
            <w:pPr>
              <w:rPr>
                <w:b/>
                <w:szCs w:val="24"/>
              </w:rPr>
            </w:pPr>
            <w:r>
              <w:rPr>
                <w:b/>
                <w:color w:val="FFFFFF" w:themeColor="background1"/>
                <w:szCs w:val="24"/>
              </w:rPr>
              <w:t xml:space="preserve">Graf 9: </w:t>
            </w:r>
            <w:r w:rsidR="00995AB9">
              <w:rPr>
                <w:b/>
                <w:color w:val="FFFFFF" w:themeColor="background1"/>
                <w:szCs w:val="24"/>
              </w:rPr>
              <w:t>Medzinárodné porovnanie v</w:t>
            </w:r>
            <w:r w:rsidR="003052AD">
              <w:rPr>
                <w:b/>
                <w:color w:val="FFFFFF" w:themeColor="background1"/>
                <w:szCs w:val="24"/>
              </w:rPr>
              <w:t>ýdavkov VS v roku 2019</w:t>
            </w:r>
          </w:p>
        </w:tc>
      </w:tr>
      <w:tr w:rsidR="00995AB9" w:rsidRPr="00926AA7" w14:paraId="5665E6E2" w14:textId="77777777" w:rsidTr="00A940B3">
        <w:tblPrEx>
          <w:tblCellMar>
            <w:left w:w="70" w:type="dxa"/>
            <w:right w:w="70" w:type="dxa"/>
          </w:tblCellMar>
        </w:tblPrEx>
        <w:trPr>
          <w:trHeight w:val="2268"/>
        </w:trPr>
        <w:tc>
          <w:tcPr>
            <w:tcW w:w="5000" w:type="pct"/>
            <w:tcBorders>
              <w:top w:val="single" w:sz="4" w:space="0" w:color="auto"/>
              <w:bottom w:val="single" w:sz="4" w:space="0" w:color="auto"/>
            </w:tcBorders>
          </w:tcPr>
          <w:p w14:paraId="5B794556" w14:textId="0DB2C952" w:rsidR="00995AB9" w:rsidRPr="00926AA7" w:rsidRDefault="003052AD" w:rsidP="00CA4572">
            <w:pPr>
              <w:pStyle w:val="Bezriadkovania"/>
            </w:pPr>
            <w:r>
              <w:rPr>
                <w:noProof/>
              </w:rPr>
              <w:drawing>
                <wp:inline distT="0" distB="0" distL="0" distR="0" wp14:anchorId="1EE1FED2" wp14:editId="5EF98253">
                  <wp:extent cx="5913120" cy="1905000"/>
                  <wp:effectExtent l="0" t="0" r="0" b="0"/>
                  <wp:docPr id="62" name="Graf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1E57427F" w14:textId="77777777" w:rsidR="00995AB9" w:rsidRPr="00376728" w:rsidRDefault="00995AB9" w:rsidP="00910D4C">
      <w:pPr>
        <w:spacing w:after="120"/>
        <w:rPr>
          <w:i/>
          <w:sz w:val="18"/>
        </w:rPr>
      </w:pPr>
      <w:r w:rsidRPr="00376728">
        <w:rPr>
          <w:i/>
          <w:sz w:val="18"/>
        </w:rPr>
        <w:t>Zdroj: Eurostat</w:t>
      </w:r>
    </w:p>
    <w:p w14:paraId="6C9C842E" w14:textId="2E1B1D25" w:rsidR="00DC131D" w:rsidRPr="00B65251" w:rsidRDefault="00B80844" w:rsidP="0094430C">
      <w:pPr>
        <w:pStyle w:val="Nadpis2"/>
        <w:numPr>
          <w:ilvl w:val="1"/>
          <w:numId w:val="23"/>
        </w:numPr>
        <w:spacing w:before="0" w:after="0"/>
      </w:pPr>
      <w:bookmarkStart w:id="20" w:name="_Toc43218066"/>
      <w:r w:rsidRPr="00B65251">
        <w:t>Dlh verejnej správy</w:t>
      </w:r>
      <w:bookmarkEnd w:id="20"/>
    </w:p>
    <w:p w14:paraId="4B87CA87" w14:textId="4C4A0B9A" w:rsidR="001E39B6" w:rsidRDefault="001E39B6" w:rsidP="00CA4572">
      <w:pPr>
        <w:pStyle w:val="Bezriadkovania"/>
        <w:spacing w:before="120" w:after="120"/>
        <w:jc w:val="both"/>
      </w:pPr>
      <w:r w:rsidRPr="001C55CE">
        <w:t xml:space="preserve">Základným ukazovateľom mapujúcim úroveň zadlženia sektora </w:t>
      </w:r>
      <w:r w:rsidR="00536BA8">
        <w:t>VS,</w:t>
      </w:r>
      <w:r w:rsidRPr="001C55CE">
        <w:t xml:space="preserve"> v zmysle metodiky E</w:t>
      </w:r>
      <w:r w:rsidR="009C3D7D">
        <w:t>K</w:t>
      </w:r>
      <w:r w:rsidR="00536BA8">
        <w:t>,</w:t>
      </w:r>
      <w:r w:rsidRPr="001C55CE">
        <w:t xml:space="preserve"> je výška maastricht</w:t>
      </w:r>
      <w:smartTag w:uri="urn:schemas-microsoft-com:office:smarttags" w:element="PersonName">
        <w:r w:rsidRPr="001C55CE">
          <w:t>sk</w:t>
        </w:r>
      </w:smartTag>
      <w:r w:rsidRPr="001C55CE">
        <w:t xml:space="preserve">ého dlhu </w:t>
      </w:r>
      <w:r w:rsidR="002A460A">
        <w:t xml:space="preserve">(Graf 10) </w:t>
      </w:r>
      <w:r w:rsidRPr="001C55CE">
        <w:t>a jeho relácia k </w:t>
      </w:r>
      <w:r w:rsidR="003052AD">
        <w:t>HDP.</w:t>
      </w:r>
    </w:p>
    <w:tbl>
      <w:tblPr>
        <w:tblStyle w:val="Mriekatabuky"/>
        <w:tblW w:w="5000" w:type="pct"/>
        <w:tblLook w:val="04A0" w:firstRow="1" w:lastRow="0" w:firstColumn="1" w:lastColumn="0" w:noHBand="0" w:noVBand="1"/>
      </w:tblPr>
      <w:tblGrid>
        <w:gridCol w:w="9356"/>
      </w:tblGrid>
      <w:tr w:rsidR="001E39B6" w:rsidRPr="00F716A6" w14:paraId="226C1377" w14:textId="77777777" w:rsidTr="009879F4">
        <w:tc>
          <w:tcPr>
            <w:tcW w:w="5000" w:type="pct"/>
            <w:tcBorders>
              <w:top w:val="single" w:sz="4" w:space="0" w:color="auto"/>
              <w:left w:val="nil"/>
              <w:bottom w:val="single" w:sz="4" w:space="0" w:color="auto"/>
              <w:right w:val="nil"/>
            </w:tcBorders>
            <w:shd w:val="clear" w:color="auto" w:fill="0070C0"/>
          </w:tcPr>
          <w:p w14:paraId="33717396" w14:textId="3155ACCB" w:rsidR="001E39B6" w:rsidRPr="00F716A6" w:rsidRDefault="002A460A" w:rsidP="00CA4572">
            <w:pPr>
              <w:rPr>
                <w:b/>
                <w:color w:val="FFFFFF" w:themeColor="background1"/>
              </w:rPr>
            </w:pPr>
            <w:r>
              <w:rPr>
                <w:b/>
                <w:color w:val="FFFFFF" w:themeColor="background1"/>
              </w:rPr>
              <w:t xml:space="preserve">Graf 10: </w:t>
            </w:r>
            <w:r w:rsidR="001E39B6">
              <w:rPr>
                <w:b/>
                <w:color w:val="FFFFFF" w:themeColor="background1"/>
              </w:rPr>
              <w:t>Maastrichtský d</w:t>
            </w:r>
            <w:r w:rsidR="001E39B6" w:rsidRPr="00F716A6">
              <w:rPr>
                <w:b/>
                <w:color w:val="FFFFFF" w:themeColor="background1"/>
              </w:rPr>
              <w:t xml:space="preserve">lh VS </w:t>
            </w:r>
            <w:r w:rsidR="003052AD">
              <w:rPr>
                <w:b/>
                <w:color w:val="FFFFFF" w:themeColor="background1"/>
              </w:rPr>
              <w:t xml:space="preserve"> v rokoch 2008 až 2020</w:t>
            </w:r>
          </w:p>
        </w:tc>
      </w:tr>
      <w:tr w:rsidR="001E39B6" w14:paraId="7F6D5517" w14:textId="77777777" w:rsidTr="009879F4">
        <w:tblPrEx>
          <w:tblCellMar>
            <w:left w:w="70" w:type="dxa"/>
            <w:right w:w="70" w:type="dxa"/>
          </w:tblCellMar>
        </w:tblPrEx>
        <w:trPr>
          <w:trHeight w:val="2211"/>
        </w:trPr>
        <w:tc>
          <w:tcPr>
            <w:tcW w:w="5000" w:type="pct"/>
            <w:tcBorders>
              <w:top w:val="single" w:sz="4" w:space="0" w:color="auto"/>
              <w:left w:val="nil"/>
              <w:right w:val="nil"/>
            </w:tcBorders>
          </w:tcPr>
          <w:p w14:paraId="27338B22" w14:textId="77777777" w:rsidR="001E39B6" w:rsidRDefault="001E39B6" w:rsidP="00CA4572">
            <w:pPr>
              <w:jc w:val="center"/>
            </w:pPr>
            <w:r>
              <w:rPr>
                <w:noProof/>
                <w:lang w:eastAsia="sk-SK"/>
              </w:rPr>
              <w:drawing>
                <wp:inline distT="0" distB="0" distL="0" distR="0" wp14:anchorId="2C89158D" wp14:editId="574F52F3">
                  <wp:extent cx="5890260" cy="215646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0EBD7C6D" w14:textId="77B76C53" w:rsidR="001E39B6" w:rsidRDefault="001E39B6" w:rsidP="002D3BD7">
      <w:pPr>
        <w:pStyle w:val="Bezriadkovania"/>
        <w:spacing w:before="120" w:after="120"/>
        <w:rPr>
          <w:b/>
        </w:rPr>
      </w:pPr>
      <w:r w:rsidRPr="00EC258B">
        <w:rPr>
          <w:i/>
          <w:sz w:val="18"/>
          <w:szCs w:val="20"/>
        </w:rPr>
        <w:t>Zdroj: ŠÚ SR</w:t>
      </w:r>
      <w:r w:rsidR="00E46062">
        <w:rPr>
          <w:i/>
          <w:sz w:val="18"/>
          <w:szCs w:val="20"/>
        </w:rPr>
        <w:br/>
      </w:r>
      <w:r w:rsidRPr="001C55CE">
        <w:rPr>
          <w:bCs/>
        </w:rPr>
        <w:t xml:space="preserve">Rozpočet VS na rok 2019 predpokladal maastrichtský dlh VS na úrovni 47,3 % HDP. </w:t>
      </w:r>
      <w:r w:rsidRPr="005A3208">
        <w:rPr>
          <w:b/>
          <w:bCs/>
        </w:rPr>
        <w:t xml:space="preserve">Skutočný dlh VS </w:t>
      </w:r>
      <w:r w:rsidR="0046419A">
        <w:rPr>
          <w:b/>
          <w:bCs/>
        </w:rPr>
        <w:t xml:space="preserve">v roku 2019 </w:t>
      </w:r>
      <w:r w:rsidRPr="005A3208">
        <w:rPr>
          <w:b/>
        </w:rPr>
        <w:t xml:space="preserve">dosiahol 48 % HDP, čo </w:t>
      </w:r>
      <w:r w:rsidR="00FC7F52">
        <w:rPr>
          <w:b/>
        </w:rPr>
        <w:t>bolo</w:t>
      </w:r>
      <w:r w:rsidRPr="005A3208">
        <w:rPr>
          <w:b/>
        </w:rPr>
        <w:t xml:space="preserve"> oproti rozpočtu o 0,7 % HDP viac. Medziročne </w:t>
      </w:r>
      <w:r w:rsidR="00FC7F52">
        <w:rPr>
          <w:b/>
        </w:rPr>
        <w:t>bol</w:t>
      </w:r>
      <w:r w:rsidRPr="005A3208">
        <w:rPr>
          <w:b/>
        </w:rPr>
        <w:t xml:space="preserve"> však o</w:t>
      </w:r>
      <w:r w:rsidRPr="005A3208">
        <w:rPr>
          <w:b/>
          <w:bCs/>
        </w:rPr>
        <w:t xml:space="preserve"> 1,4 p. b. nižší a prvýkrát </w:t>
      </w:r>
      <w:r w:rsidRPr="005A3208">
        <w:rPr>
          <w:b/>
        </w:rPr>
        <w:t>klesol mimo sankčné pásma záko</w:t>
      </w:r>
      <w:r w:rsidR="003052AD">
        <w:rPr>
          <w:b/>
        </w:rPr>
        <w:t>na o rozpočtovej zodpovednosti.</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9356"/>
      </w:tblGrid>
      <w:tr w:rsidR="001E39B6" w:rsidRPr="001C55CE" w14:paraId="40835D38" w14:textId="77777777" w:rsidTr="00360C35">
        <w:tc>
          <w:tcPr>
            <w:tcW w:w="9356" w:type="dxa"/>
            <w:shd w:val="clear" w:color="auto" w:fill="0070C0"/>
          </w:tcPr>
          <w:p w14:paraId="165B1D65" w14:textId="292B1B98" w:rsidR="001E39B6" w:rsidRPr="001C55CE" w:rsidRDefault="002A460A" w:rsidP="00CA4572">
            <w:pPr>
              <w:rPr>
                <w:b/>
                <w:color w:val="FFFFFF" w:themeColor="background1"/>
              </w:rPr>
            </w:pPr>
            <w:r>
              <w:rPr>
                <w:b/>
                <w:color w:val="FFFFFF" w:themeColor="background1"/>
              </w:rPr>
              <w:lastRenderedPageBreak/>
              <w:t xml:space="preserve">Graf 11: </w:t>
            </w:r>
            <w:r w:rsidR="001E39B6" w:rsidRPr="001C55CE">
              <w:rPr>
                <w:b/>
                <w:color w:val="FFFFFF" w:themeColor="background1"/>
              </w:rPr>
              <w:t>Medzinárodné porovna</w:t>
            </w:r>
            <w:r w:rsidR="003052AD">
              <w:rPr>
                <w:b/>
                <w:color w:val="FFFFFF" w:themeColor="background1"/>
              </w:rPr>
              <w:t>nie dlhov VS za rok 2019</w:t>
            </w:r>
          </w:p>
        </w:tc>
      </w:tr>
      <w:tr w:rsidR="001E39B6" w14:paraId="1F2B437B" w14:textId="77777777" w:rsidTr="00360C35">
        <w:tc>
          <w:tcPr>
            <w:tcW w:w="9356" w:type="dxa"/>
          </w:tcPr>
          <w:p w14:paraId="0A9C09A9" w14:textId="524F1DFD" w:rsidR="001E39B6" w:rsidRDefault="003052AD" w:rsidP="00CA4572">
            <w:pPr>
              <w:pStyle w:val="Bezriadkovania"/>
            </w:pPr>
            <w:r>
              <w:rPr>
                <w:noProof/>
              </w:rPr>
              <w:drawing>
                <wp:inline distT="0" distB="0" distL="0" distR="0" wp14:anchorId="403E4DCC" wp14:editId="313B719D">
                  <wp:extent cx="5913120" cy="1691640"/>
                  <wp:effectExtent l="0" t="0" r="0" b="381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59C88A2B" w14:textId="77777777" w:rsidR="001E39B6" w:rsidRPr="009C3D7D" w:rsidRDefault="001E39B6" w:rsidP="00CA4572">
      <w:pPr>
        <w:pStyle w:val="Bezriadkovania"/>
        <w:rPr>
          <w:i/>
          <w:sz w:val="18"/>
          <w:szCs w:val="20"/>
        </w:rPr>
      </w:pPr>
      <w:r w:rsidRPr="009C3D7D">
        <w:rPr>
          <w:i/>
          <w:sz w:val="18"/>
          <w:szCs w:val="20"/>
        </w:rPr>
        <w:t>Zdroj. Eurostat</w:t>
      </w:r>
    </w:p>
    <w:p w14:paraId="7D696E35" w14:textId="75D15B8E" w:rsidR="001E39B6" w:rsidRDefault="001E39B6" w:rsidP="00CA4572">
      <w:pPr>
        <w:pStyle w:val="Bezriadkovania"/>
        <w:spacing w:before="120" w:after="120"/>
        <w:jc w:val="both"/>
      </w:pPr>
      <w:r w:rsidRPr="001C55CE">
        <w:rPr>
          <w:b/>
        </w:rPr>
        <w:t xml:space="preserve">Slovensko patrí medzi krajiny s nižším dlhom, ale v dobrých </w:t>
      </w:r>
      <w:r w:rsidR="003A0142">
        <w:rPr>
          <w:b/>
        </w:rPr>
        <w:t xml:space="preserve">ekonomických </w:t>
      </w:r>
      <w:r w:rsidRPr="001C55CE">
        <w:rPr>
          <w:b/>
        </w:rPr>
        <w:t>časoch nevyužilo šancu na jeho zníženie a vytvorenie rezervy na horšie časy</w:t>
      </w:r>
      <w:r w:rsidR="002A460A">
        <w:rPr>
          <w:b/>
        </w:rPr>
        <w:t xml:space="preserve"> </w:t>
      </w:r>
      <w:r w:rsidR="002A460A" w:rsidRPr="002A460A">
        <w:t>(Graf 11)</w:t>
      </w:r>
      <w:r w:rsidRPr="002A460A">
        <w:t>.</w:t>
      </w:r>
      <w:r>
        <w:t xml:space="preserve"> </w:t>
      </w:r>
    </w:p>
    <w:tbl>
      <w:tblPr>
        <w:tblStyle w:val="Mriekatabuky"/>
        <w:tblW w:w="5000" w:type="pct"/>
        <w:tblBorders>
          <w:left w:val="none" w:sz="0" w:space="0" w:color="auto"/>
          <w:right w:val="none" w:sz="0" w:space="0" w:color="auto"/>
        </w:tblBorders>
        <w:tblLook w:val="04A0" w:firstRow="1" w:lastRow="0" w:firstColumn="1" w:lastColumn="0" w:noHBand="0" w:noVBand="1"/>
      </w:tblPr>
      <w:tblGrid>
        <w:gridCol w:w="9356"/>
      </w:tblGrid>
      <w:tr w:rsidR="001E39B6" w:rsidRPr="00F716A6" w14:paraId="6B35BF6D" w14:textId="77777777" w:rsidTr="00303737">
        <w:tc>
          <w:tcPr>
            <w:tcW w:w="5000" w:type="pct"/>
            <w:shd w:val="clear" w:color="auto" w:fill="0070C0"/>
          </w:tcPr>
          <w:p w14:paraId="50B5D83F" w14:textId="2051BF9A" w:rsidR="001E39B6" w:rsidRPr="00F716A6" w:rsidRDefault="002A460A" w:rsidP="00CA4572">
            <w:pPr>
              <w:rPr>
                <w:b/>
                <w:color w:val="FFFFFF" w:themeColor="background1"/>
              </w:rPr>
            </w:pPr>
            <w:r>
              <w:rPr>
                <w:b/>
                <w:color w:val="FFFFFF" w:themeColor="background1"/>
              </w:rPr>
              <w:t xml:space="preserve">Graf 12: </w:t>
            </w:r>
            <w:r w:rsidR="001E39B6">
              <w:rPr>
                <w:b/>
                <w:color w:val="FFFFFF" w:themeColor="background1"/>
              </w:rPr>
              <w:t>Dlh na 1 obyvateľa v rokoch 2006 až 2020 v eur</w:t>
            </w:r>
          </w:p>
        </w:tc>
      </w:tr>
      <w:tr w:rsidR="001E39B6" w14:paraId="2A798FE0" w14:textId="77777777" w:rsidTr="00303737">
        <w:tblPrEx>
          <w:tblCellMar>
            <w:left w:w="70" w:type="dxa"/>
            <w:right w:w="70" w:type="dxa"/>
          </w:tblCellMar>
        </w:tblPrEx>
        <w:trPr>
          <w:trHeight w:val="2098"/>
        </w:trPr>
        <w:tc>
          <w:tcPr>
            <w:tcW w:w="5000" w:type="pct"/>
          </w:tcPr>
          <w:p w14:paraId="07FDB0F0" w14:textId="77777777" w:rsidR="001E39B6" w:rsidRDefault="001E39B6" w:rsidP="00CA4572">
            <w:pPr>
              <w:pStyle w:val="Bezriadkovania"/>
            </w:pPr>
            <w:r>
              <w:rPr>
                <w:noProof/>
              </w:rPr>
              <w:drawing>
                <wp:inline distT="0" distB="0" distL="0" distR="0" wp14:anchorId="75A5FBBE" wp14:editId="5D87EDF9">
                  <wp:extent cx="5890260" cy="1668780"/>
                  <wp:effectExtent l="0" t="0" r="0" b="762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1491500E" w14:textId="0C372810" w:rsidR="001E39B6" w:rsidRPr="004E5544" w:rsidRDefault="001E39B6" w:rsidP="00CA4572">
      <w:pPr>
        <w:pStyle w:val="Bezriadkovania"/>
        <w:rPr>
          <w:i/>
          <w:sz w:val="18"/>
          <w:szCs w:val="20"/>
        </w:rPr>
      </w:pPr>
      <w:r w:rsidRPr="004E5544">
        <w:rPr>
          <w:i/>
          <w:sz w:val="18"/>
          <w:szCs w:val="20"/>
        </w:rPr>
        <w:t>Zdroj: ŠÚ SR</w:t>
      </w:r>
    </w:p>
    <w:p w14:paraId="0221B22F" w14:textId="3302D658" w:rsidR="005A3208" w:rsidRDefault="001E39B6" w:rsidP="00CA4572">
      <w:pPr>
        <w:pStyle w:val="Bezriadkovania"/>
        <w:spacing w:before="120" w:after="120"/>
        <w:jc w:val="both"/>
      </w:pPr>
      <w:r w:rsidRPr="005A3208">
        <w:rPr>
          <w:b/>
        </w:rPr>
        <w:t>Vývoj dlhu v prepočte na 1 obyvateľa neustále rastie a v roku 2019 predstavoval 8 409 eur</w:t>
      </w:r>
      <w:r w:rsidR="002A460A">
        <w:rPr>
          <w:b/>
        </w:rPr>
        <w:t xml:space="preserve"> </w:t>
      </w:r>
      <w:r w:rsidR="002A460A" w:rsidRPr="002A460A">
        <w:t>(Graf 12)</w:t>
      </w:r>
      <w:r w:rsidRPr="002A460A">
        <w:t>.</w:t>
      </w:r>
      <w:r w:rsidR="009C3D7D">
        <w:t xml:space="preserve"> </w:t>
      </w:r>
      <w:r w:rsidRPr="001C55CE">
        <w:t>V štruktúre je v</w:t>
      </w:r>
      <w:r w:rsidR="004B5460">
        <w:t xml:space="preserve">äčšina </w:t>
      </w:r>
      <w:r w:rsidRPr="001C55CE">
        <w:t>dlh</w:t>
      </w:r>
      <w:r w:rsidR="004B5460">
        <w:t>u SR tvorená</w:t>
      </w:r>
      <w:r w:rsidRPr="001C55CE">
        <w:t xml:space="preserve"> dlhom ústrednej </w:t>
      </w:r>
      <w:r>
        <w:t>správy</w:t>
      </w:r>
      <w:r w:rsidR="004B5460">
        <w:t xml:space="preserve"> a</w:t>
      </w:r>
      <w:r>
        <w:t xml:space="preserve"> územnej </w:t>
      </w:r>
      <w:r w:rsidR="004B5460">
        <w:t>samo</w:t>
      </w:r>
      <w:r>
        <w:t>správy</w:t>
      </w:r>
      <w:r w:rsidRPr="001C55CE">
        <w:t xml:space="preserve">, čo dokumentuje </w:t>
      </w:r>
      <w:r w:rsidRPr="00303737">
        <w:t xml:space="preserve">aj </w:t>
      </w:r>
      <w:r w:rsidR="009C3D7D">
        <w:t>T</w:t>
      </w:r>
      <w:r w:rsidRPr="00303737">
        <w:t xml:space="preserve">abuľka </w:t>
      </w:r>
      <w:r w:rsidR="009C3D7D">
        <w:t>4</w:t>
      </w:r>
      <w:r w:rsidRPr="00303737">
        <w:t xml:space="preserve"> </w:t>
      </w:r>
      <w:r w:rsidR="009C3D7D">
        <w:t>v</w:t>
      </w:r>
      <w:r w:rsidRPr="00303737">
        <w:t> </w:t>
      </w:r>
      <w:r w:rsidR="009C3D7D">
        <w:t>P</w:t>
      </w:r>
      <w:r w:rsidRPr="00303737">
        <w:t>rílohe.</w:t>
      </w:r>
    </w:p>
    <w:p w14:paraId="0D8B59DD" w14:textId="5B22F2E5" w:rsidR="001E39B6" w:rsidRPr="001C55CE" w:rsidRDefault="001E39B6" w:rsidP="00CA4572">
      <w:pPr>
        <w:pStyle w:val="Bezriadkovania"/>
        <w:spacing w:before="120" w:after="120"/>
        <w:jc w:val="both"/>
      </w:pPr>
      <w:r w:rsidRPr="00866B7C">
        <w:t xml:space="preserve">Maastrichtský dlh </w:t>
      </w:r>
      <w:r>
        <w:t>VS s</w:t>
      </w:r>
      <w:r w:rsidRPr="00866B7C">
        <w:t xml:space="preserve">a prezentuje ako konsolidovaný, to znamená, že vzťahy medzi jednotlivými subjektmi </w:t>
      </w:r>
      <w:r w:rsidR="00536BA8">
        <w:t>VS</w:t>
      </w:r>
      <w:r w:rsidRPr="00866B7C">
        <w:t xml:space="preserve"> sú vylúčené. Skupiny subjektov </w:t>
      </w:r>
      <w:r w:rsidR="00536BA8">
        <w:t>VS,</w:t>
      </w:r>
      <w:r w:rsidRPr="00866B7C">
        <w:t xml:space="preserve"> uvedené v</w:t>
      </w:r>
      <w:r w:rsidR="00536BA8">
        <w:t> </w:t>
      </w:r>
      <w:r w:rsidRPr="00866B7C">
        <w:t>tabuľke</w:t>
      </w:r>
      <w:r w:rsidR="00536BA8">
        <w:t>,</w:t>
      </w:r>
      <w:r>
        <w:t xml:space="preserve"> </w:t>
      </w:r>
      <w:r w:rsidRPr="00866B7C">
        <w:t>sú vnútorne skonsolidované o vzájomné vzťahy v rámci danej skupiny</w:t>
      </w:r>
      <w:r>
        <w:t xml:space="preserve">. </w:t>
      </w:r>
      <w:r w:rsidRPr="00866B7C">
        <w:t>Hodnota konsolidácie vo výške 1</w:t>
      </w:r>
      <w:r>
        <w:t> </w:t>
      </w:r>
      <w:r w:rsidRPr="00866B7C">
        <w:t>346</w:t>
      </w:r>
      <w:r>
        <w:t>, 6 mil</w:t>
      </w:r>
      <w:r w:rsidRPr="00866B7C">
        <w:t xml:space="preserve">. eur predstavuje len pôžičky medzi skupinami </w:t>
      </w:r>
      <w:r w:rsidR="005A3208">
        <w:t>VS</w:t>
      </w:r>
      <w:r w:rsidR="00536BA8">
        <w:rPr>
          <w:lang w:val="en-US"/>
        </w:rPr>
        <w:t>;</w:t>
      </w:r>
      <w:r w:rsidRPr="00866B7C">
        <w:t xml:space="preserve"> napr</w:t>
      </w:r>
      <w:r w:rsidR="005A3208">
        <w:t xml:space="preserve">. </w:t>
      </w:r>
      <w:r w:rsidRPr="00866B7C">
        <w:t>pôžičky Štátneho fondu rozvoja bývania</w:t>
      </w:r>
      <w:r w:rsidR="00536BA8">
        <w:t>,</w:t>
      </w:r>
      <w:r w:rsidRPr="00866B7C">
        <w:t xml:space="preserve"> poskytnuté subjektom územnej samosprávy.</w:t>
      </w:r>
      <w:r w:rsidR="005A3208">
        <w:t xml:space="preserve"> </w:t>
      </w:r>
      <w:r w:rsidRPr="001C55CE">
        <w:t xml:space="preserve">Konsolidovaný dlh </w:t>
      </w:r>
      <w:r>
        <w:t xml:space="preserve">VS </w:t>
      </w:r>
      <w:r w:rsidRPr="001C55CE">
        <w:t>(maastricht</w:t>
      </w:r>
      <w:smartTag w:uri="urn:schemas-microsoft-com:office:smarttags" w:element="PersonName">
        <w:r w:rsidRPr="001C55CE">
          <w:t>sk</w:t>
        </w:r>
      </w:smartTag>
      <w:r w:rsidRPr="001C55CE">
        <w:t xml:space="preserve">ý dlh) bol vykázaný vo výške </w:t>
      </w:r>
      <w:r>
        <w:t>4</w:t>
      </w:r>
      <w:r w:rsidR="00E82C1E">
        <w:t>5 201,8</w:t>
      </w:r>
      <w:r w:rsidRPr="001C55CE">
        <w:t xml:space="preserve"> mil. </w:t>
      </w:r>
      <w:r>
        <w:t>eur</w:t>
      </w:r>
      <w:r w:rsidRPr="001C55CE">
        <w:t>. V  porovnaní s rovnakým obdobím minulého roka bol vyšší o</w:t>
      </w:r>
      <w:r>
        <w:t> 879,9</w:t>
      </w:r>
      <w:r w:rsidRPr="001C55CE">
        <w:t xml:space="preserve"> mil. </w:t>
      </w:r>
      <w:r>
        <w:t>eur</w:t>
      </w:r>
      <w:r w:rsidRPr="001C55CE">
        <w:t>. Na náraste no</w:t>
      </w:r>
      <w:r>
        <w:t>minálneho dlhu v roku 2019 sa v </w:t>
      </w:r>
      <w:r w:rsidRPr="001C55CE">
        <w:t xml:space="preserve">najvyššej miere podieľal </w:t>
      </w:r>
      <w:r w:rsidRPr="001C55CE">
        <w:rPr>
          <w:bCs/>
        </w:rPr>
        <w:t xml:space="preserve">hotovostný schodok </w:t>
      </w:r>
      <w:r w:rsidR="005A3208">
        <w:rPr>
          <w:bCs/>
        </w:rPr>
        <w:t>ŠR</w:t>
      </w:r>
      <w:r w:rsidRPr="001C55CE">
        <w:rPr>
          <w:bCs/>
        </w:rPr>
        <w:t xml:space="preserve"> </w:t>
      </w:r>
      <w:r w:rsidRPr="001C55CE">
        <w:t>vo výške 2</w:t>
      </w:r>
      <w:r>
        <w:t> </w:t>
      </w:r>
      <w:r w:rsidRPr="001C55CE">
        <w:t>201</w:t>
      </w:r>
      <w:r>
        <w:t>,5 mil</w:t>
      </w:r>
      <w:r w:rsidRPr="001C55CE">
        <w:t xml:space="preserve">. eur. </w:t>
      </w:r>
      <w:r w:rsidRPr="005A3208">
        <w:rPr>
          <w:b/>
          <w:bCs/>
        </w:rPr>
        <w:t xml:space="preserve">Pozitívny </w:t>
      </w:r>
      <w:r w:rsidRPr="005A3208">
        <w:rPr>
          <w:b/>
        </w:rPr>
        <w:t>vplyv na vývoj maastrichtského dlhu oproti jeho stavu v roku 2018 mali najmä splátky záväzkov zo štátnych dlhopisov (229,2 mil. eur), splátky úverov v štátnom dlhu (110,4 mil. eur) a pokles zadlženosti N</w:t>
      </w:r>
      <w:r w:rsidR="0046419A">
        <w:rPr>
          <w:b/>
        </w:rPr>
        <w:t>DS</w:t>
      </w:r>
      <w:r w:rsidRPr="005A3208">
        <w:rPr>
          <w:b/>
        </w:rPr>
        <w:t xml:space="preserve"> (o 41,9 mil. eur).</w:t>
      </w:r>
      <w:r>
        <w:t xml:space="preserve"> </w:t>
      </w:r>
    </w:p>
    <w:p w14:paraId="32D30E6D" w14:textId="0EEFAA27" w:rsidR="001E39B6" w:rsidRPr="001C55CE" w:rsidRDefault="001E39B6" w:rsidP="005A3208">
      <w:pPr>
        <w:pStyle w:val="Bezriadkovania"/>
        <w:spacing w:before="120" w:after="120"/>
        <w:jc w:val="both"/>
      </w:pPr>
      <w:r w:rsidRPr="001C55CE">
        <w:rPr>
          <w:bCs/>
        </w:rPr>
        <w:t xml:space="preserve">Maastrichtský dlh </w:t>
      </w:r>
      <w:r>
        <w:rPr>
          <w:bCs/>
        </w:rPr>
        <w:t xml:space="preserve">VS </w:t>
      </w:r>
      <w:r w:rsidRPr="001C55CE">
        <w:rPr>
          <w:bCs/>
        </w:rPr>
        <w:t xml:space="preserve">bol financovaný predovšetkým </w:t>
      </w:r>
      <w:r>
        <w:rPr>
          <w:bCs/>
        </w:rPr>
        <w:t>š</w:t>
      </w:r>
      <w:r w:rsidRPr="001C55CE">
        <w:rPr>
          <w:bCs/>
        </w:rPr>
        <w:t xml:space="preserve">tátnymi dlhopismi </w:t>
      </w:r>
      <w:r>
        <w:rPr>
          <w:bCs/>
        </w:rPr>
        <w:t>(</w:t>
      </w:r>
      <w:r w:rsidRPr="001C55CE">
        <w:t>38</w:t>
      </w:r>
      <w:r>
        <w:t> </w:t>
      </w:r>
      <w:r w:rsidRPr="001C55CE">
        <w:t>184</w:t>
      </w:r>
      <w:r>
        <w:t>,1 mil</w:t>
      </w:r>
      <w:r w:rsidRPr="001C55CE">
        <w:t>. eur (84,5 %). Bankové úvery a iné záväzky dosiahli hodnotu 6</w:t>
      </w:r>
      <w:r>
        <w:t> </w:t>
      </w:r>
      <w:r w:rsidRPr="001C55CE">
        <w:t>658</w:t>
      </w:r>
      <w:r>
        <w:t>,2 mil</w:t>
      </w:r>
      <w:r w:rsidRPr="001C55CE">
        <w:t>. eur (14,7 %), z čoho 1</w:t>
      </w:r>
      <w:r w:rsidR="0046419A">
        <w:t> </w:t>
      </w:r>
      <w:r w:rsidRPr="001C55CE">
        <w:t>859</w:t>
      </w:r>
      <w:r w:rsidR="0046419A">
        <w:t xml:space="preserve"> mil.</w:t>
      </w:r>
      <w:r w:rsidRPr="001C55CE">
        <w:t xml:space="preserve"> eur preds</w:t>
      </w:r>
      <w:r>
        <w:t xml:space="preserve">tavuje záväzok pripadajúci na SR </w:t>
      </w:r>
      <w:r w:rsidRPr="001C55CE">
        <w:t xml:space="preserve">z nástroja EFSF, ktorý </w:t>
      </w:r>
      <w:r>
        <w:t>sa oproti roku 2018 znížil o 21,</w:t>
      </w:r>
      <w:r w:rsidRPr="001C55CE">
        <w:t>3</w:t>
      </w:r>
      <w:r>
        <w:t xml:space="preserve"> mil</w:t>
      </w:r>
      <w:r w:rsidRPr="001C55CE">
        <w:t xml:space="preserve">. eur. </w:t>
      </w:r>
      <w:r w:rsidRPr="001C55CE">
        <w:rPr>
          <w:bCs/>
        </w:rPr>
        <w:t xml:space="preserve">Z pohľadu meny bol maastrichtský dlh v roku 2019 tvorený z 95,8 % dlhom v eurách a 4,2 % </w:t>
      </w:r>
      <w:r w:rsidRPr="001C55CE">
        <w:t>dlhu pripadlo na iné meny</w:t>
      </w:r>
      <w:r>
        <w:t xml:space="preserve"> (</w:t>
      </w:r>
      <w:r w:rsidRPr="001C55CE">
        <w:t>najmä</w:t>
      </w:r>
      <w:r>
        <w:t>:</w:t>
      </w:r>
      <w:r w:rsidRPr="001C55CE">
        <w:t xml:space="preserve"> </w:t>
      </w:r>
      <w:r>
        <w:t>a</w:t>
      </w:r>
      <w:r w:rsidRPr="001C55CE">
        <w:t>merick</w:t>
      </w:r>
      <w:r>
        <w:t xml:space="preserve">é </w:t>
      </w:r>
      <w:r w:rsidRPr="001C55CE">
        <w:t xml:space="preserve"> dolár</w:t>
      </w:r>
      <w:r>
        <w:t>e</w:t>
      </w:r>
      <w:r w:rsidRPr="001C55CE">
        <w:t>, japonsk</w:t>
      </w:r>
      <w:r>
        <w:t xml:space="preserve">é </w:t>
      </w:r>
      <w:r w:rsidRPr="001C55CE">
        <w:t>jen</w:t>
      </w:r>
      <w:r>
        <w:t xml:space="preserve">y, </w:t>
      </w:r>
      <w:r w:rsidRPr="001C55CE">
        <w:t>švajčiarsk</w:t>
      </w:r>
      <w:r>
        <w:t>e f</w:t>
      </w:r>
      <w:r w:rsidRPr="001C55CE">
        <w:t>rank</w:t>
      </w:r>
      <w:r>
        <w:t xml:space="preserve">y a nórske </w:t>
      </w:r>
      <w:r w:rsidRPr="001C55CE">
        <w:t>korun</w:t>
      </w:r>
      <w:r>
        <w:t>y</w:t>
      </w:r>
      <w:r w:rsidR="00360C35">
        <w:t>)</w:t>
      </w:r>
      <w:r>
        <w:t xml:space="preserve">. </w:t>
      </w:r>
      <w:r w:rsidRPr="001C55CE">
        <w:rPr>
          <w:bCs/>
        </w:rPr>
        <w:t xml:space="preserve">Z hľadiska pôvodnej splatnosti </w:t>
      </w:r>
      <w:r w:rsidRPr="001C55CE">
        <w:t xml:space="preserve"> </w:t>
      </w:r>
      <w:r w:rsidR="005A3208">
        <w:t xml:space="preserve">je </w:t>
      </w:r>
      <w:r w:rsidRPr="001C55CE">
        <w:t xml:space="preserve">maastrichtský dlh tvorený z 1,3 % (599 </w:t>
      </w:r>
      <w:r w:rsidR="0046419A">
        <w:t>mil</w:t>
      </w:r>
      <w:r w:rsidRPr="001C55CE">
        <w:t>. eur) krátkodobým dlhom</w:t>
      </w:r>
      <w:r>
        <w:t xml:space="preserve"> a </w:t>
      </w:r>
      <w:r w:rsidRPr="001C55CE">
        <w:t>splatnosťou vyššou ako jeden rok</w:t>
      </w:r>
      <w:r>
        <w:t xml:space="preserve">, ktorá </w:t>
      </w:r>
      <w:r w:rsidRPr="001C55CE">
        <w:t>predstavuje 98,7 % (44</w:t>
      </w:r>
      <w:r w:rsidR="0046419A">
        <w:t> </w:t>
      </w:r>
      <w:r w:rsidRPr="001C55CE">
        <w:t>602</w:t>
      </w:r>
      <w:r w:rsidR="0046419A">
        <w:t>,6 mil.</w:t>
      </w:r>
      <w:r w:rsidRPr="001C55CE">
        <w:t xml:space="preserve"> eur). </w:t>
      </w:r>
    </w:p>
    <w:p w14:paraId="65DD3673" w14:textId="0047FFCE" w:rsidR="000A49D4" w:rsidRPr="00B65251" w:rsidRDefault="00451682" w:rsidP="0094430C">
      <w:pPr>
        <w:pStyle w:val="Nadpis2"/>
        <w:numPr>
          <w:ilvl w:val="1"/>
          <w:numId w:val="23"/>
        </w:numPr>
      </w:pPr>
      <w:bookmarkStart w:id="21" w:name="_Toc480788321"/>
      <w:bookmarkStart w:id="22" w:name="_Toc43218067"/>
      <w:r w:rsidRPr="00B65251">
        <w:t>Š</w:t>
      </w:r>
      <w:bookmarkEnd w:id="21"/>
      <w:r w:rsidR="00756324" w:rsidRPr="00B65251">
        <w:t>tátny dlh</w:t>
      </w:r>
      <w:bookmarkEnd w:id="22"/>
    </w:p>
    <w:p w14:paraId="046107AF" w14:textId="237630CA" w:rsidR="001E39B6" w:rsidRDefault="001E39B6" w:rsidP="00CA4572">
      <w:pPr>
        <w:pStyle w:val="Bezriadkovania"/>
        <w:spacing w:before="120" w:after="120"/>
        <w:jc w:val="both"/>
      </w:pPr>
      <w:r w:rsidRPr="001C55CE">
        <w:t>Rozhodujúci objem z</w:t>
      </w:r>
      <w:r>
        <w:t> </w:t>
      </w:r>
      <w:r w:rsidRPr="001C55CE">
        <w:t>dlhu</w:t>
      </w:r>
      <w:r>
        <w:t xml:space="preserve"> VS tvorí štátny dlh, a to 96,03 %. </w:t>
      </w:r>
      <w:r w:rsidRPr="00E11BF6">
        <w:t>Štátny dlh, ktorý je v správe M</w:t>
      </w:r>
      <w:r w:rsidR="005A3208">
        <w:t>F</w:t>
      </w:r>
      <w:r w:rsidRPr="00E11BF6">
        <w:t xml:space="preserve"> SR, dosiahol v menovitej hodnote ku koncu roka 2019 výšku 43</w:t>
      </w:r>
      <w:r>
        <w:t> </w:t>
      </w:r>
      <w:r w:rsidRPr="00E11BF6">
        <w:t>184</w:t>
      </w:r>
      <w:r>
        <w:t>,6 mil. eur. V porovnaní s </w:t>
      </w:r>
      <w:r w:rsidRPr="00E11BF6">
        <w:t>predchádzajúcim rokom vzrástol o</w:t>
      </w:r>
      <w:r>
        <w:t> </w:t>
      </w:r>
      <w:r w:rsidRPr="00E11BF6">
        <w:t>624</w:t>
      </w:r>
      <w:r>
        <w:t xml:space="preserve">,5 mil. eur </w:t>
      </w:r>
      <w:r w:rsidRPr="00E11BF6">
        <w:t xml:space="preserve">(o 1,5 %). Hlavnou príčinou zvyšovania štátneho dlhu </w:t>
      </w:r>
      <w:r>
        <w:t xml:space="preserve">bol </w:t>
      </w:r>
      <w:r w:rsidRPr="00E11BF6">
        <w:t xml:space="preserve">hotovostný schodok </w:t>
      </w:r>
      <w:r>
        <w:t>ŠR</w:t>
      </w:r>
      <w:r w:rsidRPr="00E11BF6">
        <w:t>, ktorý je nutné v priebehu roka financovať externými zdrojmi.</w:t>
      </w:r>
      <w:r w:rsidRPr="00866B7C">
        <w:t xml:space="preserve"> Štátny dlh je v rozhodujúcej miere tvorený záväzkami z emisie štátnych dlhopisov (88,4 %), pri</w:t>
      </w:r>
      <w:r>
        <w:t xml:space="preserve">jatými bankovými úvermi (5,7 %), </w:t>
      </w:r>
      <w:r w:rsidRPr="00866B7C">
        <w:t>záv</w:t>
      </w:r>
      <w:r>
        <w:t>äzkami z nástroja EFSF (4,3 %) a </w:t>
      </w:r>
      <w:r w:rsidRPr="00866B7C">
        <w:t>dlhodob</w:t>
      </w:r>
      <w:r>
        <w:t xml:space="preserve">ými </w:t>
      </w:r>
      <w:r w:rsidRPr="00866B7C">
        <w:t>záväzk</w:t>
      </w:r>
      <w:r>
        <w:t>ami z obchodného styku (0,01 </w:t>
      </w:r>
      <w:r w:rsidRPr="00866B7C">
        <w:t>%).</w:t>
      </w:r>
    </w:p>
    <w:tbl>
      <w:tblPr>
        <w:tblStyle w:val="Mriekatabuky"/>
        <w:tblW w:w="5000" w:type="pct"/>
        <w:tblBorders>
          <w:left w:val="none" w:sz="0" w:space="0" w:color="auto"/>
          <w:right w:val="none" w:sz="0" w:space="0" w:color="auto"/>
        </w:tblBorders>
        <w:tblLook w:val="04A0" w:firstRow="1" w:lastRow="0" w:firstColumn="1" w:lastColumn="0" w:noHBand="0" w:noVBand="1"/>
      </w:tblPr>
      <w:tblGrid>
        <w:gridCol w:w="9289"/>
        <w:gridCol w:w="67"/>
      </w:tblGrid>
      <w:tr w:rsidR="001E39B6" w:rsidRPr="00F716A6" w14:paraId="0944AD36" w14:textId="77777777" w:rsidTr="00303737">
        <w:trPr>
          <w:gridAfter w:val="1"/>
          <w:wAfter w:w="36" w:type="pct"/>
        </w:trPr>
        <w:tc>
          <w:tcPr>
            <w:tcW w:w="4964" w:type="pct"/>
            <w:shd w:val="clear" w:color="auto" w:fill="0070C0"/>
          </w:tcPr>
          <w:p w14:paraId="19706E50" w14:textId="60FBF48F" w:rsidR="001E39B6" w:rsidRPr="000F6B4A" w:rsidRDefault="002A460A" w:rsidP="00CA4572">
            <w:pPr>
              <w:jc w:val="both"/>
              <w:rPr>
                <w:rFonts w:eastAsia="Calibri"/>
                <w:b/>
                <w:color w:val="FF0000"/>
                <w:sz w:val="20"/>
                <w:szCs w:val="20"/>
              </w:rPr>
            </w:pPr>
            <w:r>
              <w:rPr>
                <w:rFonts w:eastAsia="Calibri"/>
                <w:b/>
                <w:color w:val="FFFFFF" w:themeColor="background1"/>
                <w:sz w:val="20"/>
                <w:szCs w:val="20"/>
              </w:rPr>
              <w:lastRenderedPageBreak/>
              <w:t xml:space="preserve">Graf 13: </w:t>
            </w:r>
            <w:r w:rsidR="001E39B6">
              <w:rPr>
                <w:rFonts w:eastAsia="Calibri"/>
                <w:b/>
                <w:color w:val="FFFFFF" w:themeColor="background1"/>
                <w:sz w:val="20"/>
                <w:szCs w:val="20"/>
              </w:rPr>
              <w:t>Výdavky spojené so správou štátneho dlhu v rokoch 2010 až 2019</w:t>
            </w:r>
          </w:p>
        </w:tc>
      </w:tr>
      <w:tr w:rsidR="001E39B6" w14:paraId="1520017F" w14:textId="77777777" w:rsidTr="00D92DD6">
        <w:tblPrEx>
          <w:tblCellMar>
            <w:left w:w="70" w:type="dxa"/>
            <w:right w:w="70" w:type="dxa"/>
          </w:tblCellMar>
        </w:tblPrEx>
        <w:trPr>
          <w:trHeight w:val="2299"/>
        </w:trPr>
        <w:tc>
          <w:tcPr>
            <w:tcW w:w="5000" w:type="pct"/>
            <w:gridSpan w:val="2"/>
            <w:tcBorders>
              <w:left w:val="nil"/>
            </w:tcBorders>
          </w:tcPr>
          <w:p w14:paraId="2AB5A24C" w14:textId="57B31A54" w:rsidR="001E39B6" w:rsidRDefault="00700731" w:rsidP="00CA4572">
            <w:pPr>
              <w:pStyle w:val="Bezriadkovania"/>
            </w:pPr>
            <w:r>
              <w:rPr>
                <w:noProof/>
              </w:rPr>
              <w:drawing>
                <wp:inline distT="0" distB="0" distL="0" distR="0" wp14:anchorId="0D05E222" wp14:editId="5D0DE760">
                  <wp:extent cx="5913120" cy="1691640"/>
                  <wp:effectExtent l="0" t="0" r="0" b="381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07E62E58" w14:textId="77777777" w:rsidR="001E39B6" w:rsidRPr="00EC258B" w:rsidRDefault="001E39B6" w:rsidP="00CA4572">
      <w:pPr>
        <w:pStyle w:val="Bezriadkovania"/>
        <w:jc w:val="both"/>
        <w:rPr>
          <w:i/>
          <w:sz w:val="18"/>
          <w:szCs w:val="20"/>
        </w:rPr>
      </w:pPr>
      <w:r w:rsidRPr="00EC258B">
        <w:rPr>
          <w:i/>
          <w:sz w:val="18"/>
          <w:szCs w:val="20"/>
        </w:rPr>
        <w:t>Zdroj. MF SR</w:t>
      </w:r>
    </w:p>
    <w:p w14:paraId="248CAB34" w14:textId="61E31D4C" w:rsidR="001E39B6" w:rsidRDefault="001E39B6" w:rsidP="00CA4572">
      <w:pPr>
        <w:pStyle w:val="Bezriadkovania"/>
        <w:spacing w:before="120" w:after="120"/>
        <w:jc w:val="both"/>
      </w:pPr>
      <w:r>
        <w:t>V</w:t>
      </w:r>
      <w:r w:rsidR="005A3208">
        <w:t xml:space="preserve"> roku 2019 </w:t>
      </w:r>
      <w:r w:rsidR="0046419A">
        <w:t xml:space="preserve">dosiahli </w:t>
      </w:r>
      <w:r w:rsidR="005A3208">
        <w:t>v</w:t>
      </w:r>
      <w:r>
        <w:t>ýdavky spojené so správou štátneho dlhu 1 037,2 mil. eur</w:t>
      </w:r>
      <w:r w:rsidR="00536BA8">
        <w:t>,</w:t>
      </w:r>
      <w:r>
        <w:t xml:space="preserve"> čo bolo oproti rozpočtu o </w:t>
      </w:r>
      <w:r w:rsidR="005A3208">
        <w:t>12 % menej</w:t>
      </w:r>
      <w:r w:rsidR="00CD2D36">
        <w:t xml:space="preserve"> (Graf 13)</w:t>
      </w:r>
      <w:r>
        <w:t xml:space="preserve">. Medziročne sa náklady na obsluhu štátneho dlhu znížili o 97,4 mil. eur (8,6 %). Pozitívne na náklady </w:t>
      </w:r>
      <w:r w:rsidR="0046419A">
        <w:t>súvisiace s</w:t>
      </w:r>
      <w:r>
        <w:t xml:space="preserve"> obsluh</w:t>
      </w:r>
      <w:r w:rsidR="0046419A">
        <w:t>o</w:t>
      </w:r>
      <w:r>
        <w:t xml:space="preserve">u štátneho dlhu vplýval pokles úrokových sadzieb a </w:t>
      </w:r>
      <w:r w:rsidRPr="00E11BF6">
        <w:t xml:space="preserve">nákupy slovenských štátnych dlhopisov zo strany ECB. Na správu </w:t>
      </w:r>
      <w:r w:rsidR="005A3208">
        <w:t>š</w:t>
      </w:r>
      <w:r w:rsidRPr="00E11BF6">
        <w:t>tátneho dlhu výrazne vplýval systém štátnej pokladnice, ktorý zabezpečil okrem centralizácie finančných zdrojov verejného sektora aj zlepšenú pozíciu štátu voči medzibankovému trhu.</w:t>
      </w:r>
      <w:r>
        <w:t xml:space="preserve"> </w:t>
      </w:r>
      <w:r w:rsidRPr="00E11BF6">
        <w:t xml:space="preserve">Vývoj úrokových sadzieb na finančných trhoch a aktívna správa portfólia sa prejavili v poklese priemernej váženej úrokovej sadzby záväzkov štátu z úrovne 2,25 % p. a. v roku 2018 na úroveň 2,09 % p. a. na konci roka 2019. </w:t>
      </w:r>
    </w:p>
    <w:p w14:paraId="35560889" w14:textId="4FEC0CBB" w:rsidR="001E39B6" w:rsidRPr="005A3208" w:rsidRDefault="001E39B6" w:rsidP="005A3208">
      <w:pPr>
        <w:pStyle w:val="Bezriadkovania"/>
        <w:spacing w:before="120" w:after="120"/>
        <w:jc w:val="both"/>
        <w:rPr>
          <w:b/>
        </w:rPr>
      </w:pPr>
      <w:r>
        <w:t>S</w:t>
      </w:r>
      <w:r w:rsidRPr="00E11BF6">
        <w:t xml:space="preserve">chodok </w:t>
      </w:r>
      <w:r>
        <w:t>ŠR</w:t>
      </w:r>
      <w:r w:rsidR="0014422A">
        <w:t>,</w:t>
      </w:r>
      <w:r>
        <w:t xml:space="preserve"> </w:t>
      </w:r>
      <w:r w:rsidRPr="00E11BF6">
        <w:t>vykázaný v</w:t>
      </w:r>
      <w:r w:rsidR="005A3208">
        <w:t> návrhu ŠZÚ</w:t>
      </w:r>
      <w:r w:rsidRPr="00E11BF6">
        <w:t xml:space="preserve"> S</w:t>
      </w:r>
      <w:r>
        <w:t xml:space="preserve">R </w:t>
      </w:r>
      <w:r w:rsidRPr="00E11BF6">
        <w:t>za rok 2</w:t>
      </w:r>
      <w:r>
        <w:t>019 vo výške 2,2 mld. eur</w:t>
      </w:r>
      <w:r w:rsidR="0014422A">
        <w:t>,</w:t>
      </w:r>
      <w:r w:rsidR="0046419A">
        <w:t xml:space="preserve"> </w:t>
      </w:r>
      <w:r w:rsidRPr="00E11BF6">
        <w:t>bol krytý finančnými prostriedkami získanými z predaja štátnych dlhopisov v hodnote 1,9 mld. eur a prijatými bankovými úvermi v hodnote 0,3 mld. eur.</w:t>
      </w:r>
      <w:r w:rsidR="005A3208">
        <w:t xml:space="preserve"> </w:t>
      </w:r>
      <w:r w:rsidRPr="005A3208">
        <w:rPr>
          <w:b/>
        </w:rPr>
        <w:t xml:space="preserve">Na základe posúdenia charakteristík a parametrov dlhu možno konštatovať priebežné zabezpečovanie zámerov a cieľov definovaných stratégiou riadenia štátneho dlhu. </w:t>
      </w:r>
    </w:p>
    <w:p w14:paraId="40923348" w14:textId="21A955F8" w:rsidR="00F416F9" w:rsidRPr="004C0EBC" w:rsidRDefault="00FF7627" w:rsidP="0094430C">
      <w:pPr>
        <w:pStyle w:val="Nadpis1"/>
        <w:numPr>
          <w:ilvl w:val="0"/>
          <w:numId w:val="23"/>
        </w:numPr>
      </w:pPr>
      <w:bookmarkStart w:id="23" w:name="_Toc480788322"/>
      <w:bookmarkStart w:id="24" w:name="_Toc43218068"/>
      <w:r w:rsidRPr="004C0EBC">
        <w:t>Hospodárenie</w:t>
      </w:r>
      <w:r w:rsidR="00F416F9" w:rsidRPr="004C0EBC">
        <w:t xml:space="preserve"> štátneho rozpočtu na hotovostnej báze</w:t>
      </w:r>
      <w:bookmarkEnd w:id="23"/>
      <w:bookmarkEnd w:id="24"/>
    </w:p>
    <w:p w14:paraId="227540F1" w14:textId="2E161363" w:rsidR="00165F0C" w:rsidRDefault="00AC4666" w:rsidP="00CA4572">
      <w:pPr>
        <w:spacing w:before="120" w:after="120"/>
        <w:jc w:val="both"/>
      </w:pPr>
      <w:r>
        <w:t>Návrh ŠZÚ SR za rok 2019</w:t>
      </w:r>
      <w:r w:rsidR="00165F0C" w:rsidRPr="002E154C">
        <w:t xml:space="preserve"> v súlade s ustanovením § 29 ods. 2 písm. c) zákona o rozpočtových pravidlách VS obsahuje aj údaje o príjmoch, výdavkoch a výsledku rozpočtového hospodárenia ŠR n</w:t>
      </w:r>
      <w:r w:rsidR="00165F0C">
        <w:t xml:space="preserve">a hotovostnom princípe. </w:t>
      </w:r>
      <w:r>
        <w:t>Rozpočet VS na roky 2019 až 2021</w:t>
      </w:r>
      <w:r w:rsidR="00165F0C" w:rsidRPr="002E154C">
        <w:t xml:space="preserve"> bol vypracovaný v intenciách Programového vyhlásenia vlády SR. Stratégia rozpočtovej politiky bola zameraná na ďalšie zlepšovanie rozpočtovej pozície verejnej správy s cieľom zaručiť dlhodobú u</w:t>
      </w:r>
      <w:r w:rsidR="00642A3D">
        <w:t>držateľnosť verejných financií.</w:t>
      </w:r>
    </w:p>
    <w:p w14:paraId="07492F3A" w14:textId="47BFC101" w:rsidR="00165F0C" w:rsidRPr="00B65251" w:rsidRDefault="00165F0C" w:rsidP="007E246F">
      <w:pPr>
        <w:pStyle w:val="Nadpis2"/>
        <w:numPr>
          <w:ilvl w:val="1"/>
          <w:numId w:val="23"/>
        </w:numPr>
      </w:pPr>
      <w:bookmarkStart w:id="25" w:name="_Toc484097737"/>
      <w:bookmarkStart w:id="26" w:name="_Toc514137468"/>
      <w:bookmarkStart w:id="27" w:name="_Toc43218069"/>
      <w:r w:rsidRPr="00B65251">
        <w:t>Základné rozpočtové ukazovatele</w:t>
      </w:r>
      <w:bookmarkEnd w:id="25"/>
      <w:bookmarkEnd w:id="26"/>
      <w:bookmarkEnd w:id="27"/>
    </w:p>
    <w:p w14:paraId="1DA57719" w14:textId="4332A98C" w:rsidR="00733B45" w:rsidRDefault="00733B45" w:rsidP="00CA4572">
      <w:pPr>
        <w:spacing w:before="120" w:after="120"/>
        <w:jc w:val="both"/>
      </w:pPr>
      <w:r w:rsidRPr="00462546">
        <w:t>Základné rozpoč</w:t>
      </w:r>
      <w:r>
        <w:t>tové ukazovatele ŠR pre rok 2019</w:t>
      </w:r>
      <w:r w:rsidRPr="00462546">
        <w:t xml:space="preserve"> boli sc</w:t>
      </w:r>
      <w:r>
        <w:t>hválené zákonom o ŠR na rok 2019</w:t>
      </w:r>
      <w:r w:rsidRPr="00462546">
        <w:t xml:space="preserve">, ktorý stanovil celkové príjmy ŠR v hotovostnom vyjadrení sumou </w:t>
      </w:r>
      <w:r w:rsidR="00F21427">
        <w:t xml:space="preserve">15  497 654 </w:t>
      </w:r>
      <w:r w:rsidRPr="00462546">
        <w:t xml:space="preserve">tis. eur a určil celkové výdavky sumou </w:t>
      </w:r>
      <w:r>
        <w:t>17 538 901</w:t>
      </w:r>
      <w:r w:rsidRPr="00462546">
        <w:t> tis. eur. Schodok ŠR bo</w:t>
      </w:r>
      <w:r>
        <w:t>l</w:t>
      </w:r>
      <w:r w:rsidR="00852362">
        <w:t xml:space="preserve"> vo výške 2 041 247 tis. eur.</w:t>
      </w:r>
    </w:p>
    <w:p w14:paraId="11EA0C2A" w14:textId="204BB5AF" w:rsidR="00852362" w:rsidRDefault="00852362" w:rsidP="00852362">
      <w:pPr>
        <w:jc w:val="both"/>
        <w:rPr>
          <w:rFonts w:eastAsia="Times New Roman" w:cs="Arial"/>
          <w:b/>
          <w:lang w:eastAsia="sk-SK"/>
        </w:rPr>
      </w:pPr>
      <w:r w:rsidRPr="00504FC1">
        <w:t>Schodok ŠR dosiahol v roku 201</w:t>
      </w:r>
      <w:r>
        <w:t>9 výšku 2 201 481</w:t>
      </w:r>
      <w:r w:rsidRPr="00504FC1">
        <w:t xml:space="preserve"> tis. eur, čo bolo o</w:t>
      </w:r>
      <w:r>
        <w:t> 160 234</w:t>
      </w:r>
      <w:r w:rsidRPr="00504FC1">
        <w:rPr>
          <w:rFonts w:cs="Arial"/>
        </w:rPr>
        <w:t xml:space="preserve"> tis. eur </w:t>
      </w:r>
      <w:r>
        <w:rPr>
          <w:rFonts w:cs="Arial"/>
        </w:rPr>
        <w:t>viac</w:t>
      </w:r>
      <w:r w:rsidRPr="00504FC1">
        <w:rPr>
          <w:rFonts w:cs="Arial"/>
        </w:rPr>
        <w:t xml:space="preserve"> </w:t>
      </w:r>
      <w:r>
        <w:rPr>
          <w:rFonts w:cs="Arial"/>
        </w:rPr>
        <w:t>v porovnaní so</w:t>
      </w:r>
      <w:r w:rsidRPr="00504FC1">
        <w:rPr>
          <w:rFonts w:cs="Arial"/>
        </w:rPr>
        <w:t xml:space="preserve"> schválen</w:t>
      </w:r>
      <w:r>
        <w:rPr>
          <w:rFonts w:cs="Arial"/>
        </w:rPr>
        <w:t>ým rozpočtom</w:t>
      </w:r>
      <w:r w:rsidRPr="00504FC1">
        <w:rPr>
          <w:rFonts w:cs="Arial"/>
        </w:rPr>
        <w:t xml:space="preserve"> na rok </w:t>
      </w:r>
      <w:r>
        <w:rPr>
          <w:rFonts w:cs="Arial"/>
        </w:rPr>
        <w:t>2019</w:t>
      </w:r>
      <w:r w:rsidRPr="00504FC1">
        <w:rPr>
          <w:rFonts w:cs="Arial"/>
        </w:rPr>
        <w:t xml:space="preserve">. </w:t>
      </w:r>
      <w:r>
        <w:rPr>
          <w:rFonts w:cs="Arial"/>
        </w:rPr>
        <w:t xml:space="preserve">Medziročne bol vyšší o </w:t>
      </w:r>
      <w:r w:rsidRPr="00733B45">
        <w:rPr>
          <w:rFonts w:eastAsia="Times New Roman" w:cs="Arial"/>
          <w:lang w:eastAsia="sk-SK"/>
        </w:rPr>
        <w:t>1 019</w:t>
      </w:r>
      <w:r>
        <w:rPr>
          <w:rFonts w:eastAsia="Times New Roman" w:cs="Arial"/>
          <w:lang w:eastAsia="sk-SK"/>
        </w:rPr>
        <w:t> </w:t>
      </w:r>
      <w:r w:rsidRPr="00733B45">
        <w:rPr>
          <w:rFonts w:eastAsia="Times New Roman" w:cs="Arial"/>
          <w:lang w:eastAsia="sk-SK"/>
        </w:rPr>
        <w:t>239</w:t>
      </w:r>
      <w:r>
        <w:rPr>
          <w:rFonts w:eastAsia="Times New Roman" w:cs="Arial"/>
          <w:lang w:eastAsia="sk-SK"/>
        </w:rPr>
        <w:t xml:space="preserve"> tis. eur (86,2 %). </w:t>
      </w:r>
      <w:r w:rsidRPr="00733B45">
        <w:rPr>
          <w:rFonts w:eastAsia="Times New Roman" w:cs="Arial"/>
          <w:b/>
          <w:lang w:eastAsia="sk-SK"/>
        </w:rPr>
        <w:t xml:space="preserve">NKÚ </w:t>
      </w:r>
      <w:r w:rsidR="0046419A">
        <w:rPr>
          <w:rFonts w:eastAsia="Times New Roman" w:cs="Arial"/>
          <w:b/>
          <w:lang w:eastAsia="sk-SK"/>
        </w:rPr>
        <w:t xml:space="preserve">SR </w:t>
      </w:r>
      <w:r w:rsidRPr="00733B45">
        <w:rPr>
          <w:rFonts w:eastAsia="Times New Roman" w:cs="Arial"/>
          <w:b/>
          <w:lang w:eastAsia="sk-SK"/>
        </w:rPr>
        <w:t>konštatuje, že hotovostný schodok ŠR bol hlavnou príčinou zvyšovania štátneho dlhu a tak prispel k absolútnemu rastu dlh</w:t>
      </w:r>
      <w:r>
        <w:rPr>
          <w:rFonts w:eastAsia="Times New Roman" w:cs="Arial"/>
          <w:b/>
          <w:lang w:eastAsia="sk-SK"/>
        </w:rPr>
        <w:t>u </w:t>
      </w:r>
      <w:r w:rsidRPr="00733B45">
        <w:rPr>
          <w:rFonts w:eastAsia="Times New Roman" w:cs="Arial"/>
          <w:b/>
          <w:lang w:eastAsia="sk-SK"/>
        </w:rPr>
        <w:t>VS.</w:t>
      </w:r>
    </w:p>
    <w:p w14:paraId="6FD6C84E" w14:textId="27BABC73" w:rsidR="00733B45" w:rsidRDefault="00733B45" w:rsidP="00CA4572">
      <w:pPr>
        <w:spacing w:before="120"/>
        <w:rPr>
          <w:b/>
          <w:i/>
        </w:rPr>
      </w:pPr>
      <w:bookmarkStart w:id="28" w:name="T_1"/>
      <w:r w:rsidRPr="00C86F5B">
        <w:rPr>
          <w:b/>
          <w:i/>
        </w:rPr>
        <w:t>Prehľad o plnení príjmov, výd</w:t>
      </w:r>
      <w:r>
        <w:rPr>
          <w:b/>
          <w:i/>
        </w:rPr>
        <w:t>avkov a schodku ŠR v rokoch 2018</w:t>
      </w:r>
      <w:r w:rsidRPr="00C86F5B">
        <w:rPr>
          <w:b/>
          <w:i/>
        </w:rPr>
        <w:t xml:space="preserve"> a</w:t>
      </w:r>
      <w:r w:rsidR="004C0EBC">
        <w:rPr>
          <w:b/>
          <w:i/>
        </w:rPr>
        <w:t> </w:t>
      </w:r>
      <w:r w:rsidRPr="00C86F5B">
        <w:rPr>
          <w:b/>
          <w:i/>
        </w:rPr>
        <w:t>201</w:t>
      </w:r>
      <w:bookmarkEnd w:id="28"/>
      <w:r>
        <w:rPr>
          <w:b/>
          <w:i/>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236"/>
        <w:gridCol w:w="1123"/>
        <w:gridCol w:w="1049"/>
        <w:gridCol w:w="1198"/>
        <w:gridCol w:w="1336"/>
        <w:gridCol w:w="1211"/>
      </w:tblGrid>
      <w:tr w:rsidR="004C0EBC" w:rsidRPr="00733B45" w14:paraId="372344BE" w14:textId="77777777" w:rsidTr="003B7C66">
        <w:tc>
          <w:tcPr>
            <w:tcW w:w="1173" w:type="pct"/>
            <w:vMerge w:val="restart"/>
            <w:shd w:val="clear" w:color="auto" w:fill="0070C0"/>
            <w:vAlign w:val="center"/>
          </w:tcPr>
          <w:p w14:paraId="68325F06" w14:textId="77777777" w:rsidR="004C0EBC" w:rsidRPr="004C0EBC" w:rsidRDefault="004C0EBC" w:rsidP="00360C35">
            <w:pPr>
              <w:rPr>
                <w:rFonts w:eastAsia="Calibri" w:cs="Times New Roman"/>
                <w:b/>
                <w:bCs/>
                <w:color w:val="FFFFFF"/>
                <w:sz w:val="20"/>
                <w:szCs w:val="20"/>
              </w:rPr>
            </w:pPr>
            <w:r w:rsidRPr="00733B45">
              <w:rPr>
                <w:rFonts w:eastAsia="Calibri" w:cs="Times New Roman"/>
                <w:b/>
                <w:bCs/>
                <w:color w:val="FFFFFF"/>
                <w:sz w:val="20"/>
                <w:szCs w:val="20"/>
              </w:rPr>
              <w:t xml:space="preserve">Ukazovateľ </w:t>
            </w:r>
            <w:r w:rsidRPr="004C0EBC">
              <w:rPr>
                <w:rFonts w:eastAsia="Calibri" w:cs="Times New Roman"/>
                <w:b/>
                <w:bCs/>
                <w:color w:val="FFFFFF"/>
                <w:sz w:val="20"/>
                <w:szCs w:val="20"/>
              </w:rPr>
              <w:t>(v tis. eur)</w:t>
            </w:r>
          </w:p>
        </w:tc>
        <w:tc>
          <w:tcPr>
            <w:tcW w:w="661" w:type="pct"/>
            <w:vMerge w:val="restart"/>
            <w:shd w:val="clear" w:color="auto" w:fill="0070C0"/>
            <w:vAlign w:val="center"/>
          </w:tcPr>
          <w:p w14:paraId="6F745A52" w14:textId="77777777" w:rsidR="004C0EBC" w:rsidRPr="00733B45" w:rsidRDefault="004C0EBC" w:rsidP="00360C35">
            <w:pPr>
              <w:jc w:val="center"/>
              <w:rPr>
                <w:rFonts w:eastAsia="Calibri" w:cs="Times New Roman"/>
                <w:b/>
                <w:color w:val="FFFFFF"/>
                <w:sz w:val="20"/>
                <w:szCs w:val="20"/>
              </w:rPr>
            </w:pPr>
            <w:r w:rsidRPr="00733B45">
              <w:rPr>
                <w:rFonts w:eastAsia="Calibri" w:cs="Times New Roman"/>
                <w:b/>
                <w:color w:val="FFFFFF"/>
                <w:sz w:val="20"/>
                <w:szCs w:val="20"/>
              </w:rPr>
              <w:t>Skutočnosť 2018</w:t>
            </w:r>
          </w:p>
        </w:tc>
        <w:tc>
          <w:tcPr>
            <w:tcW w:w="1162" w:type="pct"/>
            <w:gridSpan w:val="2"/>
            <w:shd w:val="clear" w:color="auto" w:fill="0070C0"/>
            <w:vAlign w:val="center"/>
          </w:tcPr>
          <w:p w14:paraId="5DB9E044" w14:textId="77777777" w:rsidR="004C0EBC" w:rsidRPr="00733B45" w:rsidRDefault="004C0EBC" w:rsidP="00360C35">
            <w:pPr>
              <w:jc w:val="center"/>
              <w:rPr>
                <w:rFonts w:eastAsia="Calibri" w:cs="Times New Roman"/>
                <w:b/>
                <w:color w:val="FFFFFF"/>
                <w:sz w:val="20"/>
                <w:szCs w:val="20"/>
              </w:rPr>
            </w:pPr>
            <w:r w:rsidRPr="00733B45">
              <w:rPr>
                <w:rFonts w:eastAsia="Calibri" w:cs="Times New Roman"/>
                <w:b/>
                <w:color w:val="FFFFFF"/>
                <w:sz w:val="20"/>
                <w:szCs w:val="20"/>
              </w:rPr>
              <w:t>Rozpočet 2019</w:t>
            </w:r>
          </w:p>
        </w:tc>
        <w:tc>
          <w:tcPr>
            <w:tcW w:w="641" w:type="pct"/>
            <w:vMerge w:val="restart"/>
            <w:shd w:val="clear" w:color="auto" w:fill="0070C0"/>
            <w:vAlign w:val="center"/>
          </w:tcPr>
          <w:p w14:paraId="3EDD80DF" w14:textId="77777777" w:rsidR="004C0EBC" w:rsidRPr="00733B45" w:rsidRDefault="004C0EBC" w:rsidP="00360C35">
            <w:pPr>
              <w:jc w:val="center"/>
              <w:rPr>
                <w:rFonts w:eastAsia="Calibri" w:cs="Times New Roman"/>
                <w:b/>
                <w:color w:val="FFFFFF"/>
                <w:sz w:val="20"/>
                <w:szCs w:val="20"/>
              </w:rPr>
            </w:pPr>
            <w:r w:rsidRPr="00733B45">
              <w:rPr>
                <w:rFonts w:eastAsia="Calibri" w:cs="Times New Roman"/>
                <w:b/>
                <w:color w:val="FFFFFF"/>
                <w:sz w:val="20"/>
                <w:szCs w:val="20"/>
              </w:rPr>
              <w:t>Skutočnosť 2019</w:t>
            </w:r>
          </w:p>
        </w:tc>
        <w:tc>
          <w:tcPr>
            <w:tcW w:w="715" w:type="pct"/>
            <w:vMerge w:val="restart"/>
            <w:shd w:val="clear" w:color="auto" w:fill="0070C0"/>
            <w:vAlign w:val="center"/>
          </w:tcPr>
          <w:p w14:paraId="52A5C1A1" w14:textId="1B266137" w:rsidR="002445FF" w:rsidRPr="004C0EBC" w:rsidRDefault="004C0EBC" w:rsidP="002445FF">
            <w:pPr>
              <w:jc w:val="center"/>
              <w:rPr>
                <w:rFonts w:eastAsia="Calibri" w:cs="Times New Roman"/>
                <w:b/>
                <w:bCs/>
                <w:color w:val="FFFFFF"/>
                <w:sz w:val="20"/>
                <w:szCs w:val="20"/>
              </w:rPr>
            </w:pPr>
            <w:r w:rsidRPr="00733B45">
              <w:rPr>
                <w:rFonts w:eastAsia="Calibri" w:cs="Times New Roman"/>
                <w:b/>
                <w:bCs/>
                <w:color w:val="FFFFFF"/>
                <w:sz w:val="20"/>
                <w:szCs w:val="20"/>
              </w:rPr>
              <w:t>Rozdiel</w:t>
            </w:r>
            <w:r w:rsidR="00603815">
              <w:rPr>
                <w:rFonts w:eastAsia="Calibri" w:cs="Times New Roman"/>
                <w:b/>
                <w:bCs/>
                <w:color w:val="FFFFFF"/>
                <w:sz w:val="20"/>
                <w:szCs w:val="20"/>
              </w:rPr>
              <w:t xml:space="preserve"> </w:t>
            </w:r>
            <w:r w:rsidR="00C2335E">
              <w:rPr>
                <w:rFonts w:eastAsia="Calibri" w:cs="Times New Roman"/>
                <w:b/>
                <w:bCs/>
                <w:color w:val="FFFFFF"/>
                <w:sz w:val="20"/>
                <w:szCs w:val="20"/>
              </w:rPr>
              <w:t>2019S-</w:t>
            </w:r>
            <w:r w:rsidR="00603815">
              <w:rPr>
                <w:rFonts w:eastAsia="Calibri" w:cs="Times New Roman"/>
                <w:b/>
                <w:bCs/>
                <w:color w:val="FFFFFF"/>
                <w:sz w:val="20"/>
                <w:szCs w:val="20"/>
              </w:rPr>
              <w:t>2019R</w:t>
            </w:r>
          </w:p>
        </w:tc>
        <w:tc>
          <w:tcPr>
            <w:tcW w:w="648" w:type="pct"/>
            <w:vMerge w:val="restart"/>
            <w:shd w:val="clear" w:color="auto" w:fill="0070C0"/>
            <w:vAlign w:val="center"/>
          </w:tcPr>
          <w:p w14:paraId="453A3B67" w14:textId="77777777" w:rsidR="004C0EBC" w:rsidRDefault="002445FF" w:rsidP="00360C35">
            <w:pPr>
              <w:jc w:val="center"/>
              <w:rPr>
                <w:rFonts w:eastAsia="Calibri" w:cs="Times New Roman"/>
                <w:b/>
                <w:color w:val="FFFFFF"/>
                <w:sz w:val="20"/>
                <w:szCs w:val="20"/>
              </w:rPr>
            </w:pPr>
            <w:r>
              <w:rPr>
                <w:rFonts w:eastAsia="Calibri" w:cs="Times New Roman"/>
                <w:b/>
                <w:color w:val="FFFFFF"/>
                <w:sz w:val="20"/>
                <w:szCs w:val="20"/>
              </w:rPr>
              <w:t>Index (v %)</w:t>
            </w:r>
          </w:p>
          <w:p w14:paraId="3C02166E" w14:textId="22A30ED7" w:rsidR="002445FF" w:rsidRPr="00733B45" w:rsidRDefault="002445FF" w:rsidP="00360C35">
            <w:pPr>
              <w:jc w:val="center"/>
              <w:rPr>
                <w:rFonts w:eastAsia="Calibri" w:cs="Times New Roman"/>
                <w:b/>
                <w:color w:val="FFFFFF"/>
                <w:sz w:val="20"/>
                <w:szCs w:val="20"/>
              </w:rPr>
            </w:pPr>
            <w:r>
              <w:rPr>
                <w:rFonts w:eastAsia="Calibri" w:cs="Times New Roman"/>
                <w:b/>
                <w:color w:val="FFFFFF"/>
                <w:sz w:val="20"/>
                <w:szCs w:val="20"/>
              </w:rPr>
              <w:t>2019S/2018S</w:t>
            </w:r>
          </w:p>
        </w:tc>
      </w:tr>
      <w:tr w:rsidR="004C0EBC" w:rsidRPr="00733B45" w14:paraId="3E4C02FD" w14:textId="77777777" w:rsidTr="003B7C66">
        <w:tc>
          <w:tcPr>
            <w:tcW w:w="1173" w:type="pct"/>
            <w:vMerge/>
            <w:shd w:val="clear" w:color="auto" w:fill="auto"/>
          </w:tcPr>
          <w:p w14:paraId="5F10EB23" w14:textId="77777777" w:rsidR="004C0EBC" w:rsidRPr="00733B45" w:rsidRDefault="004C0EBC" w:rsidP="00360C35">
            <w:pPr>
              <w:rPr>
                <w:rFonts w:eastAsia="Calibri" w:cs="Times New Roman"/>
                <w:sz w:val="20"/>
                <w:szCs w:val="20"/>
              </w:rPr>
            </w:pPr>
          </w:p>
        </w:tc>
        <w:tc>
          <w:tcPr>
            <w:tcW w:w="661" w:type="pct"/>
            <w:vMerge/>
            <w:shd w:val="clear" w:color="auto" w:fill="auto"/>
            <w:vAlign w:val="bottom"/>
          </w:tcPr>
          <w:p w14:paraId="27198DCF" w14:textId="77777777" w:rsidR="004C0EBC" w:rsidRPr="00733B45" w:rsidRDefault="004C0EBC" w:rsidP="00360C35">
            <w:pPr>
              <w:rPr>
                <w:rFonts w:eastAsia="Calibri" w:cs="Times New Roman"/>
                <w:sz w:val="20"/>
                <w:szCs w:val="20"/>
              </w:rPr>
            </w:pPr>
          </w:p>
        </w:tc>
        <w:tc>
          <w:tcPr>
            <w:tcW w:w="601" w:type="pct"/>
            <w:shd w:val="clear" w:color="auto" w:fill="0070C0"/>
            <w:vAlign w:val="center"/>
          </w:tcPr>
          <w:p w14:paraId="1A620DDA" w14:textId="77777777" w:rsidR="004C0EBC" w:rsidRPr="00733B45" w:rsidRDefault="004C0EBC" w:rsidP="00360C35">
            <w:pPr>
              <w:jc w:val="center"/>
              <w:rPr>
                <w:rFonts w:eastAsia="Calibri" w:cs="Times New Roman"/>
                <w:b/>
                <w:color w:val="FFFFFF"/>
                <w:sz w:val="20"/>
                <w:szCs w:val="20"/>
              </w:rPr>
            </w:pPr>
            <w:r w:rsidRPr="00733B45">
              <w:rPr>
                <w:rFonts w:eastAsia="Calibri" w:cs="Times New Roman"/>
                <w:b/>
                <w:color w:val="FFFFFF"/>
                <w:sz w:val="20"/>
                <w:szCs w:val="20"/>
              </w:rPr>
              <w:t>schválený</w:t>
            </w:r>
          </w:p>
        </w:tc>
        <w:tc>
          <w:tcPr>
            <w:tcW w:w="561" w:type="pct"/>
            <w:shd w:val="clear" w:color="auto" w:fill="0070C0"/>
            <w:vAlign w:val="center"/>
          </w:tcPr>
          <w:p w14:paraId="3EBA1AE5" w14:textId="77777777" w:rsidR="004C0EBC" w:rsidRPr="00733B45" w:rsidRDefault="004C0EBC" w:rsidP="00360C35">
            <w:pPr>
              <w:jc w:val="center"/>
              <w:rPr>
                <w:rFonts w:eastAsia="Calibri" w:cs="Times New Roman"/>
                <w:b/>
                <w:color w:val="FFFFFF"/>
                <w:sz w:val="20"/>
                <w:szCs w:val="20"/>
              </w:rPr>
            </w:pPr>
            <w:r w:rsidRPr="00733B45">
              <w:rPr>
                <w:rFonts w:eastAsia="Calibri" w:cs="Times New Roman"/>
                <w:b/>
                <w:color w:val="FFFFFF"/>
                <w:sz w:val="20"/>
                <w:szCs w:val="20"/>
              </w:rPr>
              <w:t>upravený</w:t>
            </w:r>
          </w:p>
        </w:tc>
        <w:tc>
          <w:tcPr>
            <w:tcW w:w="641" w:type="pct"/>
            <w:vMerge/>
            <w:shd w:val="clear" w:color="auto" w:fill="auto"/>
            <w:vAlign w:val="bottom"/>
          </w:tcPr>
          <w:p w14:paraId="04A68D99" w14:textId="77777777" w:rsidR="004C0EBC" w:rsidRPr="00733B45" w:rsidRDefault="004C0EBC" w:rsidP="00360C35">
            <w:pPr>
              <w:rPr>
                <w:rFonts w:eastAsia="Calibri" w:cs="Times New Roman"/>
                <w:sz w:val="20"/>
                <w:szCs w:val="20"/>
              </w:rPr>
            </w:pPr>
          </w:p>
        </w:tc>
        <w:tc>
          <w:tcPr>
            <w:tcW w:w="715" w:type="pct"/>
            <w:vMerge/>
            <w:shd w:val="clear" w:color="auto" w:fill="auto"/>
            <w:vAlign w:val="bottom"/>
          </w:tcPr>
          <w:p w14:paraId="0492E839" w14:textId="77777777" w:rsidR="004C0EBC" w:rsidRPr="00733B45" w:rsidRDefault="004C0EBC" w:rsidP="00360C35">
            <w:pPr>
              <w:rPr>
                <w:rFonts w:eastAsia="Calibri" w:cs="Times New Roman"/>
                <w:sz w:val="20"/>
                <w:szCs w:val="20"/>
              </w:rPr>
            </w:pPr>
          </w:p>
        </w:tc>
        <w:tc>
          <w:tcPr>
            <w:tcW w:w="648" w:type="pct"/>
            <w:vMerge/>
            <w:shd w:val="clear" w:color="auto" w:fill="auto"/>
            <w:vAlign w:val="bottom"/>
          </w:tcPr>
          <w:p w14:paraId="12E38AAE" w14:textId="77777777" w:rsidR="004C0EBC" w:rsidRPr="00733B45" w:rsidRDefault="004C0EBC" w:rsidP="00360C35">
            <w:pPr>
              <w:rPr>
                <w:rFonts w:eastAsia="Calibri" w:cs="Times New Roman"/>
                <w:sz w:val="20"/>
                <w:szCs w:val="20"/>
              </w:rPr>
            </w:pPr>
          </w:p>
        </w:tc>
      </w:tr>
      <w:tr w:rsidR="004C0EBC" w:rsidRPr="00733B45" w14:paraId="6782B4CA" w14:textId="77777777" w:rsidTr="003B7C66">
        <w:tc>
          <w:tcPr>
            <w:tcW w:w="1173" w:type="pct"/>
            <w:shd w:val="clear" w:color="auto" w:fill="auto"/>
            <w:vAlign w:val="center"/>
          </w:tcPr>
          <w:p w14:paraId="0944CD7C" w14:textId="77777777" w:rsidR="004C0EBC" w:rsidRPr="00733B45" w:rsidRDefault="004C0EBC" w:rsidP="00360C35">
            <w:pPr>
              <w:rPr>
                <w:rFonts w:eastAsia="Calibri" w:cs="Times New Roman"/>
                <w:b/>
                <w:bCs/>
                <w:sz w:val="20"/>
                <w:szCs w:val="20"/>
              </w:rPr>
            </w:pPr>
            <w:r w:rsidRPr="00733B45">
              <w:rPr>
                <w:rFonts w:eastAsia="Calibri" w:cs="Times New Roman"/>
                <w:b/>
                <w:bCs/>
                <w:sz w:val="20"/>
                <w:szCs w:val="20"/>
              </w:rPr>
              <w:t xml:space="preserve">Celkové príjmy </w:t>
            </w:r>
          </w:p>
        </w:tc>
        <w:tc>
          <w:tcPr>
            <w:tcW w:w="661" w:type="pct"/>
            <w:shd w:val="clear" w:color="auto" w:fill="auto"/>
            <w:vAlign w:val="bottom"/>
          </w:tcPr>
          <w:p w14:paraId="2F8BD42E"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b/>
                <w:bCs/>
                <w:color w:val="000000"/>
                <w:sz w:val="20"/>
                <w:szCs w:val="20"/>
              </w:rPr>
              <w:t xml:space="preserve">15 381 013 </w:t>
            </w:r>
          </w:p>
        </w:tc>
        <w:tc>
          <w:tcPr>
            <w:tcW w:w="601" w:type="pct"/>
            <w:shd w:val="clear" w:color="auto" w:fill="auto"/>
            <w:vAlign w:val="bottom"/>
          </w:tcPr>
          <w:p w14:paraId="2257C327"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b/>
                <w:bCs/>
                <w:color w:val="000000"/>
                <w:sz w:val="20"/>
                <w:szCs w:val="20"/>
              </w:rPr>
              <w:t xml:space="preserve">15 497 654 </w:t>
            </w:r>
          </w:p>
        </w:tc>
        <w:tc>
          <w:tcPr>
            <w:tcW w:w="561" w:type="pct"/>
            <w:shd w:val="clear" w:color="auto" w:fill="auto"/>
            <w:vAlign w:val="bottom"/>
          </w:tcPr>
          <w:p w14:paraId="1BE66BDD"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b/>
                <w:bCs/>
                <w:color w:val="000000"/>
                <w:sz w:val="20"/>
                <w:szCs w:val="20"/>
              </w:rPr>
              <w:t xml:space="preserve">15 943 099 </w:t>
            </w:r>
          </w:p>
        </w:tc>
        <w:tc>
          <w:tcPr>
            <w:tcW w:w="641" w:type="pct"/>
            <w:shd w:val="clear" w:color="auto" w:fill="auto"/>
            <w:vAlign w:val="bottom"/>
          </w:tcPr>
          <w:p w14:paraId="71C4B5B4"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b/>
                <w:bCs/>
                <w:color w:val="000000"/>
                <w:sz w:val="20"/>
                <w:szCs w:val="20"/>
              </w:rPr>
              <w:t xml:space="preserve">15 825 535 </w:t>
            </w:r>
          </w:p>
        </w:tc>
        <w:tc>
          <w:tcPr>
            <w:tcW w:w="715" w:type="pct"/>
            <w:shd w:val="clear" w:color="auto" w:fill="auto"/>
            <w:vAlign w:val="bottom"/>
          </w:tcPr>
          <w:p w14:paraId="227BB1FA" w14:textId="77777777" w:rsidR="004C0EBC" w:rsidRPr="00733B45" w:rsidRDefault="004C0EBC" w:rsidP="00360C35">
            <w:pPr>
              <w:jc w:val="right"/>
              <w:rPr>
                <w:rFonts w:eastAsia="Times New Roman" w:cs="Arial CE"/>
                <w:b/>
                <w:bCs/>
                <w:sz w:val="20"/>
                <w:szCs w:val="20"/>
                <w:lang w:eastAsia="sk-SK"/>
              </w:rPr>
            </w:pPr>
            <w:r w:rsidRPr="00733B45">
              <w:rPr>
                <w:rFonts w:eastAsia="Times New Roman" w:cs="Arial CE"/>
                <w:b/>
                <w:bCs/>
                <w:sz w:val="20"/>
                <w:szCs w:val="20"/>
                <w:lang w:eastAsia="sk-SK"/>
              </w:rPr>
              <w:t>-117 564</w:t>
            </w:r>
          </w:p>
        </w:tc>
        <w:tc>
          <w:tcPr>
            <w:tcW w:w="648" w:type="pct"/>
            <w:shd w:val="clear" w:color="auto" w:fill="auto"/>
            <w:vAlign w:val="bottom"/>
          </w:tcPr>
          <w:p w14:paraId="7E6799C2" w14:textId="77777777" w:rsidR="004C0EBC" w:rsidRPr="00733B45" w:rsidRDefault="004C0EBC" w:rsidP="006153F6">
            <w:pPr>
              <w:jc w:val="center"/>
              <w:rPr>
                <w:rFonts w:eastAsia="Times New Roman" w:cs="Arial"/>
                <w:b/>
                <w:bCs/>
                <w:sz w:val="20"/>
                <w:szCs w:val="20"/>
                <w:lang w:eastAsia="sk-SK"/>
              </w:rPr>
            </w:pPr>
            <w:r w:rsidRPr="00733B45">
              <w:rPr>
                <w:rFonts w:eastAsia="Times New Roman" w:cs="Arial"/>
                <w:b/>
                <w:bCs/>
                <w:sz w:val="20"/>
                <w:szCs w:val="20"/>
                <w:lang w:eastAsia="sk-SK"/>
              </w:rPr>
              <w:t>102,9</w:t>
            </w:r>
          </w:p>
        </w:tc>
      </w:tr>
      <w:tr w:rsidR="004C0EBC" w:rsidRPr="00733B45" w14:paraId="667050B0" w14:textId="77777777" w:rsidTr="003B7C66">
        <w:tc>
          <w:tcPr>
            <w:tcW w:w="1173" w:type="pct"/>
            <w:shd w:val="clear" w:color="auto" w:fill="auto"/>
            <w:vAlign w:val="center"/>
          </w:tcPr>
          <w:p w14:paraId="1C5E9967" w14:textId="77777777" w:rsidR="004C0EBC" w:rsidRPr="00733B45" w:rsidRDefault="004C0EBC" w:rsidP="00360C35">
            <w:pPr>
              <w:rPr>
                <w:rFonts w:eastAsia="Calibri" w:cs="Times New Roman"/>
                <w:bCs/>
                <w:sz w:val="20"/>
                <w:szCs w:val="20"/>
              </w:rPr>
            </w:pPr>
            <w:r w:rsidRPr="00733B45">
              <w:rPr>
                <w:rFonts w:eastAsia="Calibri" w:cs="Times New Roman"/>
                <w:bCs/>
                <w:sz w:val="20"/>
                <w:szCs w:val="20"/>
              </w:rPr>
              <w:t>Daňové príjmy</w:t>
            </w:r>
          </w:p>
        </w:tc>
        <w:tc>
          <w:tcPr>
            <w:tcW w:w="661" w:type="pct"/>
            <w:shd w:val="clear" w:color="auto" w:fill="auto"/>
            <w:vAlign w:val="bottom"/>
          </w:tcPr>
          <w:p w14:paraId="742FCD18"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11 965 782 </w:t>
            </w:r>
          </w:p>
        </w:tc>
        <w:tc>
          <w:tcPr>
            <w:tcW w:w="601" w:type="pct"/>
            <w:shd w:val="clear" w:color="auto" w:fill="auto"/>
            <w:vAlign w:val="bottom"/>
          </w:tcPr>
          <w:p w14:paraId="68DC1943"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12 464 557 </w:t>
            </w:r>
          </w:p>
        </w:tc>
        <w:tc>
          <w:tcPr>
            <w:tcW w:w="561" w:type="pct"/>
            <w:shd w:val="clear" w:color="auto" w:fill="auto"/>
            <w:vAlign w:val="bottom"/>
          </w:tcPr>
          <w:p w14:paraId="5EC20FCE"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12 464 557 </w:t>
            </w:r>
          </w:p>
        </w:tc>
        <w:tc>
          <w:tcPr>
            <w:tcW w:w="641" w:type="pct"/>
            <w:shd w:val="clear" w:color="auto" w:fill="auto"/>
            <w:vAlign w:val="bottom"/>
          </w:tcPr>
          <w:p w14:paraId="55E54453"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12 336 444 </w:t>
            </w:r>
          </w:p>
        </w:tc>
        <w:tc>
          <w:tcPr>
            <w:tcW w:w="715" w:type="pct"/>
            <w:shd w:val="clear" w:color="auto" w:fill="auto"/>
            <w:vAlign w:val="bottom"/>
          </w:tcPr>
          <w:p w14:paraId="577B12F8" w14:textId="77777777" w:rsidR="004C0EBC" w:rsidRPr="00733B45" w:rsidRDefault="004C0EBC" w:rsidP="00360C35">
            <w:pPr>
              <w:jc w:val="right"/>
              <w:rPr>
                <w:rFonts w:eastAsia="Times New Roman" w:cs="Arial CE"/>
                <w:sz w:val="20"/>
                <w:szCs w:val="20"/>
                <w:lang w:eastAsia="sk-SK"/>
              </w:rPr>
            </w:pPr>
            <w:r w:rsidRPr="00733B45">
              <w:rPr>
                <w:rFonts w:eastAsia="Times New Roman" w:cs="Arial CE"/>
                <w:sz w:val="20"/>
                <w:szCs w:val="20"/>
                <w:lang w:eastAsia="sk-SK"/>
              </w:rPr>
              <w:t>-128 113</w:t>
            </w:r>
          </w:p>
        </w:tc>
        <w:tc>
          <w:tcPr>
            <w:tcW w:w="648" w:type="pct"/>
            <w:shd w:val="clear" w:color="auto" w:fill="auto"/>
            <w:vAlign w:val="bottom"/>
          </w:tcPr>
          <w:p w14:paraId="2793A6BC" w14:textId="77777777" w:rsidR="004C0EBC" w:rsidRPr="00733B45" w:rsidRDefault="004C0EBC" w:rsidP="006153F6">
            <w:pPr>
              <w:jc w:val="center"/>
              <w:rPr>
                <w:rFonts w:eastAsia="Times New Roman" w:cs="Arial"/>
                <w:sz w:val="20"/>
                <w:szCs w:val="20"/>
                <w:lang w:eastAsia="sk-SK"/>
              </w:rPr>
            </w:pPr>
            <w:r w:rsidRPr="00733B45">
              <w:rPr>
                <w:rFonts w:eastAsia="Times New Roman" w:cs="Arial"/>
                <w:sz w:val="20"/>
                <w:szCs w:val="20"/>
                <w:lang w:eastAsia="sk-SK"/>
              </w:rPr>
              <w:t>103,1</w:t>
            </w:r>
          </w:p>
        </w:tc>
      </w:tr>
      <w:tr w:rsidR="004C0EBC" w:rsidRPr="00733B45" w14:paraId="0D25CF20" w14:textId="77777777" w:rsidTr="003B7C66">
        <w:tc>
          <w:tcPr>
            <w:tcW w:w="1173" w:type="pct"/>
            <w:shd w:val="clear" w:color="auto" w:fill="auto"/>
            <w:vAlign w:val="center"/>
          </w:tcPr>
          <w:p w14:paraId="7DD45A55" w14:textId="77777777" w:rsidR="004C0EBC" w:rsidRPr="00733B45" w:rsidRDefault="004C0EBC" w:rsidP="00360C35">
            <w:pPr>
              <w:rPr>
                <w:rFonts w:eastAsia="Calibri" w:cs="Times New Roman"/>
                <w:bCs/>
                <w:sz w:val="20"/>
                <w:szCs w:val="20"/>
              </w:rPr>
            </w:pPr>
            <w:r w:rsidRPr="00733B45">
              <w:rPr>
                <w:rFonts w:eastAsia="Calibri" w:cs="Times New Roman"/>
                <w:bCs/>
                <w:sz w:val="20"/>
                <w:szCs w:val="20"/>
              </w:rPr>
              <w:t>Nedaňové príjmy</w:t>
            </w:r>
          </w:p>
        </w:tc>
        <w:tc>
          <w:tcPr>
            <w:tcW w:w="661" w:type="pct"/>
            <w:shd w:val="clear" w:color="auto" w:fill="auto"/>
            <w:vAlign w:val="bottom"/>
          </w:tcPr>
          <w:p w14:paraId="569A6C62"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1 211 597 </w:t>
            </w:r>
          </w:p>
        </w:tc>
        <w:tc>
          <w:tcPr>
            <w:tcW w:w="601" w:type="pct"/>
            <w:shd w:val="clear" w:color="auto" w:fill="auto"/>
            <w:vAlign w:val="bottom"/>
          </w:tcPr>
          <w:p w14:paraId="7D3CCF07"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1 331 345 </w:t>
            </w:r>
          </w:p>
        </w:tc>
        <w:tc>
          <w:tcPr>
            <w:tcW w:w="561" w:type="pct"/>
            <w:shd w:val="clear" w:color="auto" w:fill="auto"/>
            <w:vAlign w:val="bottom"/>
          </w:tcPr>
          <w:p w14:paraId="20DF412C"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1 316 547 </w:t>
            </w:r>
          </w:p>
        </w:tc>
        <w:tc>
          <w:tcPr>
            <w:tcW w:w="641" w:type="pct"/>
            <w:shd w:val="clear" w:color="auto" w:fill="auto"/>
            <w:vAlign w:val="bottom"/>
          </w:tcPr>
          <w:p w14:paraId="2FD3F1C1"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1 327 516 </w:t>
            </w:r>
          </w:p>
        </w:tc>
        <w:tc>
          <w:tcPr>
            <w:tcW w:w="715" w:type="pct"/>
            <w:shd w:val="clear" w:color="auto" w:fill="auto"/>
            <w:vAlign w:val="bottom"/>
          </w:tcPr>
          <w:p w14:paraId="70EE3880" w14:textId="77777777" w:rsidR="004C0EBC" w:rsidRPr="00733B45" w:rsidRDefault="004C0EBC" w:rsidP="00360C35">
            <w:pPr>
              <w:jc w:val="right"/>
              <w:rPr>
                <w:rFonts w:eastAsia="Times New Roman" w:cs="Arial CE"/>
                <w:sz w:val="20"/>
                <w:szCs w:val="20"/>
                <w:lang w:eastAsia="sk-SK"/>
              </w:rPr>
            </w:pPr>
            <w:r w:rsidRPr="00733B45">
              <w:rPr>
                <w:rFonts w:eastAsia="Times New Roman" w:cs="Arial CE"/>
                <w:sz w:val="20"/>
                <w:szCs w:val="20"/>
                <w:lang w:eastAsia="sk-SK"/>
              </w:rPr>
              <w:t>10 969</w:t>
            </w:r>
          </w:p>
        </w:tc>
        <w:tc>
          <w:tcPr>
            <w:tcW w:w="648" w:type="pct"/>
            <w:shd w:val="clear" w:color="auto" w:fill="auto"/>
            <w:vAlign w:val="bottom"/>
          </w:tcPr>
          <w:p w14:paraId="7DFA79F6" w14:textId="77777777" w:rsidR="004C0EBC" w:rsidRPr="00733B45" w:rsidRDefault="004C0EBC" w:rsidP="006153F6">
            <w:pPr>
              <w:jc w:val="center"/>
              <w:rPr>
                <w:rFonts w:eastAsia="Times New Roman" w:cs="Arial"/>
                <w:sz w:val="20"/>
                <w:szCs w:val="20"/>
                <w:lang w:eastAsia="sk-SK"/>
              </w:rPr>
            </w:pPr>
            <w:r w:rsidRPr="00733B45">
              <w:rPr>
                <w:rFonts w:eastAsia="Times New Roman" w:cs="Arial"/>
                <w:sz w:val="20"/>
                <w:szCs w:val="20"/>
                <w:lang w:eastAsia="sk-SK"/>
              </w:rPr>
              <w:t>109,6</w:t>
            </w:r>
          </w:p>
        </w:tc>
      </w:tr>
      <w:tr w:rsidR="004C0EBC" w:rsidRPr="00733B45" w14:paraId="699FC477" w14:textId="77777777" w:rsidTr="003B7C66">
        <w:tc>
          <w:tcPr>
            <w:tcW w:w="1173" w:type="pct"/>
            <w:shd w:val="clear" w:color="auto" w:fill="auto"/>
            <w:vAlign w:val="center"/>
          </w:tcPr>
          <w:p w14:paraId="7E87C2BB" w14:textId="77777777" w:rsidR="004C0EBC" w:rsidRPr="00733B45" w:rsidRDefault="004C0EBC" w:rsidP="00360C35">
            <w:pPr>
              <w:rPr>
                <w:rFonts w:eastAsia="Calibri" w:cs="Times New Roman"/>
                <w:bCs/>
                <w:sz w:val="20"/>
                <w:szCs w:val="20"/>
              </w:rPr>
            </w:pPr>
            <w:r w:rsidRPr="00733B45">
              <w:rPr>
                <w:rFonts w:eastAsia="Calibri" w:cs="Times New Roman"/>
                <w:bCs/>
                <w:sz w:val="20"/>
                <w:szCs w:val="20"/>
              </w:rPr>
              <w:t>Granty a transfery</w:t>
            </w:r>
          </w:p>
        </w:tc>
        <w:tc>
          <w:tcPr>
            <w:tcW w:w="661" w:type="pct"/>
            <w:shd w:val="clear" w:color="auto" w:fill="auto"/>
            <w:vAlign w:val="bottom"/>
          </w:tcPr>
          <w:p w14:paraId="39468468"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2 203 634 </w:t>
            </w:r>
          </w:p>
        </w:tc>
        <w:tc>
          <w:tcPr>
            <w:tcW w:w="601" w:type="pct"/>
            <w:shd w:val="clear" w:color="auto" w:fill="auto"/>
            <w:vAlign w:val="bottom"/>
          </w:tcPr>
          <w:p w14:paraId="61526903"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1 701 752 </w:t>
            </w:r>
          </w:p>
        </w:tc>
        <w:tc>
          <w:tcPr>
            <w:tcW w:w="561" w:type="pct"/>
            <w:shd w:val="clear" w:color="auto" w:fill="auto"/>
            <w:vAlign w:val="bottom"/>
          </w:tcPr>
          <w:p w14:paraId="31939320"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2 161 995 </w:t>
            </w:r>
          </w:p>
        </w:tc>
        <w:tc>
          <w:tcPr>
            <w:tcW w:w="641" w:type="pct"/>
            <w:shd w:val="clear" w:color="auto" w:fill="auto"/>
            <w:vAlign w:val="bottom"/>
          </w:tcPr>
          <w:p w14:paraId="057FEFD8"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2 161 575 </w:t>
            </w:r>
          </w:p>
        </w:tc>
        <w:tc>
          <w:tcPr>
            <w:tcW w:w="715" w:type="pct"/>
            <w:shd w:val="clear" w:color="auto" w:fill="auto"/>
            <w:vAlign w:val="bottom"/>
          </w:tcPr>
          <w:p w14:paraId="1820F44F" w14:textId="77777777" w:rsidR="004C0EBC" w:rsidRPr="00733B45" w:rsidRDefault="004C0EBC" w:rsidP="00360C35">
            <w:pPr>
              <w:jc w:val="right"/>
              <w:rPr>
                <w:rFonts w:eastAsia="Times New Roman" w:cs="Arial CE"/>
                <w:sz w:val="20"/>
                <w:szCs w:val="20"/>
                <w:lang w:eastAsia="sk-SK"/>
              </w:rPr>
            </w:pPr>
            <w:r w:rsidRPr="00733B45">
              <w:rPr>
                <w:rFonts w:eastAsia="Times New Roman" w:cs="Arial CE"/>
                <w:sz w:val="20"/>
                <w:szCs w:val="20"/>
                <w:lang w:eastAsia="sk-SK"/>
              </w:rPr>
              <w:t>-420</w:t>
            </w:r>
          </w:p>
        </w:tc>
        <w:tc>
          <w:tcPr>
            <w:tcW w:w="648" w:type="pct"/>
            <w:shd w:val="clear" w:color="auto" w:fill="auto"/>
            <w:vAlign w:val="bottom"/>
          </w:tcPr>
          <w:p w14:paraId="43492F13" w14:textId="77777777" w:rsidR="004C0EBC" w:rsidRPr="00733B45" w:rsidRDefault="004C0EBC" w:rsidP="006153F6">
            <w:pPr>
              <w:jc w:val="center"/>
              <w:rPr>
                <w:rFonts w:eastAsia="Times New Roman" w:cs="Arial"/>
                <w:sz w:val="20"/>
                <w:szCs w:val="20"/>
                <w:lang w:eastAsia="sk-SK"/>
              </w:rPr>
            </w:pPr>
            <w:r w:rsidRPr="00733B45">
              <w:rPr>
                <w:rFonts w:eastAsia="Times New Roman" w:cs="Arial"/>
                <w:sz w:val="20"/>
                <w:szCs w:val="20"/>
                <w:lang w:eastAsia="sk-SK"/>
              </w:rPr>
              <w:t>98,1</w:t>
            </w:r>
          </w:p>
        </w:tc>
      </w:tr>
      <w:tr w:rsidR="004C0EBC" w:rsidRPr="00733B45" w14:paraId="4D412E5A" w14:textId="77777777" w:rsidTr="003B7C66">
        <w:tc>
          <w:tcPr>
            <w:tcW w:w="1173" w:type="pct"/>
            <w:shd w:val="clear" w:color="auto" w:fill="auto"/>
            <w:vAlign w:val="center"/>
          </w:tcPr>
          <w:p w14:paraId="3140FDE5" w14:textId="77777777" w:rsidR="004C0EBC" w:rsidRPr="00733B45" w:rsidRDefault="004C0EBC" w:rsidP="00360C35">
            <w:pPr>
              <w:rPr>
                <w:rFonts w:eastAsia="Calibri" w:cs="Times New Roman"/>
                <w:b/>
                <w:bCs/>
                <w:sz w:val="20"/>
                <w:szCs w:val="20"/>
              </w:rPr>
            </w:pPr>
            <w:r w:rsidRPr="00733B45">
              <w:rPr>
                <w:rFonts w:eastAsia="Calibri" w:cs="Times New Roman"/>
                <w:b/>
                <w:bCs/>
                <w:sz w:val="20"/>
                <w:szCs w:val="20"/>
              </w:rPr>
              <w:t>Celkové výdavky</w:t>
            </w:r>
          </w:p>
        </w:tc>
        <w:tc>
          <w:tcPr>
            <w:tcW w:w="661" w:type="pct"/>
            <w:shd w:val="clear" w:color="auto" w:fill="auto"/>
            <w:vAlign w:val="bottom"/>
          </w:tcPr>
          <w:p w14:paraId="25590CEA"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b/>
                <w:bCs/>
                <w:color w:val="000000"/>
                <w:sz w:val="20"/>
                <w:szCs w:val="20"/>
              </w:rPr>
              <w:t xml:space="preserve">16 563 255 </w:t>
            </w:r>
          </w:p>
        </w:tc>
        <w:tc>
          <w:tcPr>
            <w:tcW w:w="601" w:type="pct"/>
            <w:shd w:val="clear" w:color="auto" w:fill="auto"/>
            <w:vAlign w:val="bottom"/>
          </w:tcPr>
          <w:p w14:paraId="645134DD"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b/>
                <w:bCs/>
                <w:color w:val="000000"/>
                <w:sz w:val="20"/>
                <w:szCs w:val="20"/>
              </w:rPr>
              <w:t xml:space="preserve">17 538 901 </w:t>
            </w:r>
          </w:p>
        </w:tc>
        <w:tc>
          <w:tcPr>
            <w:tcW w:w="561" w:type="pct"/>
            <w:shd w:val="clear" w:color="auto" w:fill="auto"/>
            <w:vAlign w:val="bottom"/>
          </w:tcPr>
          <w:p w14:paraId="1A65E38B"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b/>
                <w:bCs/>
                <w:color w:val="000000"/>
                <w:sz w:val="20"/>
                <w:szCs w:val="20"/>
              </w:rPr>
              <w:t xml:space="preserve">18 253 558 </w:t>
            </w:r>
          </w:p>
        </w:tc>
        <w:tc>
          <w:tcPr>
            <w:tcW w:w="641" w:type="pct"/>
            <w:shd w:val="clear" w:color="auto" w:fill="auto"/>
            <w:vAlign w:val="bottom"/>
          </w:tcPr>
          <w:p w14:paraId="51D71C7E"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b/>
                <w:bCs/>
                <w:color w:val="000000"/>
                <w:sz w:val="20"/>
                <w:szCs w:val="20"/>
              </w:rPr>
              <w:t xml:space="preserve">18 027 016 </w:t>
            </w:r>
          </w:p>
        </w:tc>
        <w:tc>
          <w:tcPr>
            <w:tcW w:w="715" w:type="pct"/>
            <w:shd w:val="clear" w:color="auto" w:fill="auto"/>
            <w:vAlign w:val="bottom"/>
          </w:tcPr>
          <w:p w14:paraId="446CF52D" w14:textId="77777777" w:rsidR="004C0EBC" w:rsidRPr="00733B45" w:rsidRDefault="004C0EBC" w:rsidP="00360C35">
            <w:pPr>
              <w:jc w:val="right"/>
              <w:rPr>
                <w:rFonts w:eastAsia="Times New Roman" w:cs="Arial CE"/>
                <w:b/>
                <w:bCs/>
                <w:sz w:val="20"/>
                <w:szCs w:val="20"/>
                <w:lang w:eastAsia="sk-SK"/>
              </w:rPr>
            </w:pPr>
            <w:r w:rsidRPr="00733B45">
              <w:rPr>
                <w:rFonts w:eastAsia="Times New Roman" w:cs="Arial CE"/>
                <w:b/>
                <w:bCs/>
                <w:sz w:val="20"/>
                <w:szCs w:val="20"/>
                <w:lang w:eastAsia="sk-SK"/>
              </w:rPr>
              <w:t>-226 542</w:t>
            </w:r>
          </w:p>
        </w:tc>
        <w:tc>
          <w:tcPr>
            <w:tcW w:w="648" w:type="pct"/>
            <w:shd w:val="clear" w:color="auto" w:fill="auto"/>
            <w:vAlign w:val="bottom"/>
          </w:tcPr>
          <w:p w14:paraId="23068C4D" w14:textId="77777777" w:rsidR="004C0EBC" w:rsidRPr="00733B45" w:rsidRDefault="004C0EBC" w:rsidP="006153F6">
            <w:pPr>
              <w:jc w:val="center"/>
              <w:rPr>
                <w:rFonts w:eastAsia="Times New Roman" w:cs="Arial"/>
                <w:b/>
                <w:bCs/>
                <w:sz w:val="20"/>
                <w:szCs w:val="20"/>
                <w:lang w:eastAsia="sk-SK"/>
              </w:rPr>
            </w:pPr>
            <w:r w:rsidRPr="00733B45">
              <w:rPr>
                <w:rFonts w:eastAsia="Times New Roman" w:cs="Arial"/>
                <w:b/>
                <w:bCs/>
                <w:sz w:val="20"/>
                <w:szCs w:val="20"/>
                <w:lang w:eastAsia="sk-SK"/>
              </w:rPr>
              <w:t>108,8</w:t>
            </w:r>
          </w:p>
        </w:tc>
      </w:tr>
      <w:tr w:rsidR="004C0EBC" w:rsidRPr="00733B45" w14:paraId="4B4F16B6" w14:textId="77777777" w:rsidTr="003B7C66">
        <w:tc>
          <w:tcPr>
            <w:tcW w:w="1173" w:type="pct"/>
            <w:shd w:val="clear" w:color="auto" w:fill="auto"/>
            <w:vAlign w:val="center"/>
          </w:tcPr>
          <w:p w14:paraId="589C1E5E" w14:textId="77777777" w:rsidR="004C0EBC" w:rsidRPr="00733B45" w:rsidRDefault="004C0EBC" w:rsidP="00360C35">
            <w:pPr>
              <w:rPr>
                <w:rFonts w:eastAsia="Calibri" w:cs="Times New Roman"/>
                <w:bCs/>
                <w:sz w:val="20"/>
                <w:szCs w:val="20"/>
              </w:rPr>
            </w:pPr>
            <w:r w:rsidRPr="00733B45">
              <w:rPr>
                <w:rFonts w:eastAsia="Calibri" w:cs="Times New Roman"/>
                <w:bCs/>
                <w:sz w:val="20"/>
                <w:szCs w:val="20"/>
              </w:rPr>
              <w:t>Bežné výdavky</w:t>
            </w:r>
          </w:p>
        </w:tc>
        <w:tc>
          <w:tcPr>
            <w:tcW w:w="661" w:type="pct"/>
            <w:shd w:val="clear" w:color="auto" w:fill="auto"/>
            <w:vAlign w:val="bottom"/>
          </w:tcPr>
          <w:p w14:paraId="7845D6A9"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14 160 931 </w:t>
            </w:r>
          </w:p>
        </w:tc>
        <w:tc>
          <w:tcPr>
            <w:tcW w:w="601" w:type="pct"/>
            <w:shd w:val="clear" w:color="auto" w:fill="auto"/>
            <w:vAlign w:val="bottom"/>
          </w:tcPr>
          <w:p w14:paraId="2A48FB6B"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15 250 323 </w:t>
            </w:r>
          </w:p>
        </w:tc>
        <w:tc>
          <w:tcPr>
            <w:tcW w:w="561" w:type="pct"/>
            <w:shd w:val="clear" w:color="auto" w:fill="auto"/>
            <w:vAlign w:val="bottom"/>
          </w:tcPr>
          <w:p w14:paraId="4CE2129C"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15 394 342 </w:t>
            </w:r>
          </w:p>
        </w:tc>
        <w:tc>
          <w:tcPr>
            <w:tcW w:w="641" w:type="pct"/>
            <w:shd w:val="clear" w:color="auto" w:fill="auto"/>
            <w:vAlign w:val="bottom"/>
          </w:tcPr>
          <w:p w14:paraId="17F0C33D"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15 168 067 </w:t>
            </w:r>
          </w:p>
        </w:tc>
        <w:tc>
          <w:tcPr>
            <w:tcW w:w="715" w:type="pct"/>
            <w:shd w:val="clear" w:color="auto" w:fill="auto"/>
            <w:vAlign w:val="bottom"/>
          </w:tcPr>
          <w:p w14:paraId="0A7EC977" w14:textId="77777777" w:rsidR="004C0EBC" w:rsidRPr="00733B45" w:rsidRDefault="004C0EBC" w:rsidP="00360C35">
            <w:pPr>
              <w:jc w:val="right"/>
              <w:rPr>
                <w:rFonts w:eastAsia="Times New Roman" w:cs="Arial CE"/>
                <w:sz w:val="20"/>
                <w:szCs w:val="20"/>
                <w:lang w:eastAsia="sk-SK"/>
              </w:rPr>
            </w:pPr>
            <w:r w:rsidRPr="00733B45">
              <w:rPr>
                <w:rFonts w:eastAsia="Times New Roman" w:cs="Arial CE"/>
                <w:sz w:val="20"/>
                <w:szCs w:val="20"/>
                <w:lang w:eastAsia="sk-SK"/>
              </w:rPr>
              <w:t>-226 275</w:t>
            </w:r>
          </w:p>
        </w:tc>
        <w:tc>
          <w:tcPr>
            <w:tcW w:w="648" w:type="pct"/>
            <w:shd w:val="clear" w:color="auto" w:fill="auto"/>
            <w:vAlign w:val="bottom"/>
          </w:tcPr>
          <w:p w14:paraId="3D038697" w14:textId="77777777" w:rsidR="004C0EBC" w:rsidRPr="00733B45" w:rsidRDefault="004C0EBC" w:rsidP="006153F6">
            <w:pPr>
              <w:jc w:val="center"/>
              <w:rPr>
                <w:rFonts w:eastAsia="Times New Roman" w:cs="Arial"/>
                <w:sz w:val="20"/>
                <w:szCs w:val="20"/>
                <w:lang w:eastAsia="sk-SK"/>
              </w:rPr>
            </w:pPr>
            <w:r w:rsidRPr="00733B45">
              <w:rPr>
                <w:rFonts w:eastAsia="Times New Roman" w:cs="Arial"/>
                <w:sz w:val="20"/>
                <w:szCs w:val="20"/>
                <w:lang w:eastAsia="sk-SK"/>
              </w:rPr>
              <w:t>107,1</w:t>
            </w:r>
          </w:p>
        </w:tc>
      </w:tr>
      <w:tr w:rsidR="004C0EBC" w:rsidRPr="00733B45" w14:paraId="75406D2A" w14:textId="77777777" w:rsidTr="003B7C66">
        <w:tc>
          <w:tcPr>
            <w:tcW w:w="1173" w:type="pct"/>
            <w:shd w:val="clear" w:color="auto" w:fill="auto"/>
            <w:vAlign w:val="center"/>
          </w:tcPr>
          <w:p w14:paraId="34272560" w14:textId="77777777" w:rsidR="004C0EBC" w:rsidRPr="00733B45" w:rsidRDefault="004C0EBC" w:rsidP="00360C35">
            <w:pPr>
              <w:rPr>
                <w:rFonts w:eastAsia="Calibri" w:cs="Times New Roman"/>
                <w:bCs/>
                <w:sz w:val="20"/>
                <w:szCs w:val="20"/>
              </w:rPr>
            </w:pPr>
            <w:r w:rsidRPr="00733B45">
              <w:rPr>
                <w:rFonts w:eastAsia="Calibri" w:cs="Times New Roman"/>
                <w:bCs/>
                <w:sz w:val="20"/>
                <w:szCs w:val="20"/>
              </w:rPr>
              <w:t>Kapitálové výdavky</w:t>
            </w:r>
          </w:p>
        </w:tc>
        <w:tc>
          <w:tcPr>
            <w:tcW w:w="661" w:type="pct"/>
            <w:shd w:val="clear" w:color="auto" w:fill="auto"/>
            <w:vAlign w:val="bottom"/>
          </w:tcPr>
          <w:p w14:paraId="5CD1A4DF"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2 402 324 </w:t>
            </w:r>
          </w:p>
        </w:tc>
        <w:tc>
          <w:tcPr>
            <w:tcW w:w="601" w:type="pct"/>
            <w:shd w:val="clear" w:color="auto" w:fill="auto"/>
            <w:vAlign w:val="bottom"/>
          </w:tcPr>
          <w:p w14:paraId="71AEE669"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2 288 578 </w:t>
            </w:r>
          </w:p>
        </w:tc>
        <w:tc>
          <w:tcPr>
            <w:tcW w:w="561" w:type="pct"/>
            <w:shd w:val="clear" w:color="auto" w:fill="auto"/>
            <w:vAlign w:val="bottom"/>
          </w:tcPr>
          <w:p w14:paraId="5DCA3D75"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2 859 216 </w:t>
            </w:r>
          </w:p>
        </w:tc>
        <w:tc>
          <w:tcPr>
            <w:tcW w:w="641" w:type="pct"/>
            <w:shd w:val="clear" w:color="auto" w:fill="auto"/>
            <w:vAlign w:val="bottom"/>
          </w:tcPr>
          <w:p w14:paraId="32A4A053"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color w:val="000000"/>
                <w:sz w:val="20"/>
                <w:szCs w:val="20"/>
              </w:rPr>
              <w:t xml:space="preserve">2 858 949 </w:t>
            </w:r>
          </w:p>
        </w:tc>
        <w:tc>
          <w:tcPr>
            <w:tcW w:w="715" w:type="pct"/>
            <w:shd w:val="clear" w:color="auto" w:fill="auto"/>
            <w:vAlign w:val="bottom"/>
          </w:tcPr>
          <w:p w14:paraId="70A75C6D" w14:textId="77777777" w:rsidR="004C0EBC" w:rsidRPr="00733B45" w:rsidRDefault="004C0EBC" w:rsidP="00360C35">
            <w:pPr>
              <w:jc w:val="right"/>
              <w:rPr>
                <w:rFonts w:eastAsia="Times New Roman" w:cs="Arial CE"/>
                <w:sz w:val="20"/>
                <w:szCs w:val="20"/>
                <w:lang w:eastAsia="sk-SK"/>
              </w:rPr>
            </w:pPr>
            <w:r w:rsidRPr="00733B45">
              <w:rPr>
                <w:rFonts w:eastAsia="Times New Roman" w:cs="Arial CE"/>
                <w:sz w:val="20"/>
                <w:szCs w:val="20"/>
                <w:lang w:eastAsia="sk-SK"/>
              </w:rPr>
              <w:t>-267</w:t>
            </w:r>
          </w:p>
        </w:tc>
        <w:tc>
          <w:tcPr>
            <w:tcW w:w="648" w:type="pct"/>
            <w:shd w:val="clear" w:color="auto" w:fill="auto"/>
            <w:vAlign w:val="bottom"/>
          </w:tcPr>
          <w:p w14:paraId="5F91BE5A" w14:textId="77777777" w:rsidR="004C0EBC" w:rsidRPr="00733B45" w:rsidRDefault="004C0EBC" w:rsidP="006153F6">
            <w:pPr>
              <w:jc w:val="center"/>
              <w:rPr>
                <w:rFonts w:eastAsia="Times New Roman" w:cs="Arial"/>
                <w:sz w:val="20"/>
                <w:szCs w:val="20"/>
                <w:lang w:eastAsia="sk-SK"/>
              </w:rPr>
            </w:pPr>
            <w:r w:rsidRPr="00733B45">
              <w:rPr>
                <w:rFonts w:eastAsia="Times New Roman" w:cs="Arial"/>
                <w:sz w:val="20"/>
                <w:szCs w:val="20"/>
                <w:lang w:eastAsia="sk-SK"/>
              </w:rPr>
              <w:t>119,0</w:t>
            </w:r>
          </w:p>
        </w:tc>
      </w:tr>
      <w:tr w:rsidR="004C0EBC" w:rsidRPr="00733B45" w14:paraId="601525E7" w14:textId="77777777" w:rsidTr="003B7C66">
        <w:tc>
          <w:tcPr>
            <w:tcW w:w="1173" w:type="pct"/>
            <w:shd w:val="clear" w:color="auto" w:fill="auto"/>
            <w:vAlign w:val="center"/>
          </w:tcPr>
          <w:p w14:paraId="43A8E8BB" w14:textId="77777777" w:rsidR="004C0EBC" w:rsidRPr="00733B45" w:rsidRDefault="004C0EBC" w:rsidP="00360C35">
            <w:pPr>
              <w:rPr>
                <w:rFonts w:eastAsia="Calibri" w:cs="Times New Roman"/>
                <w:b/>
                <w:bCs/>
                <w:sz w:val="20"/>
                <w:szCs w:val="20"/>
              </w:rPr>
            </w:pPr>
            <w:r w:rsidRPr="00733B45">
              <w:rPr>
                <w:rFonts w:eastAsia="Calibri" w:cs="Times New Roman"/>
                <w:b/>
                <w:bCs/>
                <w:sz w:val="20"/>
                <w:szCs w:val="20"/>
              </w:rPr>
              <w:t>Schodok ŠR</w:t>
            </w:r>
          </w:p>
        </w:tc>
        <w:tc>
          <w:tcPr>
            <w:tcW w:w="661" w:type="pct"/>
            <w:shd w:val="clear" w:color="auto" w:fill="auto"/>
            <w:vAlign w:val="bottom"/>
          </w:tcPr>
          <w:p w14:paraId="41F52D2B"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b/>
                <w:bCs/>
                <w:color w:val="000000"/>
                <w:sz w:val="20"/>
                <w:szCs w:val="20"/>
              </w:rPr>
              <w:t xml:space="preserve">-1 182 242 </w:t>
            </w:r>
          </w:p>
        </w:tc>
        <w:tc>
          <w:tcPr>
            <w:tcW w:w="601" w:type="pct"/>
            <w:shd w:val="clear" w:color="auto" w:fill="auto"/>
            <w:vAlign w:val="bottom"/>
          </w:tcPr>
          <w:p w14:paraId="75D29F49"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b/>
                <w:bCs/>
                <w:color w:val="000000"/>
                <w:sz w:val="20"/>
                <w:szCs w:val="20"/>
              </w:rPr>
              <w:t xml:space="preserve">-2 041 247 </w:t>
            </w:r>
          </w:p>
        </w:tc>
        <w:tc>
          <w:tcPr>
            <w:tcW w:w="561" w:type="pct"/>
            <w:shd w:val="clear" w:color="auto" w:fill="auto"/>
            <w:vAlign w:val="bottom"/>
          </w:tcPr>
          <w:p w14:paraId="2C35BD77"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b/>
                <w:bCs/>
                <w:color w:val="000000"/>
                <w:sz w:val="20"/>
                <w:szCs w:val="20"/>
              </w:rPr>
              <w:t xml:space="preserve">-2 310 459 </w:t>
            </w:r>
          </w:p>
        </w:tc>
        <w:tc>
          <w:tcPr>
            <w:tcW w:w="641" w:type="pct"/>
            <w:shd w:val="clear" w:color="auto" w:fill="auto"/>
            <w:vAlign w:val="bottom"/>
          </w:tcPr>
          <w:p w14:paraId="24B24125" w14:textId="77777777" w:rsidR="004C0EBC" w:rsidRPr="00733B45" w:rsidRDefault="004C0EBC" w:rsidP="00360C35">
            <w:pPr>
              <w:autoSpaceDE w:val="0"/>
              <w:autoSpaceDN w:val="0"/>
              <w:adjustRightInd w:val="0"/>
              <w:jc w:val="right"/>
              <w:rPr>
                <w:rFonts w:cs="Times New Roman"/>
                <w:color w:val="000000"/>
                <w:sz w:val="20"/>
                <w:szCs w:val="20"/>
              </w:rPr>
            </w:pPr>
            <w:r w:rsidRPr="00733B45">
              <w:rPr>
                <w:rFonts w:cs="Times New Roman"/>
                <w:b/>
                <w:bCs/>
                <w:color w:val="000000"/>
                <w:sz w:val="20"/>
                <w:szCs w:val="20"/>
              </w:rPr>
              <w:t xml:space="preserve">-2 201 481 </w:t>
            </w:r>
          </w:p>
        </w:tc>
        <w:tc>
          <w:tcPr>
            <w:tcW w:w="715" w:type="pct"/>
            <w:shd w:val="clear" w:color="auto" w:fill="auto"/>
            <w:vAlign w:val="bottom"/>
          </w:tcPr>
          <w:p w14:paraId="6579E3C8" w14:textId="77777777" w:rsidR="004C0EBC" w:rsidRPr="00733B45" w:rsidRDefault="004C0EBC" w:rsidP="00360C35">
            <w:pPr>
              <w:jc w:val="right"/>
              <w:rPr>
                <w:rFonts w:eastAsia="Times New Roman" w:cs="Arial CE"/>
                <w:b/>
                <w:bCs/>
                <w:sz w:val="20"/>
                <w:szCs w:val="20"/>
                <w:lang w:eastAsia="sk-SK"/>
              </w:rPr>
            </w:pPr>
            <w:r w:rsidRPr="00733B45">
              <w:rPr>
                <w:rFonts w:eastAsia="Times New Roman" w:cs="Arial CE"/>
                <w:b/>
                <w:bCs/>
                <w:sz w:val="20"/>
                <w:szCs w:val="20"/>
                <w:lang w:eastAsia="sk-SK"/>
              </w:rPr>
              <w:t>108 978</w:t>
            </w:r>
          </w:p>
        </w:tc>
        <w:tc>
          <w:tcPr>
            <w:tcW w:w="648" w:type="pct"/>
            <w:shd w:val="clear" w:color="auto" w:fill="auto"/>
            <w:vAlign w:val="bottom"/>
          </w:tcPr>
          <w:p w14:paraId="10246A78" w14:textId="77777777" w:rsidR="004C0EBC" w:rsidRPr="00733B45" w:rsidRDefault="004C0EBC" w:rsidP="006153F6">
            <w:pPr>
              <w:jc w:val="center"/>
              <w:rPr>
                <w:rFonts w:eastAsia="Times New Roman" w:cs="Arial"/>
                <w:b/>
                <w:bCs/>
                <w:sz w:val="20"/>
                <w:szCs w:val="20"/>
                <w:lang w:eastAsia="sk-SK"/>
              </w:rPr>
            </w:pPr>
            <w:r w:rsidRPr="00733B45">
              <w:rPr>
                <w:rFonts w:eastAsia="Times New Roman" w:cs="Arial"/>
                <w:b/>
                <w:bCs/>
                <w:sz w:val="20"/>
                <w:szCs w:val="20"/>
                <w:lang w:eastAsia="sk-SK"/>
              </w:rPr>
              <w:t>186,2</w:t>
            </w:r>
          </w:p>
        </w:tc>
      </w:tr>
    </w:tbl>
    <w:p w14:paraId="1260D833" w14:textId="68656525" w:rsidR="00733B45" w:rsidRDefault="00733B45" w:rsidP="00CA4572">
      <w:pPr>
        <w:spacing w:after="120"/>
        <w:rPr>
          <w:i/>
          <w:sz w:val="18"/>
          <w:szCs w:val="20"/>
        </w:rPr>
      </w:pPr>
      <w:r w:rsidRPr="00EC258B">
        <w:rPr>
          <w:i/>
          <w:sz w:val="18"/>
          <w:szCs w:val="20"/>
        </w:rPr>
        <w:t>Zdroj: Návrh ŠZÚ za rok 2019</w:t>
      </w:r>
    </w:p>
    <w:p w14:paraId="14E61A68" w14:textId="05239D97" w:rsidR="002C65E1" w:rsidRDefault="002C65E1" w:rsidP="00CA4572">
      <w:pPr>
        <w:spacing w:after="120"/>
        <w:rPr>
          <w:i/>
          <w:sz w:val="18"/>
          <w:szCs w:val="20"/>
        </w:rPr>
      </w:pPr>
    </w:p>
    <w:p w14:paraId="42616187" w14:textId="77777777" w:rsidR="003B7C66" w:rsidRPr="002F1AD7" w:rsidRDefault="003B7C66" w:rsidP="00CA4572">
      <w:pPr>
        <w:spacing w:after="120"/>
        <w:rPr>
          <w:sz w:val="18"/>
          <w:szCs w:val="20"/>
        </w:rPr>
      </w:pPr>
    </w:p>
    <w:p w14:paraId="0C924193" w14:textId="4D502C01" w:rsidR="00733B45" w:rsidRDefault="00733B45" w:rsidP="00852362">
      <w:pPr>
        <w:jc w:val="both"/>
        <w:rPr>
          <w:b/>
          <w:i/>
        </w:rPr>
      </w:pPr>
      <w:r w:rsidRPr="00C86F5B">
        <w:rPr>
          <w:b/>
          <w:i/>
        </w:rPr>
        <w:lastRenderedPageBreak/>
        <w:t>Zámery rozpočtovej politik</w:t>
      </w:r>
      <w:r>
        <w:rPr>
          <w:b/>
          <w:i/>
        </w:rPr>
        <w:t>y podľa RVS na roky 201</w:t>
      </w:r>
      <w:r w:rsidR="00B440F1">
        <w:rPr>
          <w:b/>
          <w:i/>
        </w:rPr>
        <w:t>8</w:t>
      </w:r>
      <w:r>
        <w:rPr>
          <w:b/>
          <w:i/>
        </w:rPr>
        <w:t xml:space="preserve"> až 20</w:t>
      </w:r>
      <w:r w:rsidR="00B440F1">
        <w:rPr>
          <w:b/>
          <w:i/>
        </w:rPr>
        <w:t>19</w:t>
      </w:r>
      <w:r w:rsidRPr="00C86F5B">
        <w:rPr>
          <w:b/>
          <w:i/>
        </w:rPr>
        <w:t xml:space="preserve"> a kvant</w:t>
      </w:r>
      <w:r>
        <w:rPr>
          <w:b/>
          <w:i/>
        </w:rPr>
        <w:t>ifikácie výdavkov ŠR na rok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1136"/>
        <w:gridCol w:w="1135"/>
        <w:gridCol w:w="1135"/>
        <w:gridCol w:w="1436"/>
        <w:gridCol w:w="1252"/>
      </w:tblGrid>
      <w:tr w:rsidR="004C0EBC" w:rsidRPr="00FE4345" w14:paraId="7FCFC65F" w14:textId="77777777" w:rsidTr="002F1AD7">
        <w:trPr>
          <w:trHeight w:val="229"/>
          <w:tblHeader/>
        </w:trPr>
        <w:tc>
          <w:tcPr>
            <w:tcW w:w="1740" w:type="pct"/>
            <w:vMerge w:val="restart"/>
            <w:shd w:val="clear" w:color="auto" w:fill="0070C0"/>
            <w:vAlign w:val="center"/>
          </w:tcPr>
          <w:p w14:paraId="00F1E7AE" w14:textId="77777777" w:rsidR="004C0EBC" w:rsidRPr="00FE4345" w:rsidRDefault="004C0EBC" w:rsidP="00360C35">
            <w:pPr>
              <w:rPr>
                <w:rFonts w:eastAsia="Calibri" w:cs="Times New Roman"/>
                <w:b/>
                <w:color w:val="FFFFFF"/>
                <w:sz w:val="20"/>
                <w:szCs w:val="20"/>
              </w:rPr>
            </w:pPr>
            <w:bookmarkStart w:id="29" w:name="T_2"/>
            <w:r w:rsidRPr="00FE4345">
              <w:rPr>
                <w:rFonts w:eastAsia="Calibri" w:cs="Times New Roman"/>
                <w:b/>
                <w:bCs/>
                <w:color w:val="FFFFFF"/>
                <w:sz w:val="20"/>
                <w:szCs w:val="20"/>
              </w:rPr>
              <w:t xml:space="preserve">Ukazovateľ </w:t>
            </w:r>
            <w:r w:rsidRPr="00FE4345">
              <w:rPr>
                <w:rFonts w:eastAsia="Times New Roman" w:cs="Times New Roman"/>
                <w:b/>
                <w:color w:val="FFFFFF"/>
                <w:sz w:val="20"/>
                <w:szCs w:val="20"/>
              </w:rPr>
              <w:t>(v tis. eur)</w:t>
            </w:r>
          </w:p>
        </w:tc>
        <w:tc>
          <w:tcPr>
            <w:tcW w:w="608" w:type="pct"/>
            <w:vMerge w:val="restart"/>
            <w:shd w:val="clear" w:color="auto" w:fill="0070C0"/>
            <w:vAlign w:val="center"/>
          </w:tcPr>
          <w:p w14:paraId="5B51BFC6" w14:textId="77777777" w:rsidR="004C0EBC" w:rsidRPr="00FE4345" w:rsidRDefault="004C0EBC" w:rsidP="00360C35">
            <w:pPr>
              <w:jc w:val="center"/>
              <w:rPr>
                <w:rFonts w:eastAsia="Calibri" w:cs="Times New Roman"/>
                <w:b/>
                <w:color w:val="FFFFFF"/>
                <w:sz w:val="20"/>
                <w:szCs w:val="20"/>
              </w:rPr>
            </w:pPr>
            <w:r w:rsidRPr="00FE4345">
              <w:rPr>
                <w:rFonts w:eastAsia="Calibri" w:cs="Times New Roman"/>
                <w:b/>
                <w:color w:val="FFFFFF"/>
                <w:sz w:val="20"/>
                <w:szCs w:val="20"/>
              </w:rPr>
              <w:t xml:space="preserve">Skutočnosť </w:t>
            </w:r>
            <w:r>
              <w:rPr>
                <w:rFonts w:eastAsia="Calibri" w:cs="Times New Roman"/>
                <w:b/>
                <w:color w:val="FFFFFF"/>
                <w:sz w:val="20"/>
                <w:szCs w:val="20"/>
              </w:rPr>
              <w:t>2018</w:t>
            </w:r>
          </w:p>
        </w:tc>
        <w:tc>
          <w:tcPr>
            <w:tcW w:w="607" w:type="pct"/>
            <w:vMerge w:val="restart"/>
            <w:shd w:val="clear" w:color="auto" w:fill="0070C0"/>
          </w:tcPr>
          <w:p w14:paraId="6A36E64C" w14:textId="77777777" w:rsidR="004C0EBC" w:rsidRPr="00FE4345" w:rsidRDefault="004C0EBC" w:rsidP="00360C35">
            <w:pPr>
              <w:jc w:val="center"/>
              <w:rPr>
                <w:rFonts w:eastAsia="Calibri" w:cs="Times New Roman"/>
                <w:b/>
                <w:color w:val="FFFFFF"/>
                <w:sz w:val="20"/>
                <w:szCs w:val="20"/>
              </w:rPr>
            </w:pPr>
            <w:r>
              <w:rPr>
                <w:rFonts w:eastAsia="Calibri" w:cs="Times New Roman"/>
                <w:b/>
                <w:color w:val="FFFFFF"/>
                <w:sz w:val="20"/>
                <w:szCs w:val="20"/>
              </w:rPr>
              <w:t>Rozpočet 2019</w:t>
            </w:r>
          </w:p>
        </w:tc>
        <w:tc>
          <w:tcPr>
            <w:tcW w:w="607" w:type="pct"/>
            <w:vMerge w:val="restart"/>
            <w:shd w:val="clear" w:color="auto" w:fill="0070C0"/>
            <w:vAlign w:val="center"/>
          </w:tcPr>
          <w:p w14:paraId="572DCEF8" w14:textId="77777777" w:rsidR="004C0EBC" w:rsidRPr="00FE4345" w:rsidRDefault="004C0EBC" w:rsidP="00360C35">
            <w:pPr>
              <w:jc w:val="center"/>
              <w:rPr>
                <w:rFonts w:eastAsia="Calibri" w:cs="Times New Roman"/>
                <w:b/>
                <w:color w:val="FFFFFF"/>
                <w:sz w:val="20"/>
                <w:szCs w:val="20"/>
              </w:rPr>
            </w:pPr>
            <w:r>
              <w:rPr>
                <w:rFonts w:eastAsia="Calibri" w:cs="Times New Roman"/>
                <w:b/>
                <w:color w:val="FFFFFF"/>
                <w:sz w:val="20"/>
                <w:szCs w:val="20"/>
              </w:rPr>
              <w:t>Skutočnosť 2019</w:t>
            </w:r>
          </w:p>
        </w:tc>
        <w:tc>
          <w:tcPr>
            <w:tcW w:w="768" w:type="pct"/>
            <w:vMerge w:val="restart"/>
            <w:shd w:val="clear" w:color="auto" w:fill="0070C0"/>
            <w:vAlign w:val="center"/>
          </w:tcPr>
          <w:p w14:paraId="6343FA57" w14:textId="77777777" w:rsidR="00C52EEA" w:rsidRDefault="004C0EBC" w:rsidP="00A37AC9">
            <w:pPr>
              <w:jc w:val="center"/>
              <w:rPr>
                <w:rFonts w:eastAsia="Calibri" w:cs="Times New Roman"/>
                <w:b/>
                <w:bCs/>
                <w:color w:val="FFFFFF"/>
                <w:sz w:val="20"/>
                <w:szCs w:val="20"/>
              </w:rPr>
            </w:pPr>
            <w:r w:rsidRPr="00FE4345">
              <w:rPr>
                <w:rFonts w:eastAsia="Calibri" w:cs="Times New Roman"/>
                <w:b/>
                <w:bCs/>
                <w:color w:val="FFFFFF"/>
                <w:sz w:val="20"/>
                <w:szCs w:val="20"/>
              </w:rPr>
              <w:t>Rozdiel</w:t>
            </w:r>
            <w:r w:rsidR="00C2335E">
              <w:rPr>
                <w:rFonts w:eastAsia="Calibri" w:cs="Times New Roman"/>
                <w:b/>
                <w:bCs/>
                <w:color w:val="FFFFFF"/>
                <w:sz w:val="20"/>
                <w:szCs w:val="20"/>
              </w:rPr>
              <w:t xml:space="preserve"> </w:t>
            </w:r>
          </w:p>
          <w:p w14:paraId="1369E660" w14:textId="4B2EF398" w:rsidR="0076083E" w:rsidRPr="00A37AC9" w:rsidRDefault="00C2335E" w:rsidP="00A37AC9">
            <w:pPr>
              <w:jc w:val="center"/>
              <w:rPr>
                <w:rFonts w:eastAsia="Calibri" w:cs="Times New Roman"/>
                <w:b/>
                <w:bCs/>
                <w:color w:val="FFFFFF"/>
                <w:sz w:val="20"/>
                <w:szCs w:val="20"/>
              </w:rPr>
            </w:pPr>
            <w:r>
              <w:rPr>
                <w:rFonts w:eastAsia="Calibri" w:cs="Times New Roman"/>
                <w:b/>
                <w:bCs/>
                <w:color w:val="FFFFFF"/>
                <w:sz w:val="20"/>
                <w:szCs w:val="20"/>
              </w:rPr>
              <w:t>2019S</w:t>
            </w:r>
            <w:r w:rsidR="00C52EEA">
              <w:rPr>
                <w:rFonts w:eastAsia="Calibri" w:cs="Times New Roman"/>
                <w:b/>
                <w:bCs/>
                <w:color w:val="FFFFFF"/>
                <w:sz w:val="20"/>
                <w:szCs w:val="20"/>
              </w:rPr>
              <w:t xml:space="preserve"> </w:t>
            </w:r>
            <w:r>
              <w:rPr>
                <w:rFonts w:eastAsia="Calibri" w:cs="Times New Roman"/>
                <w:b/>
                <w:bCs/>
                <w:color w:val="FFFFFF"/>
                <w:sz w:val="20"/>
                <w:szCs w:val="20"/>
              </w:rPr>
              <w:t>-</w:t>
            </w:r>
            <w:r w:rsidR="00C52EEA">
              <w:rPr>
                <w:rFonts w:eastAsia="Calibri" w:cs="Times New Roman"/>
                <w:b/>
                <w:bCs/>
                <w:color w:val="FFFFFF"/>
                <w:sz w:val="20"/>
                <w:szCs w:val="20"/>
              </w:rPr>
              <w:t xml:space="preserve"> </w:t>
            </w:r>
            <w:r>
              <w:rPr>
                <w:rFonts w:eastAsia="Calibri" w:cs="Times New Roman"/>
                <w:b/>
                <w:bCs/>
                <w:color w:val="FFFFFF"/>
                <w:sz w:val="20"/>
                <w:szCs w:val="20"/>
              </w:rPr>
              <w:t>2019R</w:t>
            </w:r>
          </w:p>
        </w:tc>
        <w:tc>
          <w:tcPr>
            <w:tcW w:w="670" w:type="pct"/>
            <w:vMerge w:val="restart"/>
            <w:shd w:val="clear" w:color="auto" w:fill="0070C0"/>
            <w:vAlign w:val="center"/>
          </w:tcPr>
          <w:p w14:paraId="60B7A207" w14:textId="1F81218A" w:rsidR="0076083E" w:rsidRPr="00FE4345" w:rsidRDefault="0076083E" w:rsidP="00A37AC9">
            <w:pPr>
              <w:jc w:val="center"/>
              <w:rPr>
                <w:rFonts w:eastAsia="Calibri" w:cs="Times New Roman"/>
                <w:b/>
                <w:color w:val="FFFFFF"/>
                <w:sz w:val="20"/>
                <w:szCs w:val="20"/>
              </w:rPr>
            </w:pPr>
            <w:r>
              <w:rPr>
                <w:rFonts w:eastAsia="Calibri" w:cs="Times New Roman"/>
                <w:b/>
                <w:color w:val="FFFFFF"/>
                <w:sz w:val="20"/>
                <w:szCs w:val="20"/>
              </w:rPr>
              <w:t>Index (v %)</w:t>
            </w:r>
            <w:r w:rsidR="00C2335E">
              <w:rPr>
                <w:rFonts w:eastAsia="Calibri" w:cs="Times New Roman"/>
                <w:b/>
                <w:color w:val="FFFFFF"/>
                <w:sz w:val="20"/>
                <w:szCs w:val="20"/>
              </w:rPr>
              <w:t xml:space="preserve"> 2019S/2018S</w:t>
            </w:r>
          </w:p>
        </w:tc>
      </w:tr>
      <w:tr w:rsidR="004C0EBC" w:rsidRPr="00FE4345" w14:paraId="61AA2340" w14:textId="77777777" w:rsidTr="002F1AD7">
        <w:trPr>
          <w:trHeight w:val="229"/>
          <w:tblHeader/>
        </w:trPr>
        <w:tc>
          <w:tcPr>
            <w:tcW w:w="1740" w:type="pct"/>
            <w:vMerge/>
            <w:shd w:val="clear" w:color="auto" w:fill="auto"/>
          </w:tcPr>
          <w:p w14:paraId="60FA36ED" w14:textId="77777777" w:rsidR="004C0EBC" w:rsidRPr="00FE4345" w:rsidRDefault="004C0EBC" w:rsidP="00360C35">
            <w:pPr>
              <w:rPr>
                <w:rFonts w:eastAsia="Calibri" w:cs="Times New Roman"/>
                <w:sz w:val="20"/>
                <w:szCs w:val="20"/>
              </w:rPr>
            </w:pPr>
          </w:p>
        </w:tc>
        <w:tc>
          <w:tcPr>
            <w:tcW w:w="608" w:type="pct"/>
            <w:vMerge/>
            <w:shd w:val="clear" w:color="auto" w:fill="auto"/>
            <w:vAlign w:val="bottom"/>
          </w:tcPr>
          <w:p w14:paraId="7A1A0B38" w14:textId="77777777" w:rsidR="004C0EBC" w:rsidRPr="00FE4345" w:rsidRDefault="004C0EBC" w:rsidP="00360C35">
            <w:pPr>
              <w:rPr>
                <w:rFonts w:eastAsia="Calibri" w:cs="Times New Roman"/>
                <w:sz w:val="20"/>
                <w:szCs w:val="20"/>
              </w:rPr>
            </w:pPr>
          </w:p>
        </w:tc>
        <w:tc>
          <w:tcPr>
            <w:tcW w:w="607" w:type="pct"/>
            <w:vMerge/>
          </w:tcPr>
          <w:p w14:paraId="542D5D7A" w14:textId="77777777" w:rsidR="004C0EBC" w:rsidRPr="00FE4345" w:rsidRDefault="004C0EBC" w:rsidP="00360C35">
            <w:pPr>
              <w:jc w:val="center"/>
              <w:rPr>
                <w:rFonts w:eastAsia="Calibri" w:cs="Times New Roman"/>
                <w:b/>
                <w:color w:val="FFFFFF"/>
                <w:sz w:val="20"/>
                <w:szCs w:val="20"/>
              </w:rPr>
            </w:pPr>
          </w:p>
        </w:tc>
        <w:tc>
          <w:tcPr>
            <w:tcW w:w="607" w:type="pct"/>
            <w:vMerge/>
            <w:shd w:val="clear" w:color="auto" w:fill="auto"/>
            <w:vAlign w:val="bottom"/>
          </w:tcPr>
          <w:p w14:paraId="6B67EE27" w14:textId="77777777" w:rsidR="004C0EBC" w:rsidRPr="00FE4345" w:rsidRDefault="004C0EBC" w:rsidP="00360C35">
            <w:pPr>
              <w:rPr>
                <w:rFonts w:eastAsia="Calibri" w:cs="Times New Roman"/>
                <w:sz w:val="20"/>
                <w:szCs w:val="20"/>
              </w:rPr>
            </w:pPr>
          </w:p>
        </w:tc>
        <w:tc>
          <w:tcPr>
            <w:tcW w:w="768" w:type="pct"/>
            <w:vMerge/>
            <w:shd w:val="clear" w:color="auto" w:fill="auto"/>
            <w:vAlign w:val="bottom"/>
          </w:tcPr>
          <w:p w14:paraId="0D285066" w14:textId="77777777" w:rsidR="004C0EBC" w:rsidRPr="00FE4345" w:rsidRDefault="004C0EBC" w:rsidP="00360C35">
            <w:pPr>
              <w:rPr>
                <w:rFonts w:eastAsia="Calibri" w:cs="Times New Roman"/>
                <w:sz w:val="20"/>
                <w:szCs w:val="20"/>
              </w:rPr>
            </w:pPr>
          </w:p>
        </w:tc>
        <w:tc>
          <w:tcPr>
            <w:tcW w:w="670" w:type="pct"/>
            <w:vMerge/>
            <w:shd w:val="clear" w:color="auto" w:fill="auto"/>
            <w:vAlign w:val="bottom"/>
          </w:tcPr>
          <w:p w14:paraId="5EA100D7" w14:textId="77777777" w:rsidR="004C0EBC" w:rsidRPr="00FE4345" w:rsidRDefault="004C0EBC" w:rsidP="00360C35">
            <w:pPr>
              <w:rPr>
                <w:rFonts w:eastAsia="Calibri" w:cs="Times New Roman"/>
                <w:sz w:val="20"/>
                <w:szCs w:val="20"/>
              </w:rPr>
            </w:pPr>
          </w:p>
        </w:tc>
      </w:tr>
      <w:tr w:rsidR="00A37AC9" w:rsidRPr="00FE4345" w14:paraId="1698F583" w14:textId="77777777" w:rsidTr="002F1AD7">
        <w:trPr>
          <w:trHeight w:val="20"/>
        </w:trPr>
        <w:tc>
          <w:tcPr>
            <w:tcW w:w="1740" w:type="pct"/>
            <w:shd w:val="clear" w:color="auto" w:fill="auto"/>
          </w:tcPr>
          <w:p w14:paraId="601998EB" w14:textId="77777777" w:rsidR="004C0EBC" w:rsidRPr="00FE4345" w:rsidRDefault="004C0EBC" w:rsidP="00360C35">
            <w:pPr>
              <w:autoSpaceDE w:val="0"/>
              <w:autoSpaceDN w:val="0"/>
              <w:adjustRightInd w:val="0"/>
              <w:rPr>
                <w:rFonts w:eastAsia="Calibri" w:cs="Times New Roman"/>
                <w:color w:val="000000"/>
                <w:sz w:val="20"/>
                <w:szCs w:val="20"/>
              </w:rPr>
            </w:pPr>
            <w:r w:rsidRPr="00FE4345">
              <w:rPr>
                <w:rFonts w:eastAsia="Calibri" w:cs="Times New Roman"/>
                <w:b/>
                <w:bCs/>
                <w:color w:val="000000"/>
                <w:sz w:val="20"/>
                <w:szCs w:val="20"/>
              </w:rPr>
              <w:t xml:space="preserve">Výdavky ŠR </w:t>
            </w:r>
          </w:p>
        </w:tc>
        <w:tc>
          <w:tcPr>
            <w:tcW w:w="608" w:type="pct"/>
            <w:shd w:val="clear" w:color="auto" w:fill="auto"/>
            <w:vAlign w:val="center"/>
          </w:tcPr>
          <w:p w14:paraId="510C49A9" w14:textId="77777777" w:rsidR="004C0EBC" w:rsidRPr="005A0FFC" w:rsidRDefault="004C0EBC" w:rsidP="006153F6">
            <w:pPr>
              <w:jc w:val="center"/>
              <w:rPr>
                <w:rFonts w:eastAsia="Times New Roman" w:cs="Arial"/>
                <w:b/>
                <w:bCs/>
                <w:color w:val="252525"/>
                <w:sz w:val="20"/>
                <w:szCs w:val="20"/>
                <w:lang w:eastAsia="sk-SK"/>
              </w:rPr>
            </w:pPr>
            <w:r w:rsidRPr="005A0FFC">
              <w:rPr>
                <w:rFonts w:eastAsia="Times New Roman" w:cs="Arial"/>
                <w:b/>
                <w:bCs/>
                <w:color w:val="252525"/>
                <w:sz w:val="20"/>
                <w:szCs w:val="20"/>
                <w:lang w:eastAsia="sk-SK"/>
              </w:rPr>
              <w:t>16 563 255</w:t>
            </w:r>
          </w:p>
        </w:tc>
        <w:tc>
          <w:tcPr>
            <w:tcW w:w="607" w:type="pct"/>
            <w:shd w:val="clear" w:color="auto" w:fill="auto"/>
            <w:vAlign w:val="center"/>
          </w:tcPr>
          <w:p w14:paraId="5F72AD83" w14:textId="77777777" w:rsidR="004C0EBC" w:rsidRPr="005A0FFC" w:rsidRDefault="004C0EBC" w:rsidP="006153F6">
            <w:pPr>
              <w:jc w:val="center"/>
              <w:rPr>
                <w:rFonts w:eastAsia="Times New Roman" w:cs="Arial"/>
                <w:b/>
                <w:bCs/>
                <w:color w:val="252525"/>
                <w:sz w:val="20"/>
                <w:szCs w:val="20"/>
                <w:lang w:eastAsia="sk-SK"/>
              </w:rPr>
            </w:pPr>
            <w:r w:rsidRPr="005A0FFC">
              <w:rPr>
                <w:rFonts w:eastAsia="Times New Roman" w:cs="Arial"/>
                <w:b/>
                <w:bCs/>
                <w:color w:val="252525"/>
                <w:sz w:val="20"/>
                <w:szCs w:val="20"/>
                <w:lang w:eastAsia="sk-SK"/>
              </w:rPr>
              <w:t>17 538 901</w:t>
            </w:r>
          </w:p>
        </w:tc>
        <w:tc>
          <w:tcPr>
            <w:tcW w:w="607" w:type="pct"/>
            <w:shd w:val="clear" w:color="auto" w:fill="auto"/>
            <w:vAlign w:val="center"/>
          </w:tcPr>
          <w:p w14:paraId="4D77619E" w14:textId="77777777" w:rsidR="004C0EBC" w:rsidRPr="005A0FFC" w:rsidRDefault="004C0EBC" w:rsidP="006153F6">
            <w:pPr>
              <w:jc w:val="center"/>
              <w:rPr>
                <w:rFonts w:eastAsia="Times New Roman" w:cs="Arial"/>
                <w:b/>
                <w:bCs/>
                <w:color w:val="252525"/>
                <w:sz w:val="20"/>
                <w:szCs w:val="20"/>
                <w:lang w:eastAsia="sk-SK"/>
              </w:rPr>
            </w:pPr>
            <w:r w:rsidRPr="005A0FFC">
              <w:rPr>
                <w:rFonts w:eastAsia="Times New Roman" w:cs="Arial"/>
                <w:b/>
                <w:bCs/>
                <w:color w:val="252525"/>
                <w:sz w:val="20"/>
                <w:szCs w:val="20"/>
                <w:lang w:eastAsia="sk-SK"/>
              </w:rPr>
              <w:t>18 027 015</w:t>
            </w:r>
          </w:p>
        </w:tc>
        <w:tc>
          <w:tcPr>
            <w:tcW w:w="768" w:type="pct"/>
            <w:shd w:val="clear" w:color="auto" w:fill="auto"/>
            <w:vAlign w:val="center"/>
          </w:tcPr>
          <w:p w14:paraId="77E8BADE" w14:textId="77777777" w:rsidR="004C0EBC" w:rsidRPr="005A0FFC" w:rsidRDefault="004C0EBC" w:rsidP="006153F6">
            <w:pPr>
              <w:jc w:val="center"/>
              <w:rPr>
                <w:rFonts w:eastAsia="Times New Roman" w:cs="Arial"/>
                <w:b/>
                <w:bCs/>
                <w:color w:val="000000"/>
                <w:sz w:val="20"/>
                <w:szCs w:val="20"/>
                <w:lang w:eastAsia="sk-SK"/>
              </w:rPr>
            </w:pPr>
            <w:r w:rsidRPr="005A0FFC">
              <w:rPr>
                <w:rFonts w:eastAsia="Times New Roman" w:cs="Arial"/>
                <w:b/>
                <w:bCs/>
                <w:color w:val="000000"/>
                <w:sz w:val="20"/>
                <w:szCs w:val="20"/>
                <w:lang w:eastAsia="sk-SK"/>
              </w:rPr>
              <w:t>488 114</w:t>
            </w:r>
          </w:p>
        </w:tc>
        <w:tc>
          <w:tcPr>
            <w:tcW w:w="670" w:type="pct"/>
            <w:shd w:val="clear" w:color="auto" w:fill="auto"/>
            <w:vAlign w:val="center"/>
          </w:tcPr>
          <w:p w14:paraId="3655DA00" w14:textId="77777777" w:rsidR="004C0EBC" w:rsidRPr="005A0FFC" w:rsidRDefault="004C0EBC" w:rsidP="00E62F53">
            <w:pPr>
              <w:jc w:val="center"/>
              <w:rPr>
                <w:rFonts w:eastAsia="Times New Roman" w:cs="Arial"/>
                <w:b/>
                <w:bCs/>
                <w:color w:val="000000"/>
                <w:sz w:val="20"/>
                <w:szCs w:val="20"/>
                <w:lang w:eastAsia="sk-SK"/>
              </w:rPr>
            </w:pPr>
            <w:r w:rsidRPr="005A0FFC">
              <w:rPr>
                <w:rFonts w:eastAsia="Times New Roman" w:cs="Arial"/>
                <w:b/>
                <w:bCs/>
                <w:color w:val="000000"/>
                <w:sz w:val="20"/>
                <w:szCs w:val="20"/>
                <w:lang w:eastAsia="sk-SK"/>
              </w:rPr>
              <w:t>108,8</w:t>
            </w:r>
          </w:p>
        </w:tc>
      </w:tr>
      <w:tr w:rsidR="004C0EBC" w:rsidRPr="00FE4345" w14:paraId="696633F5" w14:textId="77777777" w:rsidTr="002F1AD7">
        <w:trPr>
          <w:trHeight w:val="20"/>
        </w:trPr>
        <w:tc>
          <w:tcPr>
            <w:tcW w:w="1740" w:type="pct"/>
            <w:shd w:val="clear" w:color="auto" w:fill="auto"/>
          </w:tcPr>
          <w:p w14:paraId="050F6F52" w14:textId="77777777" w:rsidR="004C0EBC" w:rsidRPr="00FE4345" w:rsidRDefault="004C0EBC" w:rsidP="00360C35">
            <w:pPr>
              <w:autoSpaceDE w:val="0"/>
              <w:autoSpaceDN w:val="0"/>
              <w:adjustRightInd w:val="0"/>
              <w:rPr>
                <w:rFonts w:eastAsia="Calibri" w:cs="Times New Roman"/>
                <w:b/>
                <w:bCs/>
                <w:color w:val="000000"/>
                <w:sz w:val="20"/>
                <w:szCs w:val="20"/>
              </w:rPr>
            </w:pPr>
            <w:r w:rsidRPr="00FE4345">
              <w:rPr>
                <w:rFonts w:eastAsia="Calibri" w:cs="Times New Roman"/>
                <w:bCs/>
                <w:color w:val="000000"/>
                <w:sz w:val="20"/>
                <w:szCs w:val="20"/>
              </w:rPr>
              <w:t>Z toho:</w:t>
            </w:r>
          </w:p>
        </w:tc>
        <w:tc>
          <w:tcPr>
            <w:tcW w:w="608" w:type="pct"/>
            <w:shd w:val="clear" w:color="auto" w:fill="auto"/>
            <w:vAlign w:val="center"/>
          </w:tcPr>
          <w:p w14:paraId="3C2E5044" w14:textId="77777777" w:rsidR="004C0EBC" w:rsidRPr="005A0FFC" w:rsidRDefault="004C0EBC" w:rsidP="006153F6">
            <w:pPr>
              <w:ind w:right="164"/>
              <w:jc w:val="right"/>
              <w:rPr>
                <w:rFonts w:eastAsia="Times New Roman" w:cs="Arial"/>
                <w:color w:val="252525"/>
                <w:sz w:val="20"/>
                <w:szCs w:val="20"/>
                <w:lang w:eastAsia="sk-SK"/>
              </w:rPr>
            </w:pPr>
            <w:r w:rsidRPr="005A0FFC">
              <w:rPr>
                <w:rFonts w:eastAsia="Times New Roman" w:cs="Arial"/>
                <w:color w:val="252525"/>
                <w:sz w:val="20"/>
                <w:szCs w:val="20"/>
                <w:lang w:eastAsia="sk-SK"/>
              </w:rPr>
              <w:t> </w:t>
            </w:r>
          </w:p>
        </w:tc>
        <w:tc>
          <w:tcPr>
            <w:tcW w:w="607" w:type="pct"/>
            <w:shd w:val="clear" w:color="auto" w:fill="auto"/>
            <w:vAlign w:val="center"/>
          </w:tcPr>
          <w:p w14:paraId="57CA1260" w14:textId="77777777" w:rsidR="004C0EBC" w:rsidRPr="005A0FFC" w:rsidRDefault="004C0EBC" w:rsidP="006153F6">
            <w:pPr>
              <w:ind w:right="164"/>
              <w:jc w:val="right"/>
              <w:rPr>
                <w:rFonts w:eastAsia="Times New Roman" w:cs="Arial"/>
                <w:color w:val="252525"/>
                <w:sz w:val="20"/>
                <w:szCs w:val="20"/>
                <w:lang w:eastAsia="sk-SK"/>
              </w:rPr>
            </w:pPr>
            <w:r w:rsidRPr="005A0FFC">
              <w:rPr>
                <w:rFonts w:eastAsia="Times New Roman" w:cs="Arial"/>
                <w:color w:val="252525"/>
                <w:sz w:val="20"/>
                <w:szCs w:val="20"/>
                <w:lang w:eastAsia="sk-SK"/>
              </w:rPr>
              <w:t> </w:t>
            </w:r>
          </w:p>
        </w:tc>
        <w:tc>
          <w:tcPr>
            <w:tcW w:w="607" w:type="pct"/>
            <w:shd w:val="clear" w:color="auto" w:fill="auto"/>
            <w:vAlign w:val="center"/>
          </w:tcPr>
          <w:p w14:paraId="7E2FC643" w14:textId="77777777" w:rsidR="004C0EBC" w:rsidRPr="005A0FFC" w:rsidRDefault="004C0EBC" w:rsidP="006153F6">
            <w:pPr>
              <w:ind w:right="164"/>
              <w:jc w:val="right"/>
              <w:rPr>
                <w:rFonts w:eastAsia="Times New Roman" w:cs="Arial"/>
                <w:color w:val="252525"/>
                <w:sz w:val="20"/>
                <w:szCs w:val="20"/>
                <w:lang w:eastAsia="sk-SK"/>
              </w:rPr>
            </w:pPr>
            <w:r w:rsidRPr="005A0FFC">
              <w:rPr>
                <w:rFonts w:eastAsia="Times New Roman" w:cs="Arial"/>
                <w:color w:val="252525"/>
                <w:sz w:val="20"/>
                <w:szCs w:val="20"/>
                <w:lang w:eastAsia="sk-SK"/>
              </w:rPr>
              <w:t> </w:t>
            </w:r>
          </w:p>
        </w:tc>
        <w:tc>
          <w:tcPr>
            <w:tcW w:w="768" w:type="pct"/>
            <w:shd w:val="clear" w:color="auto" w:fill="auto"/>
            <w:vAlign w:val="center"/>
          </w:tcPr>
          <w:p w14:paraId="09D5ECEF" w14:textId="77777777" w:rsidR="004C0EBC" w:rsidRPr="005A0FFC" w:rsidRDefault="004C0EBC" w:rsidP="006153F6">
            <w:pPr>
              <w:ind w:right="164"/>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 </w:t>
            </w:r>
          </w:p>
        </w:tc>
        <w:tc>
          <w:tcPr>
            <w:tcW w:w="670" w:type="pct"/>
            <w:shd w:val="clear" w:color="auto" w:fill="auto"/>
            <w:vAlign w:val="center"/>
          </w:tcPr>
          <w:p w14:paraId="6EEF3236" w14:textId="77777777" w:rsidR="004C0EBC" w:rsidRPr="005A0FFC" w:rsidRDefault="004C0EBC" w:rsidP="006153F6">
            <w:pPr>
              <w:ind w:right="168"/>
              <w:jc w:val="right"/>
              <w:rPr>
                <w:rFonts w:eastAsia="Times New Roman" w:cs="Arial"/>
                <w:b/>
                <w:bCs/>
                <w:color w:val="000000"/>
                <w:sz w:val="20"/>
                <w:szCs w:val="20"/>
                <w:lang w:eastAsia="sk-SK"/>
              </w:rPr>
            </w:pPr>
          </w:p>
        </w:tc>
      </w:tr>
      <w:tr w:rsidR="004C0EBC" w:rsidRPr="00FE4345" w14:paraId="5078EB2B" w14:textId="77777777" w:rsidTr="002F1AD7">
        <w:trPr>
          <w:trHeight w:val="20"/>
        </w:trPr>
        <w:tc>
          <w:tcPr>
            <w:tcW w:w="1740" w:type="pct"/>
            <w:shd w:val="clear" w:color="auto" w:fill="auto"/>
          </w:tcPr>
          <w:p w14:paraId="10E41F0A" w14:textId="77777777" w:rsidR="004C0EBC" w:rsidRPr="00FE4345" w:rsidRDefault="004C0EBC" w:rsidP="00360C35">
            <w:pPr>
              <w:autoSpaceDE w:val="0"/>
              <w:autoSpaceDN w:val="0"/>
              <w:adjustRightInd w:val="0"/>
              <w:rPr>
                <w:rFonts w:eastAsia="Calibri" w:cs="Times New Roman"/>
                <w:color w:val="000000"/>
                <w:sz w:val="20"/>
                <w:szCs w:val="20"/>
              </w:rPr>
            </w:pPr>
            <w:r w:rsidRPr="00FE4345">
              <w:rPr>
                <w:rFonts w:eastAsia="Calibri" w:cs="Times New Roman"/>
                <w:color w:val="000000"/>
                <w:sz w:val="20"/>
                <w:szCs w:val="20"/>
              </w:rPr>
              <w:t xml:space="preserve">Výdavky na obsluhu štátneho dlhu </w:t>
            </w:r>
          </w:p>
        </w:tc>
        <w:tc>
          <w:tcPr>
            <w:tcW w:w="608" w:type="pct"/>
            <w:shd w:val="clear" w:color="auto" w:fill="auto"/>
            <w:vAlign w:val="center"/>
          </w:tcPr>
          <w:p w14:paraId="1A877EBA"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1 134 592</w:t>
            </w:r>
          </w:p>
        </w:tc>
        <w:tc>
          <w:tcPr>
            <w:tcW w:w="607" w:type="pct"/>
            <w:shd w:val="clear" w:color="auto" w:fill="auto"/>
            <w:vAlign w:val="center"/>
          </w:tcPr>
          <w:p w14:paraId="5B1572F8"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1 178 597</w:t>
            </w:r>
          </w:p>
        </w:tc>
        <w:tc>
          <w:tcPr>
            <w:tcW w:w="607" w:type="pct"/>
            <w:shd w:val="clear" w:color="auto" w:fill="auto"/>
            <w:vAlign w:val="center"/>
          </w:tcPr>
          <w:p w14:paraId="60E88648"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1 037 178</w:t>
            </w:r>
          </w:p>
        </w:tc>
        <w:tc>
          <w:tcPr>
            <w:tcW w:w="768" w:type="pct"/>
            <w:shd w:val="clear" w:color="auto" w:fill="auto"/>
            <w:vAlign w:val="center"/>
          </w:tcPr>
          <w:p w14:paraId="53747177" w14:textId="6B2C2577" w:rsidR="004C0EBC" w:rsidRPr="005A0FFC" w:rsidRDefault="005F07FB" w:rsidP="005F07FB">
            <w:pPr>
              <w:ind w:right="-39"/>
              <w:jc w:val="center"/>
              <w:rPr>
                <w:rFonts w:eastAsia="Times New Roman" w:cs="Arial"/>
                <w:color w:val="000000"/>
                <w:sz w:val="20"/>
                <w:szCs w:val="20"/>
                <w:lang w:eastAsia="sk-SK"/>
              </w:rPr>
            </w:pPr>
            <w:r>
              <w:rPr>
                <w:rFonts w:eastAsia="Times New Roman" w:cs="Arial"/>
                <w:color w:val="000000"/>
                <w:sz w:val="20"/>
                <w:szCs w:val="20"/>
                <w:lang w:eastAsia="sk-SK"/>
              </w:rPr>
              <w:t>-</w:t>
            </w:r>
            <w:r w:rsidR="004C0EBC" w:rsidRPr="005A0FFC">
              <w:rPr>
                <w:rFonts w:eastAsia="Times New Roman" w:cs="Arial"/>
                <w:color w:val="000000"/>
                <w:sz w:val="20"/>
                <w:szCs w:val="20"/>
                <w:lang w:eastAsia="sk-SK"/>
              </w:rPr>
              <w:t>141 419</w:t>
            </w:r>
          </w:p>
        </w:tc>
        <w:tc>
          <w:tcPr>
            <w:tcW w:w="670" w:type="pct"/>
            <w:shd w:val="clear" w:color="auto" w:fill="auto"/>
            <w:vAlign w:val="center"/>
          </w:tcPr>
          <w:p w14:paraId="3531BEFE" w14:textId="77777777" w:rsidR="004C0EBC" w:rsidRPr="005A0FFC" w:rsidRDefault="004C0EBC" w:rsidP="005F07FB">
            <w:pPr>
              <w:ind w:right="-39"/>
              <w:jc w:val="center"/>
              <w:rPr>
                <w:rFonts w:eastAsia="Times New Roman" w:cs="Arial"/>
                <w:color w:val="000000"/>
                <w:sz w:val="20"/>
                <w:szCs w:val="20"/>
                <w:lang w:eastAsia="sk-SK"/>
              </w:rPr>
            </w:pPr>
            <w:r w:rsidRPr="005A0FFC">
              <w:rPr>
                <w:rFonts w:eastAsia="Times New Roman" w:cs="Arial"/>
                <w:color w:val="000000"/>
                <w:sz w:val="20"/>
                <w:szCs w:val="20"/>
                <w:lang w:eastAsia="sk-SK"/>
              </w:rPr>
              <w:t>91,4</w:t>
            </w:r>
          </w:p>
        </w:tc>
      </w:tr>
      <w:tr w:rsidR="004C0EBC" w:rsidRPr="00FE4345" w14:paraId="1F6A3DDD" w14:textId="77777777" w:rsidTr="002F1AD7">
        <w:trPr>
          <w:trHeight w:val="20"/>
        </w:trPr>
        <w:tc>
          <w:tcPr>
            <w:tcW w:w="1740" w:type="pct"/>
            <w:shd w:val="clear" w:color="auto" w:fill="auto"/>
          </w:tcPr>
          <w:p w14:paraId="49E2A2BE" w14:textId="77777777" w:rsidR="004C0EBC" w:rsidRPr="00FE4345" w:rsidRDefault="004C0EBC" w:rsidP="00360C35">
            <w:pPr>
              <w:autoSpaceDE w:val="0"/>
              <w:autoSpaceDN w:val="0"/>
              <w:adjustRightInd w:val="0"/>
              <w:rPr>
                <w:rFonts w:eastAsia="Calibri" w:cs="Times New Roman"/>
                <w:color w:val="000000"/>
                <w:sz w:val="20"/>
                <w:szCs w:val="20"/>
              </w:rPr>
            </w:pPr>
            <w:r w:rsidRPr="00FE4345">
              <w:rPr>
                <w:rFonts w:eastAsia="Calibri" w:cs="Times New Roman"/>
                <w:color w:val="000000"/>
                <w:sz w:val="20"/>
                <w:szCs w:val="20"/>
              </w:rPr>
              <w:t>EÚ</w:t>
            </w:r>
            <w:r>
              <w:rPr>
                <w:rFonts w:eastAsia="Calibri" w:cs="Times New Roman"/>
                <w:color w:val="000000"/>
                <w:sz w:val="20"/>
                <w:szCs w:val="20"/>
              </w:rPr>
              <w:t xml:space="preserve"> výdavky</w:t>
            </w:r>
            <w:r w:rsidRPr="00FE4345">
              <w:rPr>
                <w:rFonts w:eastAsia="Calibri" w:cs="Times New Roman"/>
                <w:color w:val="000000"/>
                <w:sz w:val="20"/>
                <w:szCs w:val="20"/>
              </w:rPr>
              <w:t xml:space="preserve"> </w:t>
            </w:r>
          </w:p>
        </w:tc>
        <w:tc>
          <w:tcPr>
            <w:tcW w:w="608" w:type="pct"/>
            <w:shd w:val="clear" w:color="auto" w:fill="auto"/>
            <w:vAlign w:val="center"/>
          </w:tcPr>
          <w:p w14:paraId="168A2FDD"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2 081 909</w:t>
            </w:r>
          </w:p>
        </w:tc>
        <w:tc>
          <w:tcPr>
            <w:tcW w:w="607" w:type="pct"/>
            <w:shd w:val="clear" w:color="auto" w:fill="auto"/>
            <w:vAlign w:val="center"/>
          </w:tcPr>
          <w:p w14:paraId="4E5AE6C9"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1 665 041</w:t>
            </w:r>
          </w:p>
        </w:tc>
        <w:tc>
          <w:tcPr>
            <w:tcW w:w="607" w:type="pct"/>
            <w:shd w:val="clear" w:color="auto" w:fill="auto"/>
            <w:vAlign w:val="center"/>
          </w:tcPr>
          <w:p w14:paraId="10547B06"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2 092 561</w:t>
            </w:r>
          </w:p>
        </w:tc>
        <w:tc>
          <w:tcPr>
            <w:tcW w:w="768" w:type="pct"/>
            <w:shd w:val="clear" w:color="auto" w:fill="auto"/>
            <w:vAlign w:val="center"/>
          </w:tcPr>
          <w:p w14:paraId="14004C08" w14:textId="77777777" w:rsidR="004C0EBC" w:rsidRPr="005A0FFC" w:rsidRDefault="004C0EBC" w:rsidP="005F07FB">
            <w:pPr>
              <w:ind w:right="-39"/>
              <w:jc w:val="center"/>
              <w:rPr>
                <w:rFonts w:eastAsia="Times New Roman" w:cs="Arial"/>
                <w:color w:val="000000"/>
                <w:sz w:val="20"/>
                <w:szCs w:val="20"/>
                <w:lang w:eastAsia="sk-SK"/>
              </w:rPr>
            </w:pPr>
            <w:r w:rsidRPr="005A0FFC">
              <w:rPr>
                <w:rFonts w:eastAsia="Times New Roman" w:cs="Arial"/>
                <w:color w:val="000000"/>
                <w:sz w:val="20"/>
                <w:szCs w:val="20"/>
                <w:lang w:eastAsia="sk-SK"/>
              </w:rPr>
              <w:t>427 520</w:t>
            </w:r>
          </w:p>
        </w:tc>
        <w:tc>
          <w:tcPr>
            <w:tcW w:w="670" w:type="pct"/>
            <w:shd w:val="clear" w:color="auto" w:fill="auto"/>
            <w:vAlign w:val="center"/>
          </w:tcPr>
          <w:p w14:paraId="6A7180E2" w14:textId="77777777" w:rsidR="004C0EBC" w:rsidRPr="005A0FFC" w:rsidRDefault="004C0EBC" w:rsidP="005F07FB">
            <w:pPr>
              <w:ind w:right="-39"/>
              <w:jc w:val="center"/>
              <w:rPr>
                <w:rFonts w:eastAsia="Times New Roman" w:cs="Arial"/>
                <w:color w:val="000000"/>
                <w:sz w:val="20"/>
                <w:szCs w:val="20"/>
                <w:lang w:eastAsia="sk-SK"/>
              </w:rPr>
            </w:pPr>
            <w:r w:rsidRPr="005A0FFC">
              <w:rPr>
                <w:rFonts w:eastAsia="Times New Roman" w:cs="Arial"/>
                <w:color w:val="000000"/>
                <w:sz w:val="20"/>
                <w:szCs w:val="20"/>
                <w:lang w:eastAsia="sk-SK"/>
              </w:rPr>
              <w:t>100,5</w:t>
            </w:r>
          </w:p>
        </w:tc>
      </w:tr>
      <w:tr w:rsidR="004C0EBC" w:rsidRPr="00FE4345" w14:paraId="7040801A" w14:textId="77777777" w:rsidTr="002F1AD7">
        <w:trPr>
          <w:trHeight w:val="20"/>
        </w:trPr>
        <w:tc>
          <w:tcPr>
            <w:tcW w:w="1740" w:type="pct"/>
            <w:shd w:val="clear" w:color="auto" w:fill="auto"/>
          </w:tcPr>
          <w:p w14:paraId="49D40001" w14:textId="77777777" w:rsidR="004C0EBC" w:rsidRPr="00FE4345" w:rsidRDefault="004C0EBC" w:rsidP="00360C35">
            <w:pPr>
              <w:autoSpaceDE w:val="0"/>
              <w:autoSpaceDN w:val="0"/>
              <w:adjustRightInd w:val="0"/>
              <w:rPr>
                <w:rFonts w:eastAsia="Calibri" w:cs="Times New Roman"/>
                <w:color w:val="000000"/>
                <w:sz w:val="20"/>
                <w:szCs w:val="20"/>
              </w:rPr>
            </w:pPr>
            <w:r w:rsidRPr="00FE4345">
              <w:rPr>
                <w:rFonts w:eastAsia="Calibri" w:cs="Times New Roman"/>
                <w:color w:val="000000"/>
                <w:sz w:val="20"/>
                <w:szCs w:val="20"/>
              </w:rPr>
              <w:t>Spolufinancovanie zo ŠR</w:t>
            </w:r>
          </w:p>
        </w:tc>
        <w:tc>
          <w:tcPr>
            <w:tcW w:w="608" w:type="pct"/>
            <w:shd w:val="clear" w:color="auto" w:fill="auto"/>
            <w:vAlign w:val="center"/>
          </w:tcPr>
          <w:p w14:paraId="65111375"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316 601</w:t>
            </w:r>
          </w:p>
        </w:tc>
        <w:tc>
          <w:tcPr>
            <w:tcW w:w="607" w:type="pct"/>
            <w:shd w:val="clear" w:color="auto" w:fill="auto"/>
            <w:vAlign w:val="center"/>
          </w:tcPr>
          <w:p w14:paraId="5B245B53"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234 149</w:t>
            </w:r>
          </w:p>
        </w:tc>
        <w:tc>
          <w:tcPr>
            <w:tcW w:w="607" w:type="pct"/>
            <w:shd w:val="clear" w:color="auto" w:fill="auto"/>
            <w:vAlign w:val="center"/>
          </w:tcPr>
          <w:p w14:paraId="1CD0679B"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304 343</w:t>
            </w:r>
          </w:p>
        </w:tc>
        <w:tc>
          <w:tcPr>
            <w:tcW w:w="768" w:type="pct"/>
            <w:shd w:val="clear" w:color="auto" w:fill="auto"/>
            <w:vAlign w:val="center"/>
          </w:tcPr>
          <w:p w14:paraId="022360BB" w14:textId="77777777" w:rsidR="004C0EBC" w:rsidRPr="005A0FFC" w:rsidRDefault="004C0EBC" w:rsidP="005F07FB">
            <w:pPr>
              <w:ind w:right="-39"/>
              <w:jc w:val="center"/>
              <w:rPr>
                <w:rFonts w:eastAsia="Times New Roman" w:cs="Arial"/>
                <w:color w:val="000000"/>
                <w:sz w:val="20"/>
                <w:szCs w:val="20"/>
                <w:lang w:eastAsia="sk-SK"/>
              </w:rPr>
            </w:pPr>
            <w:r w:rsidRPr="005A0FFC">
              <w:rPr>
                <w:rFonts w:eastAsia="Times New Roman" w:cs="Arial"/>
                <w:color w:val="000000"/>
                <w:sz w:val="20"/>
                <w:szCs w:val="20"/>
                <w:lang w:eastAsia="sk-SK"/>
              </w:rPr>
              <w:t>70 194</w:t>
            </w:r>
          </w:p>
        </w:tc>
        <w:tc>
          <w:tcPr>
            <w:tcW w:w="670" w:type="pct"/>
            <w:shd w:val="clear" w:color="auto" w:fill="auto"/>
            <w:vAlign w:val="center"/>
          </w:tcPr>
          <w:p w14:paraId="22429AFC" w14:textId="77777777" w:rsidR="004C0EBC" w:rsidRPr="005A0FFC" w:rsidRDefault="004C0EBC" w:rsidP="005F07FB">
            <w:pPr>
              <w:ind w:right="-39"/>
              <w:jc w:val="center"/>
              <w:rPr>
                <w:rFonts w:eastAsia="Times New Roman" w:cs="Arial"/>
                <w:color w:val="000000"/>
                <w:sz w:val="20"/>
                <w:szCs w:val="20"/>
                <w:lang w:eastAsia="sk-SK"/>
              </w:rPr>
            </w:pPr>
            <w:r w:rsidRPr="005A0FFC">
              <w:rPr>
                <w:rFonts w:eastAsia="Times New Roman" w:cs="Arial"/>
                <w:color w:val="000000"/>
                <w:sz w:val="20"/>
                <w:szCs w:val="20"/>
                <w:lang w:eastAsia="sk-SK"/>
              </w:rPr>
              <w:t>96,1</w:t>
            </w:r>
          </w:p>
        </w:tc>
      </w:tr>
      <w:tr w:rsidR="004C0EBC" w:rsidRPr="00FE4345" w14:paraId="20673B0F" w14:textId="77777777" w:rsidTr="002F1AD7">
        <w:trPr>
          <w:trHeight w:val="20"/>
        </w:trPr>
        <w:tc>
          <w:tcPr>
            <w:tcW w:w="1740" w:type="pct"/>
            <w:shd w:val="clear" w:color="auto" w:fill="auto"/>
          </w:tcPr>
          <w:p w14:paraId="757F4C05" w14:textId="77777777" w:rsidR="004C0EBC" w:rsidRPr="00FE4345" w:rsidRDefault="004C0EBC" w:rsidP="00360C35">
            <w:pPr>
              <w:autoSpaceDE w:val="0"/>
              <w:autoSpaceDN w:val="0"/>
              <w:adjustRightInd w:val="0"/>
              <w:rPr>
                <w:rFonts w:eastAsia="Calibri" w:cs="Times New Roman"/>
                <w:color w:val="000000"/>
                <w:sz w:val="20"/>
                <w:szCs w:val="20"/>
              </w:rPr>
            </w:pPr>
            <w:r w:rsidRPr="00FE4345">
              <w:rPr>
                <w:rFonts w:eastAsia="Calibri" w:cs="Times New Roman"/>
                <w:color w:val="000000"/>
                <w:sz w:val="20"/>
                <w:szCs w:val="20"/>
              </w:rPr>
              <w:t xml:space="preserve">Odvod do rozpočtu EÚ (vrátane rezervy) </w:t>
            </w:r>
          </w:p>
        </w:tc>
        <w:tc>
          <w:tcPr>
            <w:tcW w:w="608" w:type="pct"/>
            <w:shd w:val="clear" w:color="auto" w:fill="auto"/>
            <w:vAlign w:val="center"/>
          </w:tcPr>
          <w:p w14:paraId="2F944F48"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731 424</w:t>
            </w:r>
          </w:p>
        </w:tc>
        <w:tc>
          <w:tcPr>
            <w:tcW w:w="607" w:type="pct"/>
            <w:shd w:val="clear" w:color="auto" w:fill="auto"/>
            <w:vAlign w:val="center"/>
          </w:tcPr>
          <w:p w14:paraId="67B2538C"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839 668</w:t>
            </w:r>
          </w:p>
        </w:tc>
        <w:tc>
          <w:tcPr>
            <w:tcW w:w="607" w:type="pct"/>
            <w:shd w:val="clear" w:color="auto" w:fill="auto"/>
            <w:vAlign w:val="center"/>
          </w:tcPr>
          <w:p w14:paraId="3F3C0C42"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750 226</w:t>
            </w:r>
          </w:p>
        </w:tc>
        <w:tc>
          <w:tcPr>
            <w:tcW w:w="768" w:type="pct"/>
            <w:shd w:val="clear" w:color="auto" w:fill="auto"/>
            <w:vAlign w:val="center"/>
          </w:tcPr>
          <w:p w14:paraId="7DAF171D" w14:textId="77777777" w:rsidR="004C0EBC" w:rsidRPr="005A0FFC" w:rsidRDefault="004C0EBC" w:rsidP="005F07FB">
            <w:pPr>
              <w:ind w:right="-39"/>
              <w:jc w:val="center"/>
              <w:rPr>
                <w:rFonts w:eastAsia="Times New Roman" w:cs="Arial"/>
                <w:color w:val="000000"/>
                <w:sz w:val="20"/>
                <w:szCs w:val="20"/>
                <w:lang w:eastAsia="sk-SK"/>
              </w:rPr>
            </w:pPr>
            <w:r w:rsidRPr="005A0FFC">
              <w:rPr>
                <w:rFonts w:eastAsia="Times New Roman" w:cs="Arial"/>
                <w:color w:val="000000"/>
                <w:sz w:val="20"/>
                <w:szCs w:val="20"/>
                <w:lang w:eastAsia="sk-SK"/>
              </w:rPr>
              <w:t>-89 442</w:t>
            </w:r>
          </w:p>
        </w:tc>
        <w:tc>
          <w:tcPr>
            <w:tcW w:w="670" w:type="pct"/>
            <w:shd w:val="clear" w:color="auto" w:fill="auto"/>
            <w:vAlign w:val="center"/>
          </w:tcPr>
          <w:p w14:paraId="4116BD41" w14:textId="77777777" w:rsidR="004C0EBC" w:rsidRPr="005A0FFC" w:rsidRDefault="004C0EBC" w:rsidP="005F07FB">
            <w:pPr>
              <w:ind w:right="-39"/>
              <w:jc w:val="center"/>
              <w:rPr>
                <w:rFonts w:eastAsia="Times New Roman" w:cs="Arial"/>
                <w:color w:val="000000"/>
                <w:sz w:val="20"/>
                <w:szCs w:val="20"/>
                <w:lang w:eastAsia="sk-SK"/>
              </w:rPr>
            </w:pPr>
            <w:r w:rsidRPr="005A0FFC">
              <w:rPr>
                <w:rFonts w:eastAsia="Times New Roman" w:cs="Arial"/>
                <w:color w:val="000000"/>
                <w:sz w:val="20"/>
                <w:szCs w:val="20"/>
                <w:lang w:eastAsia="sk-SK"/>
              </w:rPr>
              <w:t>102,6</w:t>
            </w:r>
          </w:p>
        </w:tc>
      </w:tr>
      <w:tr w:rsidR="004C0EBC" w:rsidRPr="00FE4345" w14:paraId="10E96034" w14:textId="77777777" w:rsidTr="002F1AD7">
        <w:trPr>
          <w:trHeight w:val="20"/>
        </w:trPr>
        <w:tc>
          <w:tcPr>
            <w:tcW w:w="1740" w:type="pct"/>
            <w:shd w:val="clear" w:color="auto" w:fill="auto"/>
          </w:tcPr>
          <w:p w14:paraId="33517D20" w14:textId="77777777" w:rsidR="004C0EBC" w:rsidRPr="00FE4345" w:rsidRDefault="004C0EBC" w:rsidP="00360C35">
            <w:pPr>
              <w:autoSpaceDE w:val="0"/>
              <w:autoSpaceDN w:val="0"/>
              <w:adjustRightInd w:val="0"/>
              <w:rPr>
                <w:rFonts w:eastAsia="Calibri" w:cs="Times New Roman"/>
                <w:color w:val="000000"/>
                <w:sz w:val="20"/>
                <w:szCs w:val="20"/>
              </w:rPr>
            </w:pPr>
            <w:r w:rsidRPr="00FE4345">
              <w:rPr>
                <w:rFonts w:eastAsia="Calibri" w:cs="Times New Roman"/>
                <w:color w:val="000000"/>
                <w:sz w:val="20"/>
                <w:szCs w:val="20"/>
              </w:rPr>
              <w:t xml:space="preserve">Transfer Sociálnej poisťovni </w:t>
            </w:r>
          </w:p>
        </w:tc>
        <w:tc>
          <w:tcPr>
            <w:tcW w:w="608" w:type="pct"/>
            <w:shd w:val="clear" w:color="auto" w:fill="auto"/>
            <w:vAlign w:val="center"/>
          </w:tcPr>
          <w:p w14:paraId="583A03D3"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106 413</w:t>
            </w:r>
          </w:p>
        </w:tc>
        <w:tc>
          <w:tcPr>
            <w:tcW w:w="607" w:type="pct"/>
            <w:shd w:val="clear" w:color="auto" w:fill="auto"/>
            <w:vAlign w:val="center"/>
          </w:tcPr>
          <w:p w14:paraId="44B18F44"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0</w:t>
            </w:r>
          </w:p>
        </w:tc>
        <w:tc>
          <w:tcPr>
            <w:tcW w:w="607" w:type="pct"/>
            <w:shd w:val="clear" w:color="auto" w:fill="auto"/>
            <w:vAlign w:val="center"/>
          </w:tcPr>
          <w:p w14:paraId="6AD206D5" w14:textId="77777777" w:rsidR="004C0EBC" w:rsidRPr="005A0FFC" w:rsidRDefault="004C0EBC" w:rsidP="005F07FB">
            <w:pPr>
              <w:ind w:right="-39"/>
              <w:jc w:val="center"/>
              <w:rPr>
                <w:rFonts w:eastAsia="Times New Roman" w:cs="Arial"/>
                <w:color w:val="252525"/>
                <w:sz w:val="20"/>
                <w:szCs w:val="20"/>
                <w:lang w:eastAsia="sk-SK"/>
              </w:rPr>
            </w:pPr>
            <w:r w:rsidRPr="005A0FFC">
              <w:rPr>
                <w:rFonts w:eastAsia="Times New Roman" w:cs="Arial"/>
                <w:color w:val="252525"/>
                <w:sz w:val="20"/>
                <w:szCs w:val="20"/>
                <w:lang w:eastAsia="sk-SK"/>
              </w:rPr>
              <w:t>0</w:t>
            </w:r>
          </w:p>
        </w:tc>
        <w:tc>
          <w:tcPr>
            <w:tcW w:w="768" w:type="pct"/>
            <w:shd w:val="clear" w:color="auto" w:fill="auto"/>
            <w:vAlign w:val="center"/>
          </w:tcPr>
          <w:p w14:paraId="165CFF22" w14:textId="77777777" w:rsidR="004C0EBC" w:rsidRPr="005A0FFC" w:rsidRDefault="004C0EBC" w:rsidP="005F07FB">
            <w:pPr>
              <w:ind w:right="-39"/>
              <w:jc w:val="center"/>
              <w:rPr>
                <w:rFonts w:eastAsia="Times New Roman" w:cs="Arial"/>
                <w:color w:val="000000"/>
                <w:sz w:val="20"/>
                <w:szCs w:val="20"/>
                <w:lang w:eastAsia="sk-SK"/>
              </w:rPr>
            </w:pPr>
            <w:r w:rsidRPr="005A0FFC">
              <w:rPr>
                <w:rFonts w:eastAsia="Times New Roman" w:cs="Arial"/>
                <w:color w:val="000000"/>
                <w:sz w:val="20"/>
                <w:szCs w:val="20"/>
                <w:lang w:eastAsia="sk-SK"/>
              </w:rPr>
              <w:t>0</w:t>
            </w:r>
          </w:p>
        </w:tc>
        <w:tc>
          <w:tcPr>
            <w:tcW w:w="670" w:type="pct"/>
            <w:shd w:val="clear" w:color="auto" w:fill="auto"/>
            <w:vAlign w:val="center"/>
          </w:tcPr>
          <w:p w14:paraId="08B4889B" w14:textId="77777777" w:rsidR="004C0EBC" w:rsidRPr="005A0FFC" w:rsidRDefault="004C0EBC" w:rsidP="005F07FB">
            <w:pPr>
              <w:ind w:right="-39"/>
              <w:jc w:val="center"/>
              <w:rPr>
                <w:rFonts w:eastAsia="Times New Roman" w:cs="Arial"/>
                <w:color w:val="000000"/>
                <w:sz w:val="20"/>
                <w:szCs w:val="20"/>
                <w:lang w:eastAsia="sk-SK"/>
              </w:rPr>
            </w:pPr>
            <w:r w:rsidRPr="005A0FFC">
              <w:rPr>
                <w:rFonts w:eastAsia="Times New Roman" w:cs="Arial"/>
                <w:color w:val="000000"/>
                <w:sz w:val="20"/>
                <w:szCs w:val="20"/>
                <w:lang w:eastAsia="sk-SK"/>
              </w:rPr>
              <w:t>-</w:t>
            </w:r>
          </w:p>
        </w:tc>
      </w:tr>
    </w:tbl>
    <w:bookmarkEnd w:id="29"/>
    <w:p w14:paraId="02C98285" w14:textId="77777777" w:rsidR="00733B45" w:rsidRPr="00EC258B" w:rsidRDefault="00733B45" w:rsidP="00CA4572">
      <w:pPr>
        <w:spacing w:after="120"/>
        <w:rPr>
          <w:rFonts w:eastAsia="Calibri" w:cs="Times New Roman"/>
          <w:i/>
          <w:sz w:val="18"/>
          <w:szCs w:val="20"/>
        </w:rPr>
      </w:pPr>
      <w:r w:rsidRPr="00EC258B">
        <w:rPr>
          <w:rFonts w:eastAsia="Calibri" w:cs="Times New Roman"/>
          <w:i/>
          <w:sz w:val="18"/>
          <w:szCs w:val="20"/>
        </w:rPr>
        <w:t>Zdroj: RVS na roky 2019 až 2021, Návrh ŠZÚ za rok 2019</w:t>
      </w:r>
    </w:p>
    <w:p w14:paraId="48B63A06" w14:textId="1819E22B" w:rsidR="00733B45" w:rsidRPr="0080595C" w:rsidRDefault="00733B45" w:rsidP="00852362">
      <w:pPr>
        <w:pStyle w:val="Bezriadkovania"/>
        <w:spacing w:before="120" w:after="120"/>
        <w:jc w:val="both"/>
        <w:rPr>
          <w:b/>
          <w:szCs w:val="22"/>
        </w:rPr>
      </w:pPr>
      <w:r w:rsidRPr="008317DA">
        <w:t xml:space="preserve">Na celkové výdavky spojené so správou štátneho dlhu (vrátane manipulačných poplatkov) bolo v rozpočte vyčlenených 1 178 597 tis. eur. </w:t>
      </w:r>
      <w:r w:rsidR="004C0EBC" w:rsidRPr="008317DA">
        <w:t>Z toho predstavovali s</w:t>
      </w:r>
      <w:r w:rsidRPr="008317DA">
        <w:t>kutočne realizované výdavky 91,4 %.</w:t>
      </w:r>
      <w:r w:rsidR="00852362" w:rsidRPr="008317DA">
        <w:t xml:space="preserve"> </w:t>
      </w:r>
      <w:r w:rsidRPr="008317DA">
        <w:t xml:space="preserve">Výdavky </w:t>
      </w:r>
      <w:r w:rsidRPr="008317DA">
        <w:rPr>
          <w:lang w:bidi="en-US"/>
        </w:rPr>
        <w:t xml:space="preserve">za prostriedky </w:t>
      </w:r>
      <w:r w:rsidRPr="008317DA">
        <w:t xml:space="preserve">EÚ </w:t>
      </w:r>
      <w:r w:rsidRPr="008317DA">
        <w:rPr>
          <w:lang w:bidi="en-US"/>
        </w:rPr>
        <w:t xml:space="preserve">boli na rok 2019 </w:t>
      </w:r>
      <w:r w:rsidRPr="008317DA">
        <w:t xml:space="preserve">rozpočtované </w:t>
      </w:r>
      <w:r w:rsidRPr="008317DA">
        <w:rPr>
          <w:lang w:bidi="en-US"/>
        </w:rPr>
        <w:t xml:space="preserve">vo </w:t>
      </w:r>
      <w:r w:rsidRPr="008317DA">
        <w:t xml:space="preserve">výške </w:t>
      </w:r>
      <w:r w:rsidRPr="008317DA">
        <w:rPr>
          <w:lang w:bidi="en-US"/>
        </w:rPr>
        <w:t xml:space="preserve">1 665 041 tis. eur, teda v rovnakej </w:t>
      </w:r>
      <w:r w:rsidRPr="008317DA">
        <w:t xml:space="preserve">výške </w:t>
      </w:r>
      <w:r w:rsidRPr="008317DA">
        <w:rPr>
          <w:lang w:bidi="en-US"/>
        </w:rPr>
        <w:t xml:space="preserve">ako </w:t>
      </w:r>
      <w:r w:rsidRPr="008317DA">
        <w:t xml:space="preserve">príjmy </w:t>
      </w:r>
      <w:r w:rsidRPr="008317DA">
        <w:rPr>
          <w:lang w:bidi="en-US"/>
        </w:rPr>
        <w:t xml:space="preserve">z </w:t>
      </w:r>
      <w:r w:rsidRPr="008317DA">
        <w:t xml:space="preserve">rozpočtu EÚ. Skutočné </w:t>
      </w:r>
      <w:r w:rsidRPr="008317DA">
        <w:rPr>
          <w:lang w:bidi="en-US"/>
        </w:rPr>
        <w:t xml:space="preserve">plnenie </w:t>
      </w:r>
      <w:r w:rsidRPr="008317DA">
        <w:t>výdavkov EÚ dosiahlo</w:t>
      </w:r>
      <w:r w:rsidRPr="008317DA">
        <w:rPr>
          <w:lang w:bidi="en-US"/>
        </w:rPr>
        <w:t xml:space="preserve"> 125,7 % schváleného rozpočtu na rok 2019, ale medziročne boli vyššie len o </w:t>
      </w:r>
      <w:r w:rsidRPr="008317DA">
        <w:rPr>
          <w:rFonts w:cs="Arial"/>
        </w:rPr>
        <w:t>10 652 tis. eur, t. j. o 0,5 %.</w:t>
      </w:r>
      <w:r w:rsidR="00852362" w:rsidRPr="008317DA">
        <w:rPr>
          <w:rFonts w:cs="Arial"/>
        </w:rPr>
        <w:t xml:space="preserve"> </w:t>
      </w:r>
      <w:r w:rsidRPr="008317DA">
        <w:t xml:space="preserve">Výdavky na spolufinancovanie zo ŠR boli rozpočtované vo výške 234 149 tis. eur. Skutočnosť </w:t>
      </w:r>
      <w:r w:rsidR="00F87465" w:rsidRPr="008317DA">
        <w:t>tvorila</w:t>
      </w:r>
      <w:r w:rsidRPr="008317DA">
        <w:t xml:space="preserve"> 130 % v porovnaní so schváleným rozpočtom.</w:t>
      </w:r>
      <w:r w:rsidR="00852362" w:rsidRPr="008317DA">
        <w:t xml:space="preserve"> </w:t>
      </w:r>
      <w:r w:rsidRPr="008317DA">
        <w:t xml:space="preserve">Odvod do rozpočtu EÚ (vrátane rezervy) bol rozpočtovaný </w:t>
      </w:r>
      <w:r w:rsidRPr="008317DA">
        <w:rPr>
          <w:lang w:bidi="en-US"/>
        </w:rPr>
        <w:t xml:space="preserve">v sume 839 668 tis. eur. </w:t>
      </w:r>
      <w:r w:rsidRPr="008317DA">
        <w:t xml:space="preserve">Konečný </w:t>
      </w:r>
      <w:r w:rsidRPr="008317DA">
        <w:rPr>
          <w:lang w:bidi="en-US"/>
        </w:rPr>
        <w:t>odvod predstavoval sumu 750 226 tis. eur.</w:t>
      </w:r>
      <w:r w:rsidR="00852362" w:rsidRPr="008317DA">
        <w:rPr>
          <w:lang w:bidi="en-US"/>
        </w:rPr>
        <w:t xml:space="preserve"> </w:t>
      </w:r>
      <w:r w:rsidRPr="008317DA">
        <w:t>Transfer Sociálnej poisťovni, a. s.</w:t>
      </w:r>
      <w:r w:rsidR="00AA6852">
        <w:t>,</w:t>
      </w:r>
      <w:r w:rsidRPr="008317DA">
        <w:t xml:space="preserve"> nebol rozpočtovaný a aj skutočnosť bola nulová.</w:t>
      </w:r>
      <w:r>
        <w:t xml:space="preserve"> </w:t>
      </w:r>
      <w:r w:rsidRPr="0080595C">
        <w:rPr>
          <w:b/>
          <w:szCs w:val="22"/>
        </w:rPr>
        <w:t xml:space="preserve">NKÚ SR konštatuje, že zámery rozpočtovej politiky vo vybraných oblastiach sa podarilo naplniť. </w:t>
      </w:r>
    </w:p>
    <w:p w14:paraId="11DCC0CA" w14:textId="523D847C" w:rsidR="00AC4666" w:rsidRPr="00B65251" w:rsidRDefault="00165F0C" w:rsidP="007E246F">
      <w:pPr>
        <w:pStyle w:val="Nadpis2"/>
        <w:numPr>
          <w:ilvl w:val="1"/>
          <w:numId w:val="23"/>
        </w:numPr>
      </w:pPr>
      <w:bookmarkStart w:id="30" w:name="_Toc484097738"/>
      <w:bookmarkStart w:id="31" w:name="_Toc514137469"/>
      <w:bookmarkStart w:id="32" w:name="_Toc43218070"/>
      <w:r w:rsidRPr="00B65251">
        <w:t>Príjmy štátneho rozpočt</w:t>
      </w:r>
      <w:bookmarkEnd w:id="30"/>
      <w:bookmarkEnd w:id="31"/>
      <w:r w:rsidR="00733B45" w:rsidRPr="00B65251">
        <w:t>u</w:t>
      </w:r>
      <w:bookmarkEnd w:id="32"/>
    </w:p>
    <w:p w14:paraId="1ABB00F3" w14:textId="77777777" w:rsidR="00733B45" w:rsidRPr="002C355B" w:rsidRDefault="00733B45" w:rsidP="00C44A75">
      <w:pPr>
        <w:spacing w:before="120" w:after="120"/>
        <w:jc w:val="both"/>
      </w:pPr>
      <w:r>
        <w:t>Zákonom o ŠR na rok 2019</w:t>
      </w:r>
      <w:r w:rsidRPr="002C355B">
        <w:t xml:space="preserve"> boli celkové príjmy ŠR schválené vo výške </w:t>
      </w:r>
      <w:r w:rsidRPr="002C355B">
        <w:rPr>
          <w:rFonts w:cs="Arial CE"/>
          <w:bCs/>
          <w:lang w:eastAsia="sk-SK"/>
        </w:rPr>
        <w:t>1</w:t>
      </w:r>
      <w:r>
        <w:rPr>
          <w:rFonts w:cs="Arial CE"/>
          <w:bCs/>
          <w:lang w:eastAsia="sk-SK"/>
        </w:rPr>
        <w:t>5 497 654</w:t>
      </w:r>
      <w:r w:rsidRPr="002C355B">
        <w:t xml:space="preserve"> tis. eur. Rozpočtovými opatreniami boli z</w:t>
      </w:r>
      <w:r>
        <w:t>výšené</w:t>
      </w:r>
      <w:r w:rsidRPr="002C355B">
        <w:t xml:space="preserve"> na sumu </w:t>
      </w:r>
      <w:r>
        <w:rPr>
          <w:rFonts w:cs="Arial CE"/>
          <w:bCs/>
          <w:lang w:eastAsia="sk-SK"/>
        </w:rPr>
        <w:t>15 943 099</w:t>
      </w:r>
      <w:r w:rsidRPr="002C355B">
        <w:rPr>
          <w:rFonts w:cs="Arial CE"/>
          <w:bCs/>
          <w:lang w:eastAsia="sk-SK"/>
        </w:rPr>
        <w:t xml:space="preserve"> </w:t>
      </w:r>
      <w:r w:rsidRPr="002C355B">
        <w:t xml:space="preserve">tis. eur. Skutočné príjmy dosiahli výšku </w:t>
      </w:r>
      <w:r>
        <w:rPr>
          <w:rFonts w:cs="Arial CE"/>
          <w:bCs/>
          <w:lang w:eastAsia="sk-SK"/>
        </w:rPr>
        <w:t>15 825 535</w:t>
      </w:r>
      <w:r w:rsidRPr="002C355B">
        <w:rPr>
          <w:rFonts w:cs="Arial CE"/>
          <w:bCs/>
          <w:lang w:eastAsia="sk-SK"/>
        </w:rPr>
        <w:t xml:space="preserve"> </w:t>
      </w:r>
      <w:r w:rsidRPr="002C355B">
        <w:t>tis. eur,</w:t>
      </w:r>
      <w:r>
        <w:t xml:space="preserve"> čo predstavuje plnenie na 99,3 % v porovnaní s upraveným rozpočtom. </w:t>
      </w:r>
    </w:p>
    <w:p w14:paraId="13202F11" w14:textId="77777777" w:rsidR="00165F0C" w:rsidRPr="0068393F" w:rsidRDefault="00165F0C" w:rsidP="00C44A75">
      <w:pPr>
        <w:pStyle w:val="Nadpis4"/>
        <w:spacing w:before="120" w:after="120"/>
        <w:jc w:val="both"/>
      </w:pPr>
      <w:r w:rsidRPr="00C37DC1">
        <w:t>Daňové príjmy</w:t>
      </w:r>
    </w:p>
    <w:p w14:paraId="098BF328" w14:textId="0B5FD0D7" w:rsidR="00733B45" w:rsidRPr="007C6EB7" w:rsidRDefault="00733B45" w:rsidP="007C6EB7">
      <w:pPr>
        <w:spacing w:before="120" w:after="120"/>
        <w:jc w:val="both"/>
      </w:pPr>
      <w:r>
        <w:t>Daňové príjmy ŠR na rok 2019</w:t>
      </w:r>
      <w:r w:rsidRPr="00184F7A">
        <w:t xml:space="preserve"> boli rozpočtované vo výške </w:t>
      </w:r>
      <w:r>
        <w:rPr>
          <w:rFonts w:cs="Arial CE"/>
          <w:bCs/>
          <w:lang w:eastAsia="sk-SK"/>
        </w:rPr>
        <w:t>12 464 557</w:t>
      </w:r>
      <w:r w:rsidRPr="00184F7A">
        <w:t> tis. eur. Skuto</w:t>
      </w:r>
      <w:r>
        <w:t>čné daňové príjmy ŠR v roku 2019</w:t>
      </w:r>
      <w:r w:rsidRPr="00184F7A">
        <w:t xml:space="preserve"> boli vo výške </w:t>
      </w:r>
      <w:r>
        <w:rPr>
          <w:rFonts w:cs="Arial CE"/>
          <w:bCs/>
          <w:lang w:eastAsia="sk-SK"/>
        </w:rPr>
        <w:t>12 336 444</w:t>
      </w:r>
      <w:r w:rsidRPr="00184F7A">
        <w:t xml:space="preserve"> tis. eur, čo pred</w:t>
      </w:r>
      <w:r>
        <w:t>stavuje plnenie rozpočtu na 99</w:t>
      </w:r>
      <w:r w:rsidRPr="00184F7A">
        <w:t xml:space="preserve"> %. </w:t>
      </w:r>
      <w:r w:rsidRPr="00EC5FA0">
        <w:t>Nenaplnenie daňových príjmov bolo spôsobené najmä zrušením</w:t>
      </w:r>
      <w:r w:rsidR="00AA6852">
        <w:t>,</w:t>
      </w:r>
      <w:r w:rsidRPr="00EC5FA0">
        <w:t xml:space="preserve"> resp. nenaplnením iný</w:t>
      </w:r>
      <w:r>
        <w:t>ch</w:t>
      </w:r>
      <w:r w:rsidRPr="00EC5FA0">
        <w:t xml:space="preserve"> daní, s ktorými rozpočet 2019 počítal. Ide najmä o osobitný odvod obchodných reťazcov (rozpočet počítal s hotovostným plnením 112 504 tis. eur) a príjmy zo zavedenia eKasy a nanomarkerov (rozpočet predpokladal 90 000 tis. eur). Výnos spotrebných daní ne</w:t>
      </w:r>
      <w:r w:rsidR="00AA6852">
        <w:t>naplnil</w:t>
      </w:r>
      <w:r>
        <w:t xml:space="preserve"> rozpočtovanú hodnotu o </w:t>
      </w:r>
      <w:r w:rsidRPr="00EC5FA0">
        <w:t xml:space="preserve">59 451 tis. eur a daň z motorových vozidiel o 9 132 tis. eur. Vyššie ako rozpočtované príjmy boli napríklad pri DPH o 98 426 tis. eur a dani z príjmov právnických osôb o 17 683 tis. eur. </w:t>
      </w:r>
      <w:r w:rsidRPr="00184F7A">
        <w:t>V por</w:t>
      </w:r>
      <w:r>
        <w:t>ovnaní so skutočnosťou roku 2018</w:t>
      </w:r>
      <w:r w:rsidRPr="00184F7A">
        <w:t xml:space="preserve"> boli celkové </w:t>
      </w:r>
      <w:r w:rsidRPr="007C6EB7">
        <w:t>daňové príjmy na hotovostnej báze vyššie o 370 662 tis. eur, čo predstavuje medziročný rast vo výške 3,1 %. Prehľad o plnení daňových príjmov ŠR</w:t>
      </w:r>
      <w:r w:rsidR="007C6EB7" w:rsidRPr="007C6EB7">
        <w:t xml:space="preserve"> je uvedený v Tabuľke </w:t>
      </w:r>
      <w:r w:rsidR="007C6EB7">
        <w:t>5</w:t>
      </w:r>
      <w:r w:rsidR="007C6EB7" w:rsidRPr="007C6EB7">
        <w:t xml:space="preserve"> v Prílohe.</w:t>
      </w:r>
    </w:p>
    <w:p w14:paraId="47316743" w14:textId="77777777" w:rsidR="005250EA" w:rsidRPr="00066EFF" w:rsidRDefault="005250EA" w:rsidP="00CA4572">
      <w:pPr>
        <w:pStyle w:val="Nadpis4"/>
        <w:spacing w:before="120" w:after="120"/>
      </w:pPr>
      <w:r w:rsidRPr="00C37DC1">
        <w:t>Nedaňové príjmy</w:t>
      </w:r>
    </w:p>
    <w:p w14:paraId="4C1A771C" w14:textId="77777777" w:rsidR="00417AF6" w:rsidRDefault="00733B45" w:rsidP="00CA4572">
      <w:pPr>
        <w:spacing w:before="120" w:after="120"/>
        <w:jc w:val="both"/>
      </w:pPr>
      <w:r w:rsidRPr="008C277B">
        <w:t>Podiel nedaňových príjmov na cel</w:t>
      </w:r>
      <w:r>
        <w:t xml:space="preserve">kových príjmoch ŠR </w:t>
      </w:r>
      <w:r w:rsidR="003A5098">
        <w:t>bol v roku 2019</w:t>
      </w:r>
      <w:r>
        <w:t xml:space="preserve"> 8,4 %, čo je o 0,5</w:t>
      </w:r>
      <w:r w:rsidRPr="008C277B">
        <w:t xml:space="preserve"> % </w:t>
      </w:r>
      <w:r>
        <w:t>viac</w:t>
      </w:r>
      <w:r w:rsidRPr="008C277B">
        <w:t xml:space="preserve"> </w:t>
      </w:r>
      <w:r>
        <w:t>v porovnaní so </w:t>
      </w:r>
      <w:r w:rsidRPr="008C277B">
        <w:t>skutočnos</w:t>
      </w:r>
      <w:r>
        <w:t>ťou v roku 2018</w:t>
      </w:r>
      <w:r w:rsidRPr="008C277B">
        <w:t>.</w:t>
      </w:r>
    </w:p>
    <w:p w14:paraId="4ECB4ACC" w14:textId="77777777" w:rsidR="00417AF6" w:rsidRDefault="00417AF6" w:rsidP="00417AF6">
      <w:pPr>
        <w:spacing w:before="120"/>
        <w:rPr>
          <w:b/>
          <w:i/>
        </w:rPr>
      </w:pPr>
      <w:r w:rsidRPr="00F2110A">
        <w:rPr>
          <w:b/>
          <w:i/>
        </w:rPr>
        <w:t>Prehľad o plnení nedaňových príjmov ŠR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1134"/>
        <w:gridCol w:w="1134"/>
        <w:gridCol w:w="992"/>
        <w:gridCol w:w="1134"/>
        <w:gridCol w:w="851"/>
        <w:gridCol w:w="992"/>
      </w:tblGrid>
      <w:tr w:rsidR="00417AF6" w:rsidRPr="007C6EB7" w14:paraId="5BB6BA7C" w14:textId="77777777" w:rsidTr="00AD535A">
        <w:trPr>
          <w:trHeight w:val="20"/>
          <w:tblHeader/>
          <w:jc w:val="center"/>
        </w:trPr>
        <w:tc>
          <w:tcPr>
            <w:tcW w:w="3114" w:type="dxa"/>
            <w:vMerge w:val="restart"/>
            <w:shd w:val="clear" w:color="auto" w:fill="0070C0"/>
            <w:noWrap/>
            <w:vAlign w:val="center"/>
          </w:tcPr>
          <w:p w14:paraId="68015A76" w14:textId="77777777" w:rsidR="00417AF6" w:rsidRPr="007C6EB7" w:rsidRDefault="00417AF6" w:rsidP="00B61DA0">
            <w:pPr>
              <w:rPr>
                <w:rFonts w:eastAsia="Calibri" w:cs="Arial"/>
                <w:color w:val="FFFFFF"/>
                <w:sz w:val="20"/>
                <w:szCs w:val="20"/>
              </w:rPr>
            </w:pPr>
            <w:r w:rsidRPr="007C6EB7">
              <w:rPr>
                <w:rFonts w:eastAsia="Calibri" w:cs="Arial CE"/>
                <w:b/>
                <w:bCs/>
                <w:color w:val="FFFFFF"/>
                <w:sz w:val="20"/>
                <w:szCs w:val="20"/>
              </w:rPr>
              <w:t>Ukazovateľ</w:t>
            </w:r>
            <w:r>
              <w:rPr>
                <w:rFonts w:eastAsia="Calibri" w:cs="Arial CE"/>
                <w:b/>
                <w:bCs/>
                <w:color w:val="FFFFFF"/>
                <w:sz w:val="20"/>
                <w:szCs w:val="20"/>
              </w:rPr>
              <w:t xml:space="preserve"> </w:t>
            </w:r>
            <w:r w:rsidRPr="007C6EB7">
              <w:rPr>
                <w:rFonts w:eastAsia="Calibri" w:cs="Arial CE"/>
                <w:b/>
                <w:bCs/>
                <w:color w:val="FFFFFF"/>
                <w:sz w:val="20"/>
                <w:szCs w:val="20"/>
              </w:rPr>
              <w:t>(v tis. eur)</w:t>
            </w:r>
          </w:p>
        </w:tc>
        <w:tc>
          <w:tcPr>
            <w:tcW w:w="1134" w:type="dxa"/>
            <w:vMerge w:val="restart"/>
            <w:shd w:val="clear" w:color="auto" w:fill="0070C0"/>
            <w:vAlign w:val="center"/>
          </w:tcPr>
          <w:p w14:paraId="16F83F5B" w14:textId="77777777" w:rsidR="00417AF6" w:rsidRPr="007C6EB7" w:rsidRDefault="00417AF6" w:rsidP="00B61DA0">
            <w:pPr>
              <w:jc w:val="center"/>
              <w:rPr>
                <w:rFonts w:eastAsia="Calibri" w:cs="Arial"/>
                <w:color w:val="FFFFFF"/>
                <w:sz w:val="20"/>
                <w:szCs w:val="20"/>
              </w:rPr>
            </w:pPr>
            <w:r w:rsidRPr="007C6EB7">
              <w:rPr>
                <w:rFonts w:eastAsia="Calibri" w:cs="Arial CE"/>
                <w:b/>
                <w:bCs/>
                <w:color w:val="FFFFFF"/>
                <w:sz w:val="20"/>
                <w:szCs w:val="20"/>
              </w:rPr>
              <w:t>Skutočnosť 2018</w:t>
            </w:r>
          </w:p>
        </w:tc>
        <w:tc>
          <w:tcPr>
            <w:tcW w:w="2126" w:type="dxa"/>
            <w:gridSpan w:val="2"/>
            <w:shd w:val="clear" w:color="auto" w:fill="0070C0"/>
            <w:vAlign w:val="center"/>
          </w:tcPr>
          <w:p w14:paraId="4CA33B68" w14:textId="77777777" w:rsidR="00417AF6" w:rsidRPr="007C6EB7" w:rsidRDefault="00417AF6" w:rsidP="00B61DA0">
            <w:pPr>
              <w:jc w:val="center"/>
              <w:rPr>
                <w:rFonts w:eastAsia="Calibri" w:cs="Arial"/>
                <w:b/>
                <w:color w:val="FFFFFF"/>
                <w:sz w:val="20"/>
                <w:szCs w:val="20"/>
              </w:rPr>
            </w:pPr>
            <w:r w:rsidRPr="007C6EB7">
              <w:rPr>
                <w:rFonts w:eastAsia="Calibri" w:cs="Arial"/>
                <w:b/>
                <w:color w:val="FFFFFF"/>
                <w:sz w:val="20"/>
                <w:szCs w:val="20"/>
              </w:rPr>
              <w:t>Rozpočet 2019</w:t>
            </w:r>
          </w:p>
        </w:tc>
        <w:tc>
          <w:tcPr>
            <w:tcW w:w="1134" w:type="dxa"/>
            <w:vMerge w:val="restart"/>
            <w:shd w:val="clear" w:color="auto" w:fill="0070C0"/>
            <w:vAlign w:val="center"/>
          </w:tcPr>
          <w:p w14:paraId="2D2AEB36" w14:textId="77777777" w:rsidR="00417AF6" w:rsidRPr="007C6EB7" w:rsidRDefault="00417AF6" w:rsidP="00B61DA0">
            <w:pPr>
              <w:jc w:val="center"/>
              <w:rPr>
                <w:rFonts w:eastAsia="Calibri" w:cs="Arial CE"/>
                <w:b/>
                <w:bCs/>
                <w:color w:val="FFFFFF"/>
                <w:sz w:val="20"/>
                <w:szCs w:val="20"/>
              </w:rPr>
            </w:pPr>
            <w:r w:rsidRPr="007C6EB7">
              <w:rPr>
                <w:rFonts w:eastAsia="Calibri" w:cs="Arial CE"/>
                <w:b/>
                <w:bCs/>
                <w:color w:val="FFFFFF"/>
                <w:sz w:val="20"/>
                <w:szCs w:val="20"/>
              </w:rPr>
              <w:t>Skutočnosť</w:t>
            </w:r>
          </w:p>
          <w:p w14:paraId="628E35B4" w14:textId="77777777" w:rsidR="00417AF6" w:rsidRPr="007C6EB7" w:rsidRDefault="00417AF6" w:rsidP="00B61DA0">
            <w:pPr>
              <w:jc w:val="center"/>
              <w:rPr>
                <w:rFonts w:eastAsia="Calibri" w:cs="Arial"/>
                <w:color w:val="FFFFFF"/>
                <w:sz w:val="20"/>
                <w:szCs w:val="20"/>
              </w:rPr>
            </w:pPr>
            <w:r w:rsidRPr="007C6EB7">
              <w:rPr>
                <w:rFonts w:eastAsia="Calibri" w:cs="Arial CE"/>
                <w:b/>
                <w:bCs/>
                <w:color w:val="FFFFFF"/>
                <w:sz w:val="20"/>
                <w:szCs w:val="20"/>
              </w:rPr>
              <w:t>2019</w:t>
            </w:r>
          </w:p>
        </w:tc>
        <w:tc>
          <w:tcPr>
            <w:tcW w:w="851" w:type="dxa"/>
            <w:vMerge w:val="restart"/>
            <w:shd w:val="clear" w:color="auto" w:fill="0070C0"/>
            <w:vAlign w:val="center"/>
          </w:tcPr>
          <w:p w14:paraId="04AF3859" w14:textId="63C43336" w:rsidR="00417AF6" w:rsidRPr="007C6EB7" w:rsidRDefault="00417AF6" w:rsidP="002E55A3">
            <w:pPr>
              <w:jc w:val="center"/>
              <w:rPr>
                <w:rFonts w:eastAsia="Calibri" w:cs="Arial"/>
                <w:color w:val="FFFFFF"/>
                <w:sz w:val="20"/>
                <w:szCs w:val="20"/>
              </w:rPr>
            </w:pPr>
            <w:r w:rsidRPr="007C6EB7">
              <w:rPr>
                <w:rFonts w:eastAsia="Calibri" w:cs="Arial CE"/>
                <w:b/>
                <w:bCs/>
                <w:color w:val="FFFFFF"/>
                <w:sz w:val="20"/>
                <w:szCs w:val="20"/>
              </w:rPr>
              <w:t>Rozdiel</w:t>
            </w:r>
          </w:p>
        </w:tc>
        <w:tc>
          <w:tcPr>
            <w:tcW w:w="992" w:type="dxa"/>
            <w:vMerge w:val="restart"/>
            <w:shd w:val="clear" w:color="auto" w:fill="0070C0"/>
            <w:noWrap/>
            <w:vAlign w:val="center"/>
          </w:tcPr>
          <w:p w14:paraId="51116EC5" w14:textId="77777777" w:rsidR="00417AF6" w:rsidRPr="007C6EB7" w:rsidRDefault="00417AF6" w:rsidP="00B61DA0">
            <w:pPr>
              <w:jc w:val="center"/>
              <w:rPr>
                <w:rFonts w:eastAsia="Calibri" w:cs="Arial CE"/>
                <w:b/>
                <w:bCs/>
                <w:color w:val="FFFFFF"/>
                <w:sz w:val="20"/>
                <w:szCs w:val="20"/>
              </w:rPr>
            </w:pPr>
            <w:r w:rsidRPr="007C6EB7">
              <w:rPr>
                <w:rFonts w:eastAsia="Calibri" w:cs="Arial CE"/>
                <w:b/>
                <w:bCs/>
                <w:color w:val="FFFFFF"/>
                <w:sz w:val="20"/>
                <w:szCs w:val="20"/>
              </w:rPr>
              <w:t>Index</w:t>
            </w:r>
          </w:p>
          <w:p w14:paraId="24D35D80" w14:textId="77777777" w:rsidR="00417AF6" w:rsidRPr="007C6EB7" w:rsidRDefault="00417AF6" w:rsidP="00B61DA0">
            <w:pPr>
              <w:jc w:val="center"/>
              <w:rPr>
                <w:rFonts w:eastAsia="Calibri" w:cs="Arial"/>
                <w:color w:val="FFFFFF"/>
                <w:sz w:val="20"/>
                <w:szCs w:val="20"/>
              </w:rPr>
            </w:pPr>
            <w:r w:rsidRPr="007C6EB7">
              <w:rPr>
                <w:rFonts w:eastAsia="Calibri" w:cs="Arial CE"/>
                <w:b/>
                <w:bCs/>
                <w:color w:val="FFFFFF"/>
                <w:sz w:val="20"/>
                <w:szCs w:val="20"/>
              </w:rPr>
              <w:t>(v %)</w:t>
            </w:r>
          </w:p>
        </w:tc>
      </w:tr>
      <w:tr w:rsidR="00417AF6" w:rsidRPr="007C6EB7" w14:paraId="26370BCE" w14:textId="77777777" w:rsidTr="00AD535A">
        <w:trPr>
          <w:trHeight w:val="20"/>
          <w:tblHeader/>
          <w:jc w:val="center"/>
        </w:trPr>
        <w:tc>
          <w:tcPr>
            <w:tcW w:w="3114" w:type="dxa"/>
            <w:vMerge/>
            <w:shd w:val="clear" w:color="auto" w:fill="auto"/>
            <w:noWrap/>
            <w:vAlign w:val="center"/>
          </w:tcPr>
          <w:p w14:paraId="0C1D0FBA" w14:textId="77777777" w:rsidR="00417AF6" w:rsidRPr="007C6EB7" w:rsidRDefault="00417AF6" w:rsidP="00B61DA0">
            <w:pPr>
              <w:rPr>
                <w:rFonts w:eastAsia="Calibri" w:cs="Arial"/>
                <w:sz w:val="20"/>
                <w:szCs w:val="20"/>
              </w:rPr>
            </w:pPr>
          </w:p>
        </w:tc>
        <w:tc>
          <w:tcPr>
            <w:tcW w:w="1134" w:type="dxa"/>
            <w:vMerge/>
            <w:shd w:val="clear" w:color="auto" w:fill="auto"/>
            <w:vAlign w:val="center"/>
          </w:tcPr>
          <w:p w14:paraId="51F0FC88" w14:textId="77777777" w:rsidR="00417AF6" w:rsidRPr="007C6EB7" w:rsidRDefault="00417AF6" w:rsidP="00B61DA0">
            <w:pPr>
              <w:rPr>
                <w:rFonts w:eastAsia="Calibri" w:cs="Arial"/>
                <w:sz w:val="20"/>
                <w:szCs w:val="20"/>
              </w:rPr>
            </w:pPr>
          </w:p>
        </w:tc>
        <w:tc>
          <w:tcPr>
            <w:tcW w:w="1134" w:type="dxa"/>
            <w:shd w:val="clear" w:color="auto" w:fill="0070C0"/>
            <w:vAlign w:val="center"/>
          </w:tcPr>
          <w:p w14:paraId="2514BC75" w14:textId="77777777" w:rsidR="00417AF6" w:rsidRPr="007C6EB7" w:rsidRDefault="00417AF6" w:rsidP="00B61DA0">
            <w:pPr>
              <w:jc w:val="center"/>
              <w:rPr>
                <w:rFonts w:eastAsia="Calibri" w:cs="Arial"/>
                <w:b/>
                <w:color w:val="FFFFFF"/>
                <w:sz w:val="20"/>
                <w:szCs w:val="20"/>
              </w:rPr>
            </w:pPr>
            <w:r w:rsidRPr="007C6EB7">
              <w:rPr>
                <w:rFonts w:eastAsia="Calibri" w:cs="Arial"/>
                <w:b/>
                <w:color w:val="FFFFFF"/>
                <w:sz w:val="20"/>
                <w:szCs w:val="20"/>
              </w:rPr>
              <w:t>schválený</w:t>
            </w:r>
          </w:p>
        </w:tc>
        <w:tc>
          <w:tcPr>
            <w:tcW w:w="992" w:type="dxa"/>
            <w:shd w:val="clear" w:color="auto" w:fill="0070C0"/>
            <w:vAlign w:val="center"/>
          </w:tcPr>
          <w:p w14:paraId="278EA02F" w14:textId="77777777" w:rsidR="00417AF6" w:rsidRPr="007C6EB7" w:rsidRDefault="00417AF6" w:rsidP="00B61DA0">
            <w:pPr>
              <w:jc w:val="center"/>
              <w:rPr>
                <w:rFonts w:eastAsia="Calibri" w:cs="Arial"/>
                <w:b/>
                <w:color w:val="FFFFFF"/>
                <w:sz w:val="20"/>
                <w:szCs w:val="20"/>
              </w:rPr>
            </w:pPr>
            <w:r w:rsidRPr="007C6EB7">
              <w:rPr>
                <w:rFonts w:eastAsia="Calibri" w:cs="Arial"/>
                <w:b/>
                <w:color w:val="FFFFFF"/>
                <w:sz w:val="20"/>
                <w:szCs w:val="20"/>
              </w:rPr>
              <w:t>upravený</w:t>
            </w:r>
          </w:p>
        </w:tc>
        <w:tc>
          <w:tcPr>
            <w:tcW w:w="1134" w:type="dxa"/>
            <w:vMerge/>
            <w:shd w:val="clear" w:color="auto" w:fill="auto"/>
            <w:vAlign w:val="center"/>
          </w:tcPr>
          <w:p w14:paraId="25A3F016" w14:textId="77777777" w:rsidR="00417AF6" w:rsidRPr="007C6EB7" w:rsidRDefault="00417AF6" w:rsidP="00B61DA0">
            <w:pPr>
              <w:rPr>
                <w:rFonts w:eastAsia="Calibri" w:cs="Arial"/>
                <w:sz w:val="20"/>
                <w:szCs w:val="20"/>
              </w:rPr>
            </w:pPr>
          </w:p>
        </w:tc>
        <w:tc>
          <w:tcPr>
            <w:tcW w:w="851" w:type="dxa"/>
            <w:vMerge/>
            <w:shd w:val="clear" w:color="auto" w:fill="auto"/>
            <w:vAlign w:val="center"/>
          </w:tcPr>
          <w:p w14:paraId="1D3E3AA2" w14:textId="77777777" w:rsidR="00417AF6" w:rsidRPr="007C6EB7" w:rsidRDefault="00417AF6" w:rsidP="00B61DA0">
            <w:pPr>
              <w:rPr>
                <w:rFonts w:eastAsia="Calibri" w:cs="Arial"/>
                <w:sz w:val="20"/>
                <w:szCs w:val="20"/>
              </w:rPr>
            </w:pPr>
          </w:p>
        </w:tc>
        <w:tc>
          <w:tcPr>
            <w:tcW w:w="992" w:type="dxa"/>
            <w:vMerge/>
            <w:shd w:val="clear" w:color="auto" w:fill="auto"/>
            <w:noWrap/>
            <w:vAlign w:val="bottom"/>
          </w:tcPr>
          <w:p w14:paraId="775C2CFE" w14:textId="77777777" w:rsidR="00417AF6" w:rsidRPr="007C6EB7" w:rsidRDefault="00417AF6" w:rsidP="00B61DA0">
            <w:pPr>
              <w:rPr>
                <w:rFonts w:eastAsia="Calibri" w:cs="Arial"/>
                <w:sz w:val="20"/>
                <w:szCs w:val="20"/>
              </w:rPr>
            </w:pPr>
          </w:p>
        </w:tc>
      </w:tr>
      <w:tr w:rsidR="00417AF6" w:rsidRPr="007C6EB7" w14:paraId="422F0EF7" w14:textId="77777777" w:rsidTr="00AD535A">
        <w:trPr>
          <w:trHeight w:val="20"/>
          <w:tblHeader/>
          <w:jc w:val="center"/>
        </w:trPr>
        <w:tc>
          <w:tcPr>
            <w:tcW w:w="3114" w:type="dxa"/>
            <w:shd w:val="clear" w:color="auto" w:fill="auto"/>
            <w:noWrap/>
            <w:vAlign w:val="center"/>
            <w:hideMark/>
          </w:tcPr>
          <w:p w14:paraId="28CC974F" w14:textId="77777777" w:rsidR="00417AF6" w:rsidRPr="007C6EB7" w:rsidRDefault="00417AF6" w:rsidP="00B61DA0">
            <w:pPr>
              <w:jc w:val="center"/>
              <w:rPr>
                <w:rFonts w:eastAsia="Calibri" w:cs="Arial"/>
                <w:sz w:val="20"/>
                <w:szCs w:val="20"/>
              </w:rPr>
            </w:pPr>
            <w:r w:rsidRPr="007C6EB7">
              <w:rPr>
                <w:rFonts w:eastAsia="Calibri" w:cs="Arial"/>
                <w:sz w:val="20"/>
                <w:szCs w:val="20"/>
              </w:rPr>
              <w:t>a</w:t>
            </w:r>
          </w:p>
        </w:tc>
        <w:tc>
          <w:tcPr>
            <w:tcW w:w="1134" w:type="dxa"/>
            <w:shd w:val="clear" w:color="auto" w:fill="auto"/>
            <w:vAlign w:val="center"/>
            <w:hideMark/>
          </w:tcPr>
          <w:p w14:paraId="4BD57163" w14:textId="77777777" w:rsidR="00417AF6" w:rsidRPr="007C6EB7" w:rsidRDefault="00417AF6" w:rsidP="00B61DA0">
            <w:pPr>
              <w:jc w:val="center"/>
              <w:rPr>
                <w:rFonts w:eastAsia="Calibri" w:cs="Arial"/>
                <w:sz w:val="20"/>
                <w:szCs w:val="20"/>
              </w:rPr>
            </w:pPr>
            <w:r w:rsidRPr="007C6EB7">
              <w:rPr>
                <w:rFonts w:eastAsia="Calibri" w:cs="Arial"/>
                <w:sz w:val="20"/>
                <w:szCs w:val="20"/>
              </w:rPr>
              <w:t>1</w:t>
            </w:r>
          </w:p>
        </w:tc>
        <w:tc>
          <w:tcPr>
            <w:tcW w:w="1134" w:type="dxa"/>
            <w:shd w:val="clear" w:color="auto" w:fill="auto"/>
            <w:vAlign w:val="center"/>
            <w:hideMark/>
          </w:tcPr>
          <w:p w14:paraId="566BCBF0" w14:textId="77777777" w:rsidR="00417AF6" w:rsidRPr="007C6EB7" w:rsidRDefault="00417AF6" w:rsidP="00B61DA0">
            <w:pPr>
              <w:jc w:val="center"/>
              <w:rPr>
                <w:rFonts w:eastAsia="Calibri" w:cs="Arial"/>
                <w:sz w:val="20"/>
                <w:szCs w:val="20"/>
              </w:rPr>
            </w:pPr>
            <w:r w:rsidRPr="007C6EB7">
              <w:rPr>
                <w:rFonts w:eastAsia="Calibri" w:cs="Arial"/>
                <w:sz w:val="20"/>
                <w:szCs w:val="20"/>
              </w:rPr>
              <w:t>2</w:t>
            </w:r>
          </w:p>
        </w:tc>
        <w:tc>
          <w:tcPr>
            <w:tcW w:w="992" w:type="dxa"/>
            <w:shd w:val="clear" w:color="auto" w:fill="auto"/>
            <w:vAlign w:val="center"/>
            <w:hideMark/>
          </w:tcPr>
          <w:p w14:paraId="007BA263" w14:textId="77777777" w:rsidR="00417AF6" w:rsidRPr="007C6EB7" w:rsidRDefault="00417AF6" w:rsidP="00B61DA0">
            <w:pPr>
              <w:jc w:val="center"/>
              <w:rPr>
                <w:rFonts w:eastAsia="Calibri" w:cs="Arial"/>
                <w:sz w:val="20"/>
                <w:szCs w:val="20"/>
              </w:rPr>
            </w:pPr>
            <w:r w:rsidRPr="007C6EB7">
              <w:rPr>
                <w:rFonts w:eastAsia="Calibri" w:cs="Arial"/>
                <w:sz w:val="20"/>
                <w:szCs w:val="20"/>
              </w:rPr>
              <w:t>3</w:t>
            </w:r>
          </w:p>
        </w:tc>
        <w:tc>
          <w:tcPr>
            <w:tcW w:w="1134" w:type="dxa"/>
            <w:shd w:val="clear" w:color="auto" w:fill="auto"/>
            <w:vAlign w:val="center"/>
            <w:hideMark/>
          </w:tcPr>
          <w:p w14:paraId="22116E88" w14:textId="77777777" w:rsidR="00417AF6" w:rsidRPr="007C6EB7" w:rsidRDefault="00417AF6" w:rsidP="00B61DA0">
            <w:pPr>
              <w:jc w:val="center"/>
              <w:rPr>
                <w:rFonts w:eastAsia="Calibri" w:cs="Arial"/>
                <w:sz w:val="20"/>
                <w:szCs w:val="20"/>
              </w:rPr>
            </w:pPr>
            <w:r w:rsidRPr="007C6EB7">
              <w:rPr>
                <w:rFonts w:eastAsia="Calibri" w:cs="Arial"/>
                <w:sz w:val="20"/>
                <w:szCs w:val="20"/>
              </w:rPr>
              <w:t>4</w:t>
            </w:r>
          </w:p>
        </w:tc>
        <w:tc>
          <w:tcPr>
            <w:tcW w:w="851" w:type="dxa"/>
            <w:shd w:val="clear" w:color="auto" w:fill="auto"/>
            <w:vAlign w:val="center"/>
            <w:hideMark/>
          </w:tcPr>
          <w:p w14:paraId="11CA2496" w14:textId="41073219" w:rsidR="00417AF6" w:rsidRPr="007C6EB7" w:rsidRDefault="00417AF6" w:rsidP="00B61DA0">
            <w:pPr>
              <w:jc w:val="center"/>
              <w:rPr>
                <w:rFonts w:eastAsia="Calibri" w:cs="Arial"/>
                <w:sz w:val="20"/>
                <w:szCs w:val="20"/>
              </w:rPr>
            </w:pPr>
            <w:r w:rsidRPr="007C6EB7">
              <w:rPr>
                <w:rFonts w:eastAsia="Calibri" w:cs="Arial"/>
                <w:sz w:val="20"/>
                <w:szCs w:val="20"/>
              </w:rPr>
              <w:t>5</w:t>
            </w:r>
            <w:r w:rsidR="00AD535A">
              <w:rPr>
                <w:rFonts w:eastAsia="Calibri" w:cs="Arial"/>
                <w:sz w:val="20"/>
                <w:szCs w:val="20"/>
              </w:rPr>
              <w:t xml:space="preserve"> </w:t>
            </w:r>
            <w:r w:rsidRPr="007C6EB7">
              <w:rPr>
                <w:rFonts w:eastAsia="Calibri" w:cs="Arial"/>
                <w:sz w:val="20"/>
                <w:szCs w:val="20"/>
              </w:rPr>
              <w:t>=</w:t>
            </w:r>
            <w:r w:rsidR="00AD535A">
              <w:rPr>
                <w:rFonts w:eastAsia="Calibri" w:cs="Arial"/>
                <w:sz w:val="20"/>
                <w:szCs w:val="20"/>
              </w:rPr>
              <w:t xml:space="preserve"> </w:t>
            </w:r>
            <w:r w:rsidRPr="007C6EB7">
              <w:rPr>
                <w:rFonts w:eastAsia="Calibri" w:cs="Arial"/>
                <w:sz w:val="20"/>
                <w:szCs w:val="20"/>
              </w:rPr>
              <w:t>4</w:t>
            </w:r>
            <w:r w:rsidR="00AD535A">
              <w:rPr>
                <w:rFonts w:eastAsia="Calibri" w:cs="Arial"/>
                <w:sz w:val="20"/>
                <w:szCs w:val="20"/>
              </w:rPr>
              <w:t xml:space="preserve"> </w:t>
            </w:r>
            <w:r w:rsidRPr="007C6EB7">
              <w:rPr>
                <w:rFonts w:eastAsia="Calibri" w:cs="Arial"/>
                <w:sz w:val="20"/>
                <w:szCs w:val="20"/>
              </w:rPr>
              <w:t>-</w:t>
            </w:r>
            <w:r w:rsidR="00AD535A">
              <w:rPr>
                <w:rFonts w:eastAsia="Calibri" w:cs="Arial"/>
                <w:sz w:val="20"/>
                <w:szCs w:val="20"/>
              </w:rPr>
              <w:t xml:space="preserve"> </w:t>
            </w:r>
            <w:r w:rsidRPr="007C6EB7">
              <w:rPr>
                <w:rFonts w:eastAsia="Calibri" w:cs="Arial"/>
                <w:sz w:val="20"/>
                <w:szCs w:val="20"/>
              </w:rPr>
              <w:t>3</w:t>
            </w:r>
          </w:p>
        </w:tc>
        <w:tc>
          <w:tcPr>
            <w:tcW w:w="992" w:type="dxa"/>
            <w:shd w:val="clear" w:color="auto" w:fill="auto"/>
            <w:noWrap/>
            <w:vAlign w:val="bottom"/>
            <w:hideMark/>
          </w:tcPr>
          <w:p w14:paraId="12EA50EB" w14:textId="25517E9A" w:rsidR="00417AF6" w:rsidRPr="007C6EB7" w:rsidRDefault="00417AF6" w:rsidP="00B61DA0">
            <w:pPr>
              <w:jc w:val="center"/>
              <w:rPr>
                <w:rFonts w:eastAsia="Calibri" w:cs="Arial"/>
                <w:sz w:val="20"/>
                <w:szCs w:val="20"/>
              </w:rPr>
            </w:pPr>
            <w:r w:rsidRPr="007C6EB7">
              <w:rPr>
                <w:rFonts w:eastAsia="Calibri" w:cs="Arial"/>
                <w:sz w:val="20"/>
                <w:szCs w:val="20"/>
              </w:rPr>
              <w:t>6</w:t>
            </w:r>
            <w:r w:rsidR="00AD535A">
              <w:rPr>
                <w:rFonts w:eastAsia="Calibri" w:cs="Arial"/>
                <w:sz w:val="20"/>
                <w:szCs w:val="20"/>
              </w:rPr>
              <w:t xml:space="preserve"> </w:t>
            </w:r>
            <w:r w:rsidRPr="007C6EB7">
              <w:rPr>
                <w:rFonts w:eastAsia="Calibri" w:cs="Arial"/>
                <w:sz w:val="20"/>
                <w:szCs w:val="20"/>
              </w:rPr>
              <w:t>=</w:t>
            </w:r>
            <w:r w:rsidR="00AD535A">
              <w:rPr>
                <w:rFonts w:eastAsia="Calibri" w:cs="Arial"/>
                <w:sz w:val="20"/>
                <w:szCs w:val="20"/>
              </w:rPr>
              <w:t xml:space="preserve"> </w:t>
            </w:r>
            <w:r w:rsidRPr="007C6EB7">
              <w:rPr>
                <w:rFonts w:eastAsia="Calibri" w:cs="Arial"/>
                <w:sz w:val="20"/>
                <w:szCs w:val="20"/>
              </w:rPr>
              <w:t>4/1*100</w:t>
            </w:r>
          </w:p>
        </w:tc>
      </w:tr>
      <w:tr w:rsidR="00B65251" w:rsidRPr="007C6EB7" w14:paraId="78ADC36E" w14:textId="77777777" w:rsidTr="00B65251">
        <w:trPr>
          <w:trHeight w:val="20"/>
          <w:jc w:val="center"/>
        </w:trPr>
        <w:tc>
          <w:tcPr>
            <w:tcW w:w="3114" w:type="dxa"/>
            <w:shd w:val="clear" w:color="auto" w:fill="auto"/>
            <w:noWrap/>
            <w:vAlign w:val="bottom"/>
          </w:tcPr>
          <w:p w14:paraId="225DF5C8" w14:textId="77777777" w:rsidR="00417AF6" w:rsidRPr="007C6EB7" w:rsidRDefault="00417AF6" w:rsidP="00B61DA0">
            <w:pPr>
              <w:rPr>
                <w:rFonts w:eastAsia="Calibri" w:cs="Arial CE"/>
                <w:b/>
                <w:bCs/>
                <w:sz w:val="20"/>
                <w:szCs w:val="20"/>
              </w:rPr>
            </w:pPr>
            <w:r w:rsidRPr="007C6EB7">
              <w:rPr>
                <w:rFonts w:eastAsia="Calibri" w:cs="Arial CE"/>
                <w:b/>
                <w:bCs/>
                <w:sz w:val="20"/>
                <w:szCs w:val="20"/>
              </w:rPr>
              <w:t>Nedaňové príjmy spolu</w:t>
            </w:r>
          </w:p>
        </w:tc>
        <w:tc>
          <w:tcPr>
            <w:tcW w:w="1134" w:type="dxa"/>
            <w:shd w:val="clear" w:color="auto" w:fill="auto"/>
            <w:noWrap/>
            <w:vAlign w:val="bottom"/>
          </w:tcPr>
          <w:p w14:paraId="09AAC5F0" w14:textId="77777777" w:rsidR="00417AF6" w:rsidRPr="007C6EB7" w:rsidRDefault="00417AF6" w:rsidP="00B61DA0">
            <w:pPr>
              <w:jc w:val="right"/>
              <w:rPr>
                <w:rFonts w:eastAsia="Times New Roman" w:cs="Arial CE"/>
                <w:b/>
                <w:bCs/>
                <w:sz w:val="20"/>
                <w:szCs w:val="20"/>
                <w:lang w:eastAsia="sk-SK"/>
              </w:rPr>
            </w:pPr>
            <w:r w:rsidRPr="007C6EB7">
              <w:rPr>
                <w:rFonts w:eastAsia="Times New Roman" w:cs="Arial CE"/>
                <w:b/>
                <w:bCs/>
                <w:sz w:val="20"/>
                <w:szCs w:val="20"/>
                <w:lang w:eastAsia="sk-SK"/>
              </w:rPr>
              <w:t>1 211 597</w:t>
            </w:r>
          </w:p>
        </w:tc>
        <w:tc>
          <w:tcPr>
            <w:tcW w:w="1134" w:type="dxa"/>
            <w:shd w:val="clear" w:color="auto" w:fill="auto"/>
            <w:noWrap/>
            <w:vAlign w:val="bottom"/>
          </w:tcPr>
          <w:p w14:paraId="77783837" w14:textId="77777777" w:rsidR="00417AF6" w:rsidRPr="007C6EB7" w:rsidRDefault="00417AF6" w:rsidP="00B61DA0">
            <w:pPr>
              <w:jc w:val="right"/>
              <w:rPr>
                <w:rFonts w:eastAsia="Times New Roman" w:cs="Arial CE"/>
                <w:b/>
                <w:bCs/>
                <w:sz w:val="20"/>
                <w:szCs w:val="20"/>
                <w:lang w:eastAsia="sk-SK"/>
              </w:rPr>
            </w:pPr>
            <w:r w:rsidRPr="007C6EB7">
              <w:rPr>
                <w:rFonts w:eastAsia="Times New Roman" w:cs="Arial CE"/>
                <w:b/>
                <w:bCs/>
                <w:sz w:val="20"/>
                <w:szCs w:val="20"/>
                <w:lang w:eastAsia="sk-SK"/>
              </w:rPr>
              <w:t>1 331 345</w:t>
            </w:r>
          </w:p>
        </w:tc>
        <w:tc>
          <w:tcPr>
            <w:tcW w:w="992" w:type="dxa"/>
            <w:shd w:val="clear" w:color="auto" w:fill="auto"/>
            <w:noWrap/>
            <w:vAlign w:val="bottom"/>
          </w:tcPr>
          <w:p w14:paraId="5A118061" w14:textId="77777777" w:rsidR="00417AF6" w:rsidRPr="007C6EB7" w:rsidRDefault="00417AF6" w:rsidP="00B61DA0">
            <w:pPr>
              <w:jc w:val="right"/>
              <w:rPr>
                <w:rFonts w:eastAsia="Times New Roman" w:cs="Arial CE"/>
                <w:b/>
                <w:bCs/>
                <w:sz w:val="20"/>
                <w:szCs w:val="20"/>
                <w:lang w:eastAsia="sk-SK"/>
              </w:rPr>
            </w:pPr>
            <w:r w:rsidRPr="007C6EB7">
              <w:rPr>
                <w:rFonts w:eastAsia="Times New Roman" w:cs="Arial CE"/>
                <w:b/>
                <w:bCs/>
                <w:sz w:val="20"/>
                <w:szCs w:val="20"/>
                <w:lang w:eastAsia="sk-SK"/>
              </w:rPr>
              <w:t>1 316 547</w:t>
            </w:r>
          </w:p>
        </w:tc>
        <w:tc>
          <w:tcPr>
            <w:tcW w:w="1134" w:type="dxa"/>
            <w:shd w:val="clear" w:color="auto" w:fill="auto"/>
            <w:noWrap/>
            <w:vAlign w:val="bottom"/>
          </w:tcPr>
          <w:p w14:paraId="6C76E061" w14:textId="77777777" w:rsidR="00417AF6" w:rsidRPr="007C6EB7" w:rsidRDefault="00417AF6" w:rsidP="00B61DA0">
            <w:pPr>
              <w:jc w:val="right"/>
              <w:rPr>
                <w:rFonts w:eastAsia="Times New Roman" w:cs="Arial CE"/>
                <w:b/>
                <w:bCs/>
                <w:sz w:val="20"/>
                <w:szCs w:val="20"/>
                <w:lang w:eastAsia="sk-SK"/>
              </w:rPr>
            </w:pPr>
            <w:r w:rsidRPr="007C6EB7">
              <w:rPr>
                <w:rFonts w:eastAsia="Times New Roman" w:cs="Arial CE"/>
                <w:b/>
                <w:bCs/>
                <w:sz w:val="20"/>
                <w:szCs w:val="20"/>
                <w:lang w:eastAsia="sk-SK"/>
              </w:rPr>
              <w:t>1 327 516</w:t>
            </w:r>
          </w:p>
        </w:tc>
        <w:tc>
          <w:tcPr>
            <w:tcW w:w="851" w:type="dxa"/>
            <w:shd w:val="clear" w:color="auto" w:fill="auto"/>
            <w:noWrap/>
            <w:vAlign w:val="bottom"/>
          </w:tcPr>
          <w:p w14:paraId="278ACC98" w14:textId="77777777" w:rsidR="00417AF6" w:rsidRPr="007C6EB7" w:rsidRDefault="00417AF6" w:rsidP="00B61DA0">
            <w:pPr>
              <w:jc w:val="right"/>
              <w:rPr>
                <w:rFonts w:eastAsia="Times New Roman" w:cs="Arial CE"/>
                <w:b/>
                <w:bCs/>
                <w:sz w:val="20"/>
                <w:szCs w:val="20"/>
                <w:lang w:eastAsia="sk-SK"/>
              </w:rPr>
            </w:pPr>
            <w:r w:rsidRPr="007C6EB7">
              <w:rPr>
                <w:rFonts w:eastAsia="Times New Roman" w:cs="Arial CE"/>
                <w:b/>
                <w:bCs/>
                <w:sz w:val="20"/>
                <w:szCs w:val="20"/>
                <w:lang w:eastAsia="sk-SK"/>
              </w:rPr>
              <w:t>10 969</w:t>
            </w:r>
          </w:p>
        </w:tc>
        <w:tc>
          <w:tcPr>
            <w:tcW w:w="992" w:type="dxa"/>
            <w:shd w:val="clear" w:color="auto" w:fill="auto"/>
            <w:noWrap/>
            <w:vAlign w:val="bottom"/>
          </w:tcPr>
          <w:p w14:paraId="12D7B7AB" w14:textId="77777777" w:rsidR="00417AF6" w:rsidRPr="007C6EB7" w:rsidRDefault="00417AF6" w:rsidP="00375615">
            <w:pPr>
              <w:jc w:val="center"/>
              <w:rPr>
                <w:rFonts w:eastAsia="Times New Roman" w:cs="Arial"/>
                <w:b/>
                <w:bCs/>
                <w:sz w:val="20"/>
                <w:szCs w:val="20"/>
                <w:lang w:eastAsia="sk-SK"/>
              </w:rPr>
            </w:pPr>
            <w:r w:rsidRPr="007C6EB7">
              <w:rPr>
                <w:rFonts w:eastAsia="Times New Roman" w:cs="Arial"/>
                <w:b/>
                <w:bCs/>
                <w:sz w:val="20"/>
                <w:szCs w:val="20"/>
                <w:lang w:eastAsia="sk-SK"/>
              </w:rPr>
              <w:t>109,6</w:t>
            </w:r>
          </w:p>
        </w:tc>
      </w:tr>
      <w:tr w:rsidR="00417AF6" w:rsidRPr="007C6EB7" w14:paraId="20DECAED" w14:textId="77777777" w:rsidTr="00404E19">
        <w:trPr>
          <w:trHeight w:val="20"/>
          <w:jc w:val="center"/>
        </w:trPr>
        <w:tc>
          <w:tcPr>
            <w:tcW w:w="3114" w:type="dxa"/>
            <w:shd w:val="clear" w:color="auto" w:fill="auto"/>
            <w:noWrap/>
            <w:vAlign w:val="bottom"/>
          </w:tcPr>
          <w:p w14:paraId="3D2F4886" w14:textId="77777777" w:rsidR="00417AF6" w:rsidRPr="007C6EB7" w:rsidRDefault="00417AF6" w:rsidP="00B61DA0">
            <w:pPr>
              <w:rPr>
                <w:rFonts w:eastAsia="Calibri" w:cs="Arial CE"/>
                <w:sz w:val="20"/>
                <w:szCs w:val="20"/>
              </w:rPr>
            </w:pPr>
            <w:r w:rsidRPr="007C6EB7">
              <w:rPr>
                <w:rFonts w:eastAsia="Calibri" w:cs="Arial CE"/>
                <w:sz w:val="20"/>
                <w:szCs w:val="20"/>
              </w:rPr>
              <w:t>Príjmy z podnikania a z vlastníctva majetku</w:t>
            </w:r>
          </w:p>
        </w:tc>
        <w:tc>
          <w:tcPr>
            <w:tcW w:w="1134" w:type="dxa"/>
            <w:shd w:val="clear" w:color="auto" w:fill="auto"/>
            <w:noWrap/>
            <w:vAlign w:val="center"/>
          </w:tcPr>
          <w:p w14:paraId="59FE165E"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451 114</w:t>
            </w:r>
          </w:p>
        </w:tc>
        <w:tc>
          <w:tcPr>
            <w:tcW w:w="1134" w:type="dxa"/>
            <w:shd w:val="clear" w:color="auto" w:fill="auto"/>
            <w:noWrap/>
            <w:vAlign w:val="center"/>
          </w:tcPr>
          <w:p w14:paraId="03ACFE40"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443 661</w:t>
            </w:r>
          </w:p>
        </w:tc>
        <w:tc>
          <w:tcPr>
            <w:tcW w:w="992" w:type="dxa"/>
            <w:shd w:val="clear" w:color="auto" w:fill="auto"/>
            <w:noWrap/>
            <w:vAlign w:val="center"/>
          </w:tcPr>
          <w:p w14:paraId="1EA29885"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478 455</w:t>
            </w:r>
          </w:p>
        </w:tc>
        <w:tc>
          <w:tcPr>
            <w:tcW w:w="1134" w:type="dxa"/>
            <w:shd w:val="clear" w:color="auto" w:fill="auto"/>
            <w:noWrap/>
            <w:vAlign w:val="center"/>
          </w:tcPr>
          <w:p w14:paraId="5EC1F3CA"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516 840</w:t>
            </w:r>
          </w:p>
        </w:tc>
        <w:tc>
          <w:tcPr>
            <w:tcW w:w="851" w:type="dxa"/>
            <w:shd w:val="clear" w:color="auto" w:fill="auto"/>
            <w:noWrap/>
            <w:vAlign w:val="center"/>
          </w:tcPr>
          <w:p w14:paraId="51B2858B"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38 385</w:t>
            </w:r>
          </w:p>
        </w:tc>
        <w:tc>
          <w:tcPr>
            <w:tcW w:w="992" w:type="dxa"/>
            <w:shd w:val="clear" w:color="auto" w:fill="auto"/>
            <w:noWrap/>
            <w:vAlign w:val="center"/>
          </w:tcPr>
          <w:p w14:paraId="48B9F452" w14:textId="77777777" w:rsidR="00417AF6" w:rsidRPr="007C6EB7" w:rsidRDefault="00417AF6" w:rsidP="00375615">
            <w:pPr>
              <w:jc w:val="center"/>
              <w:rPr>
                <w:rFonts w:eastAsia="Times New Roman" w:cs="Arial"/>
                <w:sz w:val="20"/>
                <w:szCs w:val="20"/>
                <w:lang w:eastAsia="sk-SK"/>
              </w:rPr>
            </w:pPr>
            <w:r w:rsidRPr="007C6EB7">
              <w:rPr>
                <w:rFonts w:eastAsia="Times New Roman" w:cs="Arial"/>
                <w:sz w:val="20"/>
                <w:szCs w:val="20"/>
                <w:lang w:eastAsia="sk-SK"/>
              </w:rPr>
              <w:t>114,6</w:t>
            </w:r>
          </w:p>
        </w:tc>
      </w:tr>
      <w:tr w:rsidR="00417AF6" w:rsidRPr="007C6EB7" w14:paraId="2886A7C9" w14:textId="77777777" w:rsidTr="00404E19">
        <w:trPr>
          <w:trHeight w:val="20"/>
          <w:jc w:val="center"/>
        </w:trPr>
        <w:tc>
          <w:tcPr>
            <w:tcW w:w="3114" w:type="dxa"/>
            <w:shd w:val="clear" w:color="auto" w:fill="auto"/>
            <w:noWrap/>
            <w:vAlign w:val="bottom"/>
          </w:tcPr>
          <w:p w14:paraId="1E1BB779" w14:textId="77777777" w:rsidR="00417AF6" w:rsidRPr="007C6EB7" w:rsidRDefault="00417AF6" w:rsidP="00B61DA0">
            <w:pPr>
              <w:rPr>
                <w:rFonts w:eastAsia="Calibri" w:cs="Arial CE"/>
                <w:sz w:val="20"/>
                <w:szCs w:val="20"/>
              </w:rPr>
            </w:pPr>
            <w:r w:rsidRPr="007C6EB7">
              <w:rPr>
                <w:rFonts w:eastAsia="Calibri" w:cs="Arial CE"/>
                <w:sz w:val="20"/>
                <w:szCs w:val="20"/>
              </w:rPr>
              <w:t>Administratívne poplatky a iné poplatky a platby</w:t>
            </w:r>
          </w:p>
        </w:tc>
        <w:tc>
          <w:tcPr>
            <w:tcW w:w="1134" w:type="dxa"/>
            <w:shd w:val="clear" w:color="auto" w:fill="auto"/>
            <w:noWrap/>
            <w:vAlign w:val="center"/>
          </w:tcPr>
          <w:p w14:paraId="285A5A7A"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345 637</w:t>
            </w:r>
          </w:p>
        </w:tc>
        <w:tc>
          <w:tcPr>
            <w:tcW w:w="1134" w:type="dxa"/>
            <w:shd w:val="clear" w:color="auto" w:fill="auto"/>
            <w:noWrap/>
            <w:vAlign w:val="center"/>
          </w:tcPr>
          <w:p w14:paraId="2D4DB2AB"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416 714</w:t>
            </w:r>
          </w:p>
        </w:tc>
        <w:tc>
          <w:tcPr>
            <w:tcW w:w="992" w:type="dxa"/>
            <w:shd w:val="clear" w:color="auto" w:fill="auto"/>
            <w:noWrap/>
            <w:vAlign w:val="center"/>
          </w:tcPr>
          <w:p w14:paraId="18CC1461"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397 230</w:t>
            </w:r>
          </w:p>
        </w:tc>
        <w:tc>
          <w:tcPr>
            <w:tcW w:w="1134" w:type="dxa"/>
            <w:shd w:val="clear" w:color="auto" w:fill="auto"/>
            <w:noWrap/>
            <w:vAlign w:val="center"/>
          </w:tcPr>
          <w:p w14:paraId="683680F0"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386 554</w:t>
            </w:r>
          </w:p>
        </w:tc>
        <w:tc>
          <w:tcPr>
            <w:tcW w:w="851" w:type="dxa"/>
            <w:shd w:val="clear" w:color="auto" w:fill="auto"/>
            <w:noWrap/>
            <w:vAlign w:val="center"/>
          </w:tcPr>
          <w:p w14:paraId="0DFD5DC5"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-10 676</w:t>
            </w:r>
          </w:p>
        </w:tc>
        <w:tc>
          <w:tcPr>
            <w:tcW w:w="992" w:type="dxa"/>
            <w:shd w:val="clear" w:color="auto" w:fill="auto"/>
            <w:noWrap/>
            <w:vAlign w:val="center"/>
          </w:tcPr>
          <w:p w14:paraId="4C02F53B" w14:textId="77777777" w:rsidR="00417AF6" w:rsidRPr="007C6EB7" w:rsidRDefault="00417AF6" w:rsidP="00375615">
            <w:pPr>
              <w:jc w:val="center"/>
              <w:rPr>
                <w:rFonts w:eastAsia="Times New Roman" w:cs="Arial"/>
                <w:sz w:val="20"/>
                <w:szCs w:val="20"/>
                <w:lang w:eastAsia="sk-SK"/>
              </w:rPr>
            </w:pPr>
            <w:r w:rsidRPr="007C6EB7">
              <w:rPr>
                <w:rFonts w:eastAsia="Times New Roman" w:cs="Arial"/>
                <w:sz w:val="20"/>
                <w:szCs w:val="20"/>
                <w:lang w:eastAsia="sk-SK"/>
              </w:rPr>
              <w:t>111,8</w:t>
            </w:r>
          </w:p>
        </w:tc>
      </w:tr>
      <w:tr w:rsidR="00417AF6" w:rsidRPr="007C6EB7" w14:paraId="32B446C1" w14:textId="77777777" w:rsidTr="00404E19">
        <w:trPr>
          <w:trHeight w:val="20"/>
          <w:jc w:val="center"/>
        </w:trPr>
        <w:tc>
          <w:tcPr>
            <w:tcW w:w="3114" w:type="dxa"/>
            <w:shd w:val="clear" w:color="auto" w:fill="auto"/>
            <w:noWrap/>
            <w:vAlign w:val="bottom"/>
          </w:tcPr>
          <w:p w14:paraId="50DF8B35" w14:textId="77777777" w:rsidR="00417AF6" w:rsidRPr="007C6EB7" w:rsidRDefault="00417AF6" w:rsidP="00B61DA0">
            <w:pPr>
              <w:rPr>
                <w:rFonts w:eastAsia="Calibri" w:cs="Arial CE"/>
                <w:sz w:val="20"/>
                <w:szCs w:val="20"/>
              </w:rPr>
            </w:pPr>
            <w:r w:rsidRPr="007C6EB7">
              <w:rPr>
                <w:rFonts w:eastAsia="Calibri" w:cs="Arial CE"/>
                <w:sz w:val="20"/>
                <w:szCs w:val="20"/>
              </w:rPr>
              <w:t>Kapitálové príjmy</w:t>
            </w:r>
          </w:p>
        </w:tc>
        <w:tc>
          <w:tcPr>
            <w:tcW w:w="1134" w:type="dxa"/>
            <w:shd w:val="clear" w:color="auto" w:fill="auto"/>
            <w:noWrap/>
            <w:vAlign w:val="center"/>
          </w:tcPr>
          <w:p w14:paraId="2AEC4B25"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10 629</w:t>
            </w:r>
          </w:p>
        </w:tc>
        <w:tc>
          <w:tcPr>
            <w:tcW w:w="1134" w:type="dxa"/>
            <w:shd w:val="clear" w:color="auto" w:fill="auto"/>
            <w:noWrap/>
            <w:vAlign w:val="center"/>
          </w:tcPr>
          <w:p w14:paraId="460B8A94"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52 690</w:t>
            </w:r>
          </w:p>
        </w:tc>
        <w:tc>
          <w:tcPr>
            <w:tcW w:w="992" w:type="dxa"/>
            <w:shd w:val="clear" w:color="auto" w:fill="auto"/>
            <w:noWrap/>
            <w:vAlign w:val="center"/>
          </w:tcPr>
          <w:p w14:paraId="43D03C30"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11 265</w:t>
            </w:r>
          </w:p>
        </w:tc>
        <w:tc>
          <w:tcPr>
            <w:tcW w:w="1134" w:type="dxa"/>
            <w:shd w:val="clear" w:color="auto" w:fill="auto"/>
            <w:noWrap/>
            <w:vAlign w:val="center"/>
          </w:tcPr>
          <w:p w14:paraId="26A1D0E9"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11 958</w:t>
            </w:r>
          </w:p>
        </w:tc>
        <w:tc>
          <w:tcPr>
            <w:tcW w:w="851" w:type="dxa"/>
            <w:shd w:val="clear" w:color="auto" w:fill="auto"/>
            <w:noWrap/>
            <w:vAlign w:val="center"/>
          </w:tcPr>
          <w:p w14:paraId="28D83B76"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693</w:t>
            </w:r>
          </w:p>
        </w:tc>
        <w:tc>
          <w:tcPr>
            <w:tcW w:w="992" w:type="dxa"/>
            <w:shd w:val="clear" w:color="auto" w:fill="auto"/>
            <w:noWrap/>
            <w:vAlign w:val="center"/>
          </w:tcPr>
          <w:p w14:paraId="0A6DD5EB" w14:textId="77777777" w:rsidR="00417AF6" w:rsidRPr="007C6EB7" w:rsidRDefault="00417AF6" w:rsidP="00375615">
            <w:pPr>
              <w:jc w:val="center"/>
              <w:rPr>
                <w:rFonts w:eastAsia="Times New Roman" w:cs="Arial"/>
                <w:sz w:val="20"/>
                <w:szCs w:val="20"/>
                <w:lang w:eastAsia="sk-SK"/>
              </w:rPr>
            </w:pPr>
            <w:r w:rsidRPr="007C6EB7">
              <w:rPr>
                <w:rFonts w:eastAsia="Times New Roman" w:cs="Arial"/>
                <w:sz w:val="20"/>
                <w:szCs w:val="20"/>
                <w:lang w:eastAsia="sk-SK"/>
              </w:rPr>
              <w:t>112,5</w:t>
            </w:r>
          </w:p>
        </w:tc>
      </w:tr>
      <w:tr w:rsidR="00417AF6" w:rsidRPr="007C6EB7" w14:paraId="217DD5D9" w14:textId="77777777" w:rsidTr="00404E19">
        <w:trPr>
          <w:trHeight w:val="20"/>
          <w:jc w:val="center"/>
        </w:trPr>
        <w:tc>
          <w:tcPr>
            <w:tcW w:w="3114" w:type="dxa"/>
            <w:shd w:val="clear" w:color="auto" w:fill="auto"/>
            <w:noWrap/>
            <w:vAlign w:val="bottom"/>
          </w:tcPr>
          <w:p w14:paraId="490B1E4C" w14:textId="77777777" w:rsidR="00417AF6" w:rsidRPr="007C6EB7" w:rsidRDefault="00417AF6" w:rsidP="00B61DA0">
            <w:pPr>
              <w:rPr>
                <w:rFonts w:eastAsia="Calibri" w:cs="Arial CE"/>
                <w:sz w:val="20"/>
                <w:szCs w:val="20"/>
              </w:rPr>
            </w:pPr>
            <w:r w:rsidRPr="007C6EB7">
              <w:rPr>
                <w:rFonts w:eastAsia="Calibri" w:cs="Arial CE"/>
                <w:sz w:val="20"/>
                <w:szCs w:val="20"/>
              </w:rPr>
              <w:t>Úroky z tuzemských a zahr. úverov, pôžičiek, návratných finančných výpomocí, vkladov a ážio</w:t>
            </w:r>
          </w:p>
        </w:tc>
        <w:tc>
          <w:tcPr>
            <w:tcW w:w="1134" w:type="dxa"/>
            <w:shd w:val="clear" w:color="auto" w:fill="auto"/>
            <w:noWrap/>
            <w:vAlign w:val="center"/>
          </w:tcPr>
          <w:p w14:paraId="4A962EB0"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8 049</w:t>
            </w:r>
          </w:p>
        </w:tc>
        <w:tc>
          <w:tcPr>
            <w:tcW w:w="1134" w:type="dxa"/>
            <w:shd w:val="clear" w:color="auto" w:fill="auto"/>
            <w:noWrap/>
            <w:vAlign w:val="center"/>
          </w:tcPr>
          <w:p w14:paraId="7E89F10C"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6 753</w:t>
            </w:r>
          </w:p>
        </w:tc>
        <w:tc>
          <w:tcPr>
            <w:tcW w:w="992" w:type="dxa"/>
            <w:shd w:val="clear" w:color="auto" w:fill="auto"/>
            <w:noWrap/>
            <w:vAlign w:val="center"/>
          </w:tcPr>
          <w:p w14:paraId="0CF154C5"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6 753</w:t>
            </w:r>
          </w:p>
        </w:tc>
        <w:tc>
          <w:tcPr>
            <w:tcW w:w="1134" w:type="dxa"/>
            <w:shd w:val="clear" w:color="auto" w:fill="auto"/>
            <w:noWrap/>
            <w:vAlign w:val="center"/>
          </w:tcPr>
          <w:p w14:paraId="214DC357"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7 633</w:t>
            </w:r>
          </w:p>
        </w:tc>
        <w:tc>
          <w:tcPr>
            <w:tcW w:w="851" w:type="dxa"/>
            <w:shd w:val="clear" w:color="auto" w:fill="auto"/>
            <w:noWrap/>
            <w:vAlign w:val="center"/>
          </w:tcPr>
          <w:p w14:paraId="3F4B95CE"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880</w:t>
            </w:r>
          </w:p>
        </w:tc>
        <w:tc>
          <w:tcPr>
            <w:tcW w:w="992" w:type="dxa"/>
            <w:shd w:val="clear" w:color="auto" w:fill="auto"/>
            <w:noWrap/>
            <w:vAlign w:val="center"/>
          </w:tcPr>
          <w:p w14:paraId="51BED853" w14:textId="77777777" w:rsidR="00417AF6" w:rsidRPr="007C6EB7" w:rsidRDefault="00417AF6" w:rsidP="00375615">
            <w:pPr>
              <w:jc w:val="center"/>
              <w:rPr>
                <w:rFonts w:eastAsia="Times New Roman" w:cs="Arial"/>
                <w:sz w:val="20"/>
                <w:szCs w:val="20"/>
                <w:lang w:eastAsia="sk-SK"/>
              </w:rPr>
            </w:pPr>
            <w:r w:rsidRPr="007C6EB7">
              <w:rPr>
                <w:rFonts w:eastAsia="Times New Roman" w:cs="Arial"/>
                <w:sz w:val="20"/>
                <w:szCs w:val="20"/>
                <w:lang w:eastAsia="sk-SK"/>
              </w:rPr>
              <w:t>94,8</w:t>
            </w:r>
          </w:p>
        </w:tc>
      </w:tr>
      <w:tr w:rsidR="00417AF6" w:rsidRPr="007C6EB7" w14:paraId="0AF385B4" w14:textId="77777777" w:rsidTr="00404E19">
        <w:trPr>
          <w:trHeight w:val="20"/>
          <w:jc w:val="center"/>
        </w:trPr>
        <w:tc>
          <w:tcPr>
            <w:tcW w:w="3114" w:type="dxa"/>
            <w:shd w:val="clear" w:color="auto" w:fill="auto"/>
            <w:noWrap/>
            <w:vAlign w:val="bottom"/>
          </w:tcPr>
          <w:p w14:paraId="7381BCAC" w14:textId="77777777" w:rsidR="00417AF6" w:rsidRPr="007C6EB7" w:rsidRDefault="00417AF6" w:rsidP="00B61DA0">
            <w:pPr>
              <w:rPr>
                <w:rFonts w:eastAsia="Calibri" w:cs="Arial CE"/>
                <w:sz w:val="20"/>
                <w:szCs w:val="20"/>
              </w:rPr>
            </w:pPr>
            <w:r w:rsidRPr="007C6EB7">
              <w:rPr>
                <w:rFonts w:eastAsia="Calibri" w:cs="Arial CE"/>
                <w:sz w:val="20"/>
                <w:szCs w:val="20"/>
              </w:rPr>
              <w:t>Iné nedaňové príjmy</w:t>
            </w:r>
          </w:p>
        </w:tc>
        <w:tc>
          <w:tcPr>
            <w:tcW w:w="1134" w:type="dxa"/>
            <w:shd w:val="clear" w:color="auto" w:fill="auto"/>
            <w:noWrap/>
            <w:vAlign w:val="center"/>
          </w:tcPr>
          <w:p w14:paraId="53300054"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396 168</w:t>
            </w:r>
          </w:p>
        </w:tc>
        <w:tc>
          <w:tcPr>
            <w:tcW w:w="1134" w:type="dxa"/>
            <w:shd w:val="clear" w:color="auto" w:fill="auto"/>
            <w:noWrap/>
            <w:vAlign w:val="center"/>
          </w:tcPr>
          <w:p w14:paraId="73897B71"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411 527</w:t>
            </w:r>
          </w:p>
        </w:tc>
        <w:tc>
          <w:tcPr>
            <w:tcW w:w="992" w:type="dxa"/>
            <w:shd w:val="clear" w:color="auto" w:fill="auto"/>
            <w:noWrap/>
            <w:vAlign w:val="center"/>
          </w:tcPr>
          <w:p w14:paraId="7C519196"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422 844</w:t>
            </w:r>
          </w:p>
        </w:tc>
        <w:tc>
          <w:tcPr>
            <w:tcW w:w="1134" w:type="dxa"/>
            <w:shd w:val="clear" w:color="auto" w:fill="auto"/>
            <w:noWrap/>
            <w:vAlign w:val="center"/>
          </w:tcPr>
          <w:p w14:paraId="604B2B4A"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404 531</w:t>
            </w:r>
          </w:p>
        </w:tc>
        <w:tc>
          <w:tcPr>
            <w:tcW w:w="851" w:type="dxa"/>
            <w:shd w:val="clear" w:color="auto" w:fill="auto"/>
            <w:noWrap/>
            <w:vAlign w:val="center"/>
          </w:tcPr>
          <w:p w14:paraId="3EC8A334" w14:textId="77777777" w:rsidR="00417AF6" w:rsidRPr="007C6EB7" w:rsidRDefault="00417AF6" w:rsidP="00404E19">
            <w:pPr>
              <w:jc w:val="right"/>
              <w:rPr>
                <w:rFonts w:eastAsia="Times New Roman" w:cs="Arial CE"/>
                <w:sz w:val="20"/>
                <w:szCs w:val="20"/>
                <w:lang w:eastAsia="sk-SK"/>
              </w:rPr>
            </w:pPr>
            <w:r w:rsidRPr="007C6EB7">
              <w:rPr>
                <w:rFonts w:eastAsia="Times New Roman" w:cs="Arial CE"/>
                <w:sz w:val="20"/>
                <w:szCs w:val="20"/>
                <w:lang w:eastAsia="sk-SK"/>
              </w:rPr>
              <w:t>-18 313</w:t>
            </w:r>
          </w:p>
        </w:tc>
        <w:tc>
          <w:tcPr>
            <w:tcW w:w="992" w:type="dxa"/>
            <w:shd w:val="clear" w:color="auto" w:fill="auto"/>
            <w:noWrap/>
            <w:vAlign w:val="center"/>
          </w:tcPr>
          <w:p w14:paraId="3229DC41" w14:textId="77777777" w:rsidR="00417AF6" w:rsidRPr="007C6EB7" w:rsidRDefault="00417AF6" w:rsidP="00375615">
            <w:pPr>
              <w:jc w:val="center"/>
              <w:rPr>
                <w:rFonts w:eastAsia="Times New Roman" w:cs="Arial"/>
                <w:sz w:val="20"/>
                <w:szCs w:val="20"/>
                <w:lang w:eastAsia="sk-SK"/>
              </w:rPr>
            </w:pPr>
            <w:r w:rsidRPr="007C6EB7">
              <w:rPr>
                <w:rFonts w:eastAsia="Times New Roman" w:cs="Arial"/>
                <w:sz w:val="20"/>
                <w:szCs w:val="20"/>
                <w:lang w:eastAsia="sk-SK"/>
              </w:rPr>
              <w:t>102,1</w:t>
            </w:r>
          </w:p>
        </w:tc>
      </w:tr>
    </w:tbl>
    <w:p w14:paraId="3B5D06EF" w14:textId="77777777" w:rsidR="00417AF6" w:rsidRPr="00CA4572" w:rsidRDefault="00417AF6" w:rsidP="00417AF6">
      <w:pPr>
        <w:spacing w:after="120"/>
        <w:rPr>
          <w:i/>
          <w:sz w:val="18"/>
          <w:szCs w:val="20"/>
        </w:rPr>
      </w:pPr>
      <w:r w:rsidRPr="00CA4572">
        <w:rPr>
          <w:i/>
          <w:sz w:val="18"/>
          <w:szCs w:val="20"/>
        </w:rPr>
        <w:t>Zdroj: Návrh ŠZÚ za rok 2019</w:t>
      </w:r>
    </w:p>
    <w:p w14:paraId="0E80D5ED" w14:textId="7AFF2B76" w:rsidR="00645A2F" w:rsidRPr="00493D48" w:rsidRDefault="00733B45" w:rsidP="00CA4572">
      <w:pPr>
        <w:spacing w:before="120" w:after="120"/>
        <w:jc w:val="both"/>
        <w:rPr>
          <w:rFonts w:cs="Arial"/>
          <w:color w:val="000000"/>
        </w:rPr>
      </w:pPr>
      <w:r w:rsidRPr="008C277B">
        <w:lastRenderedPageBreak/>
        <w:t xml:space="preserve">V porovnaní s predchádzajúcim rokom príjmy tejto kategórie </w:t>
      </w:r>
      <w:r>
        <w:t xml:space="preserve">vzrástli </w:t>
      </w:r>
      <w:r w:rsidRPr="008C277B">
        <w:t>o</w:t>
      </w:r>
      <w:r>
        <w:t> 115 919</w:t>
      </w:r>
      <w:r w:rsidRPr="008C277B">
        <w:rPr>
          <w:rFonts w:eastAsia="Times New Roman" w:cs="Arial"/>
          <w:lang w:eastAsia="sk-SK"/>
        </w:rPr>
        <w:t xml:space="preserve"> </w:t>
      </w:r>
      <w:r>
        <w:t>tis. eur, t. j. o 9,6</w:t>
      </w:r>
      <w:r w:rsidRPr="008C277B">
        <w:t xml:space="preserve"> %, z dôvodu </w:t>
      </w:r>
      <w:r>
        <w:t xml:space="preserve">vyšších </w:t>
      </w:r>
      <w:r w:rsidRPr="008C277B">
        <w:t>príjmov z podnikania a vlastníctva majetku</w:t>
      </w:r>
      <w:r w:rsidRPr="00F55AAD">
        <w:t xml:space="preserve">, ktoré boli </w:t>
      </w:r>
      <w:r>
        <w:t xml:space="preserve">vyššie </w:t>
      </w:r>
      <w:r w:rsidRPr="00F55AAD">
        <w:t>o</w:t>
      </w:r>
      <w:r>
        <w:t> 8</w:t>
      </w:r>
      <w:r w:rsidRPr="00F55AAD">
        <w:t xml:space="preserve"> %. Najväčší pod</w:t>
      </w:r>
      <w:r>
        <w:t>iel na nedaňových príjmoch (38,9</w:t>
      </w:r>
      <w:r w:rsidRPr="00F55AAD">
        <w:t xml:space="preserve"> %) ma</w:t>
      </w:r>
      <w:r w:rsidR="00504A44">
        <w:t>li</w:t>
      </w:r>
      <w:r w:rsidRPr="00F55AAD">
        <w:t xml:space="preserve"> príjmy z podnikania a z vlastníctva majetku, ktoré zahŕňajú najmä dividendy od obchodných sp</w:t>
      </w:r>
      <w:r>
        <w:t>oločností štátu vo výške 504 450</w:t>
      </w:r>
      <w:r w:rsidRPr="00F55AAD">
        <w:rPr>
          <w:lang w:eastAsia="sk-SK"/>
        </w:rPr>
        <w:t xml:space="preserve"> tis. eur.</w:t>
      </w:r>
      <w:r>
        <w:rPr>
          <w:lang w:eastAsia="sk-SK"/>
        </w:rPr>
        <w:t xml:space="preserve"> </w:t>
      </w:r>
      <w:r w:rsidRPr="00280126">
        <w:rPr>
          <w:lang w:eastAsia="sk-SK"/>
        </w:rPr>
        <w:t>Vývoj dividend od obchodných spoločností podľa jedno</w:t>
      </w:r>
      <w:r>
        <w:rPr>
          <w:lang w:eastAsia="sk-SK"/>
        </w:rPr>
        <w:t>tlivých kapitol ŠR v rokoch 2018</w:t>
      </w:r>
      <w:r w:rsidRPr="00280126">
        <w:rPr>
          <w:lang w:eastAsia="sk-SK"/>
        </w:rPr>
        <w:t xml:space="preserve"> a 201</w:t>
      </w:r>
      <w:r>
        <w:rPr>
          <w:lang w:eastAsia="sk-SK"/>
        </w:rPr>
        <w:t>9</w:t>
      </w:r>
      <w:r w:rsidRPr="00280126">
        <w:rPr>
          <w:lang w:eastAsia="sk-SK"/>
        </w:rPr>
        <w:t xml:space="preserve"> je uvedený v Tabuľke </w:t>
      </w:r>
      <w:r w:rsidR="00504A44">
        <w:rPr>
          <w:lang w:eastAsia="sk-SK"/>
        </w:rPr>
        <w:t>6</w:t>
      </w:r>
      <w:r w:rsidRPr="00280126">
        <w:rPr>
          <w:lang w:eastAsia="sk-SK"/>
        </w:rPr>
        <w:t xml:space="preserve"> v </w:t>
      </w:r>
      <w:r w:rsidR="00504A44">
        <w:rPr>
          <w:lang w:eastAsia="sk-SK"/>
        </w:rPr>
        <w:t>P</w:t>
      </w:r>
      <w:r w:rsidRPr="00280126">
        <w:rPr>
          <w:lang w:eastAsia="sk-SK"/>
        </w:rPr>
        <w:t>rílohe.</w:t>
      </w:r>
      <w:r w:rsidR="00645A2F">
        <w:rPr>
          <w:lang w:eastAsia="sk-SK"/>
        </w:rPr>
        <w:t xml:space="preserve"> Problematick</w:t>
      </w:r>
      <w:r w:rsidR="0019578F">
        <w:rPr>
          <w:lang w:eastAsia="sk-SK"/>
        </w:rPr>
        <w:t>é bolo</w:t>
      </w:r>
      <w:r w:rsidR="00645A2F">
        <w:rPr>
          <w:lang w:eastAsia="sk-SK"/>
        </w:rPr>
        <w:t xml:space="preserve"> rozpočtovanie kapitálových príjmov, ktoré </w:t>
      </w:r>
      <w:r w:rsidR="0019578F">
        <w:rPr>
          <w:lang w:eastAsia="sk-SK"/>
        </w:rPr>
        <w:t>bývajú</w:t>
      </w:r>
      <w:r w:rsidR="00645A2F">
        <w:rPr>
          <w:lang w:eastAsia="sk-SK"/>
        </w:rPr>
        <w:t xml:space="preserve"> každoročne nadhodnocované. Uvedené súvisí s rozpočtovaním </w:t>
      </w:r>
      <w:r w:rsidR="00645A2F" w:rsidRPr="00645A2F">
        <w:rPr>
          <w:rFonts w:cs="Arial"/>
          <w:color w:val="000000"/>
        </w:rPr>
        <w:t>predaja prebytočného majetku v kapitole MV SR</w:t>
      </w:r>
      <w:r w:rsidR="00645A2F">
        <w:rPr>
          <w:rFonts w:cs="Arial"/>
          <w:color w:val="000000"/>
        </w:rPr>
        <w:t xml:space="preserve">, kde </w:t>
      </w:r>
      <w:r w:rsidR="0019578F">
        <w:rPr>
          <w:rFonts w:cs="Arial"/>
          <w:color w:val="000000"/>
        </w:rPr>
        <w:t xml:space="preserve">nedošlo k jeho </w:t>
      </w:r>
      <w:r w:rsidR="00645A2F" w:rsidRPr="00645A2F">
        <w:rPr>
          <w:rFonts w:cs="Arial"/>
          <w:color w:val="000000"/>
        </w:rPr>
        <w:t>naplneniu</w:t>
      </w:r>
      <w:r w:rsidR="0019578F">
        <w:rPr>
          <w:rFonts w:cs="Arial"/>
          <w:color w:val="000000"/>
        </w:rPr>
        <w:t xml:space="preserve"> už 8. rok</w:t>
      </w:r>
      <w:r w:rsidR="00645A2F" w:rsidRPr="00645A2F">
        <w:rPr>
          <w:rFonts w:cs="Arial"/>
          <w:color w:val="000000"/>
        </w:rPr>
        <w:t xml:space="preserve">. </w:t>
      </w:r>
      <w:r w:rsidR="00645A2F" w:rsidRPr="00645A2F">
        <w:rPr>
          <w:rFonts w:cs="Arial"/>
          <w:b/>
          <w:color w:val="000000"/>
        </w:rPr>
        <w:t>Z toho dôvodu NKÚ SR navrhuje</w:t>
      </w:r>
      <w:r w:rsidR="00052C32">
        <w:rPr>
          <w:rFonts w:cs="Arial"/>
          <w:b/>
          <w:color w:val="000000"/>
        </w:rPr>
        <w:t xml:space="preserve"> do budúcna</w:t>
      </w:r>
      <w:r w:rsidR="00645A2F" w:rsidRPr="00645A2F">
        <w:rPr>
          <w:rFonts w:cs="Arial"/>
          <w:b/>
          <w:color w:val="000000"/>
        </w:rPr>
        <w:t xml:space="preserve"> uprav</w:t>
      </w:r>
      <w:r w:rsidR="00052C32">
        <w:rPr>
          <w:rFonts w:cs="Arial"/>
          <w:b/>
          <w:color w:val="000000"/>
        </w:rPr>
        <w:t>ova</w:t>
      </w:r>
      <w:r w:rsidR="00645A2F" w:rsidRPr="00645A2F">
        <w:rPr>
          <w:rFonts w:cs="Arial"/>
          <w:b/>
          <w:color w:val="000000"/>
        </w:rPr>
        <w:t>ť rozpočet podľa reálne očakávaného príjmu z predaja prebytočného majetku.</w:t>
      </w:r>
      <w:r w:rsidR="00645A2F" w:rsidRPr="00645A2F">
        <w:rPr>
          <w:rFonts w:cs="Arial"/>
          <w:color w:val="000000"/>
        </w:rPr>
        <w:t xml:space="preserve"> </w:t>
      </w:r>
    </w:p>
    <w:p w14:paraId="09250AA8" w14:textId="77777777" w:rsidR="00165F0C" w:rsidRPr="00C7711B" w:rsidRDefault="00165F0C" w:rsidP="00CA4572">
      <w:pPr>
        <w:pStyle w:val="Nadpis4"/>
        <w:spacing w:before="120" w:after="120"/>
      </w:pPr>
      <w:r w:rsidRPr="00C37DC1">
        <w:t>Granty a transfery</w:t>
      </w:r>
    </w:p>
    <w:p w14:paraId="6D1687E6" w14:textId="23FAAD5E" w:rsidR="00733B45" w:rsidRDefault="00733B45" w:rsidP="00CA4572">
      <w:pPr>
        <w:spacing w:after="120"/>
        <w:jc w:val="both"/>
      </w:pPr>
      <w:r w:rsidRPr="004905C6">
        <w:t>Skutočné príjmy štátneho rozpočtu z grantov a tr</w:t>
      </w:r>
      <w:r>
        <w:t>ansferov boli vo výške 2 161 575</w:t>
      </w:r>
      <w:r w:rsidRPr="004905C6">
        <w:t xml:space="preserve"> tis. eur, čo </w:t>
      </w:r>
      <w:r>
        <w:t>v porovnaní s rokom</w:t>
      </w:r>
      <w:r w:rsidRPr="004905C6">
        <w:t xml:space="preserve"> </w:t>
      </w:r>
      <w:r>
        <w:t xml:space="preserve">2018 </w:t>
      </w:r>
      <w:r w:rsidRPr="004905C6">
        <w:t>predsta</w:t>
      </w:r>
      <w:r>
        <w:t xml:space="preserve">vuje pokles o 42 059 tis. eur (1,9 %). Uvedený pokles je spôsobený stagnáciou v čerpaní prostriedkov z rozpočtu EÚ. </w:t>
      </w:r>
      <w:r w:rsidRPr="0009439C">
        <w:t xml:space="preserve">Podrobnejšie hodnotenie príjmov ŠR z prostriedkov rozpočtu EÚ a ich čerpanie je uvedené v časti </w:t>
      </w:r>
      <w:r>
        <w:t>5</w:t>
      </w:r>
      <w:r w:rsidRPr="0009439C">
        <w:t> </w:t>
      </w:r>
      <w:r w:rsidR="00504A44">
        <w:t xml:space="preserve">- </w:t>
      </w:r>
      <w:r>
        <w:t xml:space="preserve">Vzťah </w:t>
      </w:r>
      <w:r w:rsidRPr="0009439C">
        <w:t>ŠR k EÚ.</w:t>
      </w:r>
      <w:r>
        <w:t xml:space="preserve"> </w:t>
      </w:r>
    </w:p>
    <w:p w14:paraId="14687D97" w14:textId="20CD0734" w:rsidR="00733B45" w:rsidRDefault="00733B45" w:rsidP="00CA4572">
      <w:pPr>
        <w:spacing w:before="120"/>
        <w:rPr>
          <w:rFonts w:eastAsia="Calibri" w:cs="Times New Roman"/>
          <w:b/>
          <w:i/>
        </w:rPr>
      </w:pPr>
      <w:bookmarkStart w:id="33" w:name="T_4"/>
      <w:r w:rsidRPr="00733B45">
        <w:rPr>
          <w:rFonts w:eastAsia="Calibri" w:cs="Times New Roman"/>
          <w:b/>
          <w:i/>
        </w:rPr>
        <w:t>Prehľad o plnení grantov a</w:t>
      </w:r>
      <w:r w:rsidR="008317DA">
        <w:rPr>
          <w:rFonts w:eastAsia="Calibri" w:cs="Times New Roman"/>
          <w:b/>
          <w:i/>
        </w:rPr>
        <w:t> </w:t>
      </w:r>
      <w:r w:rsidRPr="00733B45">
        <w:rPr>
          <w:rFonts w:eastAsia="Calibri" w:cs="Times New Roman"/>
          <w:b/>
          <w:i/>
        </w:rPr>
        <w:t>transferov</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1169"/>
        <w:gridCol w:w="1041"/>
        <w:gridCol w:w="1077"/>
        <w:gridCol w:w="1168"/>
        <w:gridCol w:w="907"/>
        <w:gridCol w:w="1069"/>
      </w:tblGrid>
      <w:tr w:rsidR="008317DA" w:rsidRPr="00FE4345" w14:paraId="2C09293C" w14:textId="77777777" w:rsidTr="00E62F53">
        <w:trPr>
          <w:trHeight w:val="170"/>
        </w:trPr>
        <w:tc>
          <w:tcPr>
            <w:tcW w:w="1559" w:type="pct"/>
            <w:vMerge w:val="restart"/>
            <w:shd w:val="clear" w:color="auto" w:fill="0070C0"/>
            <w:vAlign w:val="center"/>
          </w:tcPr>
          <w:p w14:paraId="68C103EA" w14:textId="77777777" w:rsidR="008317DA" w:rsidRPr="00FE4345" w:rsidRDefault="008317DA" w:rsidP="00360C35">
            <w:pPr>
              <w:rPr>
                <w:rFonts w:eastAsia="Calibri" w:cs="Courier"/>
                <w:b/>
                <w:color w:val="FFFFFF"/>
                <w:sz w:val="20"/>
                <w:szCs w:val="20"/>
              </w:rPr>
            </w:pPr>
            <w:r w:rsidRPr="00FE4345">
              <w:rPr>
                <w:rFonts w:eastAsia="Calibri" w:cs="Courier"/>
                <w:b/>
                <w:bCs/>
                <w:color w:val="FFFFFF"/>
                <w:sz w:val="20"/>
                <w:szCs w:val="20"/>
              </w:rPr>
              <w:t>Ukazovateľ</w:t>
            </w:r>
            <w:r>
              <w:rPr>
                <w:rFonts w:eastAsia="Calibri" w:cs="Courier"/>
                <w:b/>
                <w:bCs/>
                <w:color w:val="FFFFFF"/>
                <w:sz w:val="20"/>
                <w:szCs w:val="20"/>
              </w:rPr>
              <w:t xml:space="preserve"> </w:t>
            </w:r>
            <w:r w:rsidRPr="00FE4345">
              <w:rPr>
                <w:rFonts w:eastAsia="Calibri" w:cs="Courier"/>
                <w:b/>
                <w:bCs/>
                <w:color w:val="FFFFFF"/>
                <w:sz w:val="20"/>
                <w:szCs w:val="20"/>
              </w:rPr>
              <w:t>(v tis. eur)</w:t>
            </w:r>
          </w:p>
        </w:tc>
        <w:tc>
          <w:tcPr>
            <w:tcW w:w="625" w:type="pct"/>
            <w:vMerge w:val="restart"/>
            <w:shd w:val="clear" w:color="auto" w:fill="0070C0"/>
            <w:vAlign w:val="center"/>
          </w:tcPr>
          <w:p w14:paraId="4FC0049E" w14:textId="77777777" w:rsidR="008317DA" w:rsidRPr="00FE4345" w:rsidRDefault="008317DA" w:rsidP="00360C35">
            <w:pPr>
              <w:jc w:val="center"/>
              <w:rPr>
                <w:rFonts w:eastAsia="Calibri" w:cs="Courier"/>
                <w:b/>
                <w:color w:val="FFFFFF"/>
                <w:sz w:val="20"/>
                <w:szCs w:val="20"/>
              </w:rPr>
            </w:pPr>
            <w:r w:rsidRPr="00FE4345">
              <w:rPr>
                <w:rFonts w:eastAsia="Calibri" w:cs="Courier"/>
                <w:b/>
                <w:color w:val="FFFFFF"/>
                <w:sz w:val="20"/>
                <w:szCs w:val="20"/>
              </w:rPr>
              <w:t>Skutočnosť</w:t>
            </w:r>
          </w:p>
          <w:p w14:paraId="147E0EB9" w14:textId="77777777" w:rsidR="008317DA" w:rsidRPr="00FE4345" w:rsidRDefault="008317DA" w:rsidP="00360C35">
            <w:pPr>
              <w:jc w:val="center"/>
              <w:rPr>
                <w:rFonts w:eastAsia="Calibri" w:cs="Courier"/>
                <w:b/>
                <w:color w:val="FFFFFF"/>
                <w:sz w:val="20"/>
                <w:szCs w:val="20"/>
              </w:rPr>
            </w:pPr>
            <w:r>
              <w:rPr>
                <w:rFonts w:eastAsia="Calibri" w:cs="Courier"/>
                <w:b/>
                <w:color w:val="FFFFFF"/>
                <w:sz w:val="20"/>
                <w:szCs w:val="20"/>
              </w:rPr>
              <w:t>2018</w:t>
            </w:r>
          </w:p>
        </w:tc>
        <w:tc>
          <w:tcPr>
            <w:tcW w:w="1133" w:type="pct"/>
            <w:gridSpan w:val="2"/>
            <w:shd w:val="clear" w:color="auto" w:fill="0070C0"/>
            <w:vAlign w:val="center"/>
          </w:tcPr>
          <w:p w14:paraId="43078335" w14:textId="77777777" w:rsidR="008317DA" w:rsidRPr="00FE4345" w:rsidRDefault="008317DA" w:rsidP="00360C35">
            <w:pPr>
              <w:jc w:val="center"/>
              <w:rPr>
                <w:rFonts w:eastAsia="Calibri" w:cs="Courier"/>
                <w:b/>
                <w:color w:val="FFFFFF"/>
                <w:sz w:val="20"/>
                <w:szCs w:val="20"/>
              </w:rPr>
            </w:pPr>
            <w:r>
              <w:rPr>
                <w:rFonts w:eastAsia="Calibri" w:cs="Courier"/>
                <w:b/>
                <w:color w:val="FFFFFF"/>
                <w:sz w:val="20"/>
                <w:szCs w:val="20"/>
              </w:rPr>
              <w:t>Rozpočet 2019</w:t>
            </w:r>
          </w:p>
        </w:tc>
        <w:tc>
          <w:tcPr>
            <w:tcW w:w="625" w:type="pct"/>
            <w:vMerge w:val="restart"/>
            <w:shd w:val="clear" w:color="auto" w:fill="0070C0"/>
          </w:tcPr>
          <w:p w14:paraId="12416458" w14:textId="77777777" w:rsidR="008317DA" w:rsidRPr="00FE4345" w:rsidRDefault="008317DA" w:rsidP="00360C35">
            <w:pPr>
              <w:jc w:val="center"/>
              <w:rPr>
                <w:rFonts w:eastAsia="Calibri" w:cs="Courier"/>
                <w:b/>
                <w:color w:val="FFFFFF"/>
                <w:sz w:val="20"/>
                <w:szCs w:val="20"/>
              </w:rPr>
            </w:pPr>
            <w:r>
              <w:rPr>
                <w:rFonts w:eastAsia="Calibri" w:cs="Courier"/>
                <w:b/>
                <w:color w:val="FFFFFF"/>
                <w:sz w:val="20"/>
                <w:szCs w:val="20"/>
              </w:rPr>
              <w:t>Skutočnosť 2019</w:t>
            </w:r>
          </w:p>
        </w:tc>
        <w:tc>
          <w:tcPr>
            <w:tcW w:w="485" w:type="pct"/>
            <w:vMerge w:val="restart"/>
            <w:shd w:val="clear" w:color="auto" w:fill="0070C0"/>
            <w:vAlign w:val="center"/>
          </w:tcPr>
          <w:p w14:paraId="71B34082" w14:textId="719B0E0A" w:rsidR="008317DA" w:rsidRPr="00FE4345" w:rsidRDefault="008317DA" w:rsidP="00360C35">
            <w:pPr>
              <w:jc w:val="center"/>
              <w:rPr>
                <w:rFonts w:eastAsia="Calibri" w:cs="Courier"/>
                <w:b/>
                <w:color w:val="FFFFFF"/>
                <w:sz w:val="20"/>
                <w:szCs w:val="20"/>
              </w:rPr>
            </w:pPr>
            <w:r w:rsidRPr="00FE4345">
              <w:rPr>
                <w:rFonts w:eastAsia="Calibri" w:cs="Courier"/>
                <w:b/>
                <w:color w:val="FFFFFF"/>
                <w:sz w:val="20"/>
                <w:szCs w:val="20"/>
              </w:rPr>
              <w:t>Rozdiel</w:t>
            </w:r>
          </w:p>
        </w:tc>
        <w:tc>
          <w:tcPr>
            <w:tcW w:w="572" w:type="pct"/>
            <w:vMerge w:val="restart"/>
            <w:shd w:val="clear" w:color="auto" w:fill="0070C0"/>
            <w:vAlign w:val="center"/>
          </w:tcPr>
          <w:p w14:paraId="04BEB271" w14:textId="7538839E" w:rsidR="008317DA" w:rsidRPr="00FE4345" w:rsidRDefault="0076083E" w:rsidP="00360C35">
            <w:pPr>
              <w:jc w:val="center"/>
              <w:rPr>
                <w:rFonts w:eastAsia="Calibri" w:cs="Times New Roman"/>
                <w:b/>
                <w:color w:val="FFFFFF"/>
                <w:sz w:val="20"/>
                <w:szCs w:val="20"/>
              </w:rPr>
            </w:pPr>
            <w:r>
              <w:rPr>
                <w:rFonts w:eastAsia="Calibri" w:cs="Times New Roman"/>
                <w:b/>
                <w:color w:val="FFFFFF"/>
                <w:sz w:val="20"/>
                <w:szCs w:val="20"/>
              </w:rPr>
              <w:t>Index</w:t>
            </w:r>
          </w:p>
          <w:p w14:paraId="22D04C3B" w14:textId="77777777" w:rsidR="008317DA" w:rsidRPr="00FE4345" w:rsidRDefault="008317DA" w:rsidP="00360C35">
            <w:pPr>
              <w:jc w:val="center"/>
              <w:rPr>
                <w:rFonts w:eastAsia="Calibri" w:cs="Times New Roman"/>
                <w:b/>
                <w:color w:val="FFFFFF"/>
                <w:sz w:val="20"/>
                <w:szCs w:val="20"/>
              </w:rPr>
            </w:pPr>
            <w:r w:rsidRPr="00FE4345">
              <w:rPr>
                <w:rFonts w:eastAsia="Calibri" w:cs="Times New Roman"/>
                <w:b/>
                <w:color w:val="FFFFFF"/>
                <w:sz w:val="20"/>
                <w:szCs w:val="20"/>
              </w:rPr>
              <w:t>(v %)</w:t>
            </w:r>
          </w:p>
        </w:tc>
      </w:tr>
      <w:tr w:rsidR="008317DA" w:rsidRPr="00FE4345" w14:paraId="09E1A8B2" w14:textId="77777777" w:rsidTr="00E62F53">
        <w:trPr>
          <w:trHeight w:val="170"/>
        </w:trPr>
        <w:tc>
          <w:tcPr>
            <w:tcW w:w="1559" w:type="pct"/>
            <w:vMerge/>
            <w:shd w:val="clear" w:color="auto" w:fill="auto"/>
          </w:tcPr>
          <w:p w14:paraId="767FA64E" w14:textId="77777777" w:rsidR="008317DA" w:rsidRPr="00FE4345" w:rsidRDefault="008317DA" w:rsidP="00360C35">
            <w:pPr>
              <w:rPr>
                <w:rFonts w:eastAsia="Calibri" w:cs="Courier"/>
                <w:sz w:val="20"/>
                <w:szCs w:val="20"/>
              </w:rPr>
            </w:pPr>
          </w:p>
        </w:tc>
        <w:tc>
          <w:tcPr>
            <w:tcW w:w="625" w:type="pct"/>
            <w:vMerge/>
            <w:shd w:val="clear" w:color="auto" w:fill="auto"/>
          </w:tcPr>
          <w:p w14:paraId="1A1BF16E" w14:textId="77777777" w:rsidR="008317DA" w:rsidRPr="00FE4345" w:rsidRDefault="008317DA" w:rsidP="00360C35">
            <w:pPr>
              <w:rPr>
                <w:rFonts w:eastAsia="Calibri" w:cs="Courier"/>
                <w:sz w:val="20"/>
                <w:szCs w:val="20"/>
              </w:rPr>
            </w:pPr>
          </w:p>
        </w:tc>
        <w:tc>
          <w:tcPr>
            <w:tcW w:w="557" w:type="pct"/>
            <w:shd w:val="clear" w:color="auto" w:fill="0070C0"/>
            <w:vAlign w:val="center"/>
          </w:tcPr>
          <w:p w14:paraId="3D09BC70" w14:textId="77777777" w:rsidR="008317DA" w:rsidRPr="00FE4345" w:rsidRDefault="008317DA" w:rsidP="00360C35">
            <w:pPr>
              <w:jc w:val="center"/>
              <w:rPr>
                <w:rFonts w:eastAsia="Calibri" w:cs="Courier"/>
                <w:b/>
                <w:color w:val="FFFFFF"/>
                <w:sz w:val="20"/>
                <w:szCs w:val="20"/>
              </w:rPr>
            </w:pPr>
            <w:r w:rsidRPr="00FE4345">
              <w:rPr>
                <w:rFonts w:eastAsia="Calibri" w:cs="Courier"/>
                <w:b/>
                <w:color w:val="FFFFFF"/>
                <w:sz w:val="20"/>
                <w:szCs w:val="20"/>
              </w:rPr>
              <w:t>schválený</w:t>
            </w:r>
          </w:p>
        </w:tc>
        <w:tc>
          <w:tcPr>
            <w:tcW w:w="576" w:type="pct"/>
            <w:shd w:val="clear" w:color="auto" w:fill="0070C0"/>
            <w:vAlign w:val="center"/>
          </w:tcPr>
          <w:p w14:paraId="398EE65C" w14:textId="77777777" w:rsidR="008317DA" w:rsidRPr="00FE4345" w:rsidRDefault="008317DA" w:rsidP="00360C35">
            <w:pPr>
              <w:jc w:val="center"/>
              <w:rPr>
                <w:rFonts w:eastAsia="Calibri" w:cs="Courier"/>
                <w:b/>
                <w:color w:val="FFFFFF"/>
                <w:sz w:val="20"/>
                <w:szCs w:val="20"/>
              </w:rPr>
            </w:pPr>
            <w:r w:rsidRPr="00FE4345">
              <w:rPr>
                <w:rFonts w:eastAsia="Calibri" w:cs="Courier"/>
                <w:b/>
                <w:color w:val="FFFFFF"/>
                <w:sz w:val="20"/>
                <w:szCs w:val="20"/>
              </w:rPr>
              <w:t>upravený</w:t>
            </w:r>
          </w:p>
        </w:tc>
        <w:tc>
          <w:tcPr>
            <w:tcW w:w="625" w:type="pct"/>
            <w:vMerge/>
            <w:shd w:val="clear" w:color="auto" w:fill="C6D9F1"/>
          </w:tcPr>
          <w:p w14:paraId="3A2830D0" w14:textId="77777777" w:rsidR="008317DA" w:rsidRPr="00FE4345" w:rsidRDefault="008317DA" w:rsidP="00360C35">
            <w:pPr>
              <w:rPr>
                <w:rFonts w:eastAsia="Calibri" w:cs="Courier"/>
                <w:sz w:val="20"/>
                <w:szCs w:val="20"/>
              </w:rPr>
            </w:pPr>
          </w:p>
        </w:tc>
        <w:tc>
          <w:tcPr>
            <w:tcW w:w="485" w:type="pct"/>
            <w:vMerge/>
            <w:shd w:val="clear" w:color="auto" w:fill="auto"/>
          </w:tcPr>
          <w:p w14:paraId="32E569CA" w14:textId="77777777" w:rsidR="008317DA" w:rsidRPr="00FE4345" w:rsidRDefault="008317DA" w:rsidP="00360C35">
            <w:pPr>
              <w:rPr>
                <w:rFonts w:eastAsia="Calibri" w:cs="Courier"/>
                <w:sz w:val="20"/>
                <w:szCs w:val="20"/>
              </w:rPr>
            </w:pPr>
          </w:p>
        </w:tc>
        <w:tc>
          <w:tcPr>
            <w:tcW w:w="572" w:type="pct"/>
            <w:vMerge/>
            <w:shd w:val="clear" w:color="auto" w:fill="auto"/>
          </w:tcPr>
          <w:p w14:paraId="26183623" w14:textId="77777777" w:rsidR="008317DA" w:rsidRPr="00FE4345" w:rsidRDefault="008317DA" w:rsidP="00360C35">
            <w:pPr>
              <w:rPr>
                <w:rFonts w:eastAsia="Calibri" w:cs="Courier"/>
                <w:sz w:val="20"/>
                <w:szCs w:val="20"/>
              </w:rPr>
            </w:pPr>
          </w:p>
        </w:tc>
      </w:tr>
      <w:tr w:rsidR="008317DA" w:rsidRPr="00FE4345" w14:paraId="25425322" w14:textId="77777777" w:rsidTr="00E62F53">
        <w:trPr>
          <w:trHeight w:val="170"/>
        </w:trPr>
        <w:tc>
          <w:tcPr>
            <w:tcW w:w="1559" w:type="pct"/>
            <w:shd w:val="clear" w:color="auto" w:fill="auto"/>
            <w:vAlign w:val="center"/>
          </w:tcPr>
          <w:p w14:paraId="31116F2F" w14:textId="77777777" w:rsidR="008317DA" w:rsidRPr="00FE4345" w:rsidRDefault="008317DA" w:rsidP="00360C35">
            <w:pPr>
              <w:jc w:val="center"/>
              <w:rPr>
                <w:rFonts w:eastAsia="Calibri" w:cs="Courier"/>
                <w:bCs/>
                <w:color w:val="000000"/>
                <w:sz w:val="18"/>
                <w:szCs w:val="18"/>
              </w:rPr>
            </w:pPr>
            <w:r w:rsidRPr="00FE4345">
              <w:rPr>
                <w:rFonts w:eastAsia="Calibri" w:cs="Courier"/>
                <w:bCs/>
                <w:color w:val="000000"/>
                <w:sz w:val="18"/>
                <w:szCs w:val="18"/>
              </w:rPr>
              <w:t>a</w:t>
            </w:r>
          </w:p>
        </w:tc>
        <w:tc>
          <w:tcPr>
            <w:tcW w:w="625" w:type="pct"/>
            <w:shd w:val="clear" w:color="auto" w:fill="auto"/>
          </w:tcPr>
          <w:p w14:paraId="04E33299" w14:textId="77777777" w:rsidR="008317DA" w:rsidRPr="00FE4345" w:rsidRDefault="008317DA" w:rsidP="00360C35">
            <w:pPr>
              <w:jc w:val="center"/>
              <w:rPr>
                <w:rFonts w:eastAsia="Calibri" w:cs="Courier"/>
                <w:sz w:val="18"/>
                <w:szCs w:val="18"/>
              </w:rPr>
            </w:pPr>
            <w:r w:rsidRPr="00FE4345">
              <w:rPr>
                <w:rFonts w:eastAsia="Calibri" w:cs="Courier"/>
                <w:sz w:val="18"/>
                <w:szCs w:val="18"/>
              </w:rPr>
              <w:t>1</w:t>
            </w:r>
          </w:p>
        </w:tc>
        <w:tc>
          <w:tcPr>
            <w:tcW w:w="557" w:type="pct"/>
            <w:shd w:val="clear" w:color="auto" w:fill="auto"/>
          </w:tcPr>
          <w:p w14:paraId="1B18C6DD" w14:textId="77777777" w:rsidR="008317DA" w:rsidRPr="00FE4345" w:rsidRDefault="008317DA" w:rsidP="00360C35">
            <w:pPr>
              <w:jc w:val="center"/>
              <w:rPr>
                <w:rFonts w:eastAsia="Calibri" w:cs="Courier"/>
                <w:sz w:val="18"/>
                <w:szCs w:val="18"/>
              </w:rPr>
            </w:pPr>
            <w:r w:rsidRPr="00FE4345">
              <w:rPr>
                <w:rFonts w:eastAsia="Calibri" w:cs="Courier"/>
                <w:sz w:val="18"/>
                <w:szCs w:val="18"/>
              </w:rPr>
              <w:t>2</w:t>
            </w:r>
          </w:p>
        </w:tc>
        <w:tc>
          <w:tcPr>
            <w:tcW w:w="576" w:type="pct"/>
            <w:shd w:val="clear" w:color="auto" w:fill="auto"/>
          </w:tcPr>
          <w:p w14:paraId="2091D75E" w14:textId="77777777" w:rsidR="008317DA" w:rsidRPr="00FE4345" w:rsidRDefault="008317DA" w:rsidP="00360C35">
            <w:pPr>
              <w:jc w:val="center"/>
              <w:rPr>
                <w:rFonts w:eastAsia="Calibri" w:cs="Courier"/>
                <w:sz w:val="18"/>
                <w:szCs w:val="18"/>
              </w:rPr>
            </w:pPr>
            <w:r w:rsidRPr="00FE4345">
              <w:rPr>
                <w:rFonts w:eastAsia="Calibri" w:cs="Courier"/>
                <w:sz w:val="18"/>
                <w:szCs w:val="18"/>
              </w:rPr>
              <w:t>3</w:t>
            </w:r>
          </w:p>
        </w:tc>
        <w:tc>
          <w:tcPr>
            <w:tcW w:w="625" w:type="pct"/>
          </w:tcPr>
          <w:p w14:paraId="15FFE4C7" w14:textId="77777777" w:rsidR="008317DA" w:rsidRPr="00FE4345" w:rsidRDefault="008317DA" w:rsidP="00360C35">
            <w:pPr>
              <w:jc w:val="center"/>
              <w:rPr>
                <w:rFonts w:eastAsia="Calibri" w:cs="Courier"/>
                <w:sz w:val="18"/>
                <w:szCs w:val="18"/>
              </w:rPr>
            </w:pPr>
            <w:r w:rsidRPr="00FE4345">
              <w:rPr>
                <w:rFonts w:eastAsia="Calibri" w:cs="Courier"/>
                <w:sz w:val="18"/>
                <w:szCs w:val="18"/>
              </w:rPr>
              <w:t>4</w:t>
            </w:r>
          </w:p>
        </w:tc>
        <w:tc>
          <w:tcPr>
            <w:tcW w:w="485" w:type="pct"/>
            <w:shd w:val="clear" w:color="auto" w:fill="auto"/>
          </w:tcPr>
          <w:p w14:paraId="14F85F8B" w14:textId="50F1F98B" w:rsidR="008317DA" w:rsidRPr="00FE4345" w:rsidRDefault="008317DA" w:rsidP="00360C35">
            <w:pPr>
              <w:jc w:val="center"/>
              <w:rPr>
                <w:rFonts w:eastAsia="Calibri" w:cs="Courier"/>
                <w:sz w:val="18"/>
                <w:szCs w:val="18"/>
              </w:rPr>
            </w:pPr>
            <w:r w:rsidRPr="00FE4345">
              <w:rPr>
                <w:rFonts w:eastAsia="Calibri" w:cs="Courier"/>
                <w:sz w:val="18"/>
                <w:szCs w:val="18"/>
              </w:rPr>
              <w:t>5</w:t>
            </w:r>
            <w:r w:rsidR="00E62F53">
              <w:rPr>
                <w:rFonts w:eastAsia="Calibri" w:cs="Courier"/>
                <w:sz w:val="18"/>
                <w:szCs w:val="18"/>
              </w:rPr>
              <w:t xml:space="preserve"> </w:t>
            </w:r>
            <w:r w:rsidRPr="00FE4345">
              <w:rPr>
                <w:rFonts w:eastAsia="Calibri" w:cs="Courier"/>
                <w:sz w:val="18"/>
                <w:szCs w:val="18"/>
              </w:rPr>
              <w:t>=</w:t>
            </w:r>
            <w:r w:rsidR="00E62F53">
              <w:rPr>
                <w:rFonts w:eastAsia="Calibri" w:cs="Courier"/>
                <w:sz w:val="18"/>
                <w:szCs w:val="18"/>
              </w:rPr>
              <w:t xml:space="preserve"> </w:t>
            </w:r>
            <w:r w:rsidRPr="00FE4345">
              <w:rPr>
                <w:rFonts w:eastAsia="Calibri" w:cs="Courier"/>
                <w:sz w:val="18"/>
                <w:szCs w:val="18"/>
              </w:rPr>
              <w:t>4</w:t>
            </w:r>
            <w:r w:rsidR="00E62F53">
              <w:rPr>
                <w:rFonts w:eastAsia="Calibri" w:cs="Courier"/>
                <w:sz w:val="18"/>
                <w:szCs w:val="18"/>
              </w:rPr>
              <w:t xml:space="preserve"> </w:t>
            </w:r>
            <w:r w:rsidRPr="00FE4345">
              <w:rPr>
                <w:rFonts w:eastAsia="Calibri" w:cs="Courier"/>
                <w:sz w:val="18"/>
                <w:szCs w:val="18"/>
              </w:rPr>
              <w:t>-</w:t>
            </w:r>
            <w:r w:rsidR="00E62F53">
              <w:rPr>
                <w:rFonts w:eastAsia="Calibri" w:cs="Courier"/>
                <w:sz w:val="18"/>
                <w:szCs w:val="18"/>
              </w:rPr>
              <w:t xml:space="preserve"> </w:t>
            </w:r>
            <w:r w:rsidRPr="00FE4345">
              <w:rPr>
                <w:rFonts w:eastAsia="Calibri" w:cs="Courier"/>
                <w:sz w:val="18"/>
                <w:szCs w:val="18"/>
              </w:rPr>
              <w:t>3</w:t>
            </w:r>
          </w:p>
        </w:tc>
        <w:tc>
          <w:tcPr>
            <w:tcW w:w="572" w:type="pct"/>
            <w:shd w:val="clear" w:color="auto" w:fill="auto"/>
          </w:tcPr>
          <w:p w14:paraId="17760248" w14:textId="7AE54608" w:rsidR="008317DA" w:rsidRPr="00FE4345" w:rsidRDefault="008317DA" w:rsidP="00360C35">
            <w:pPr>
              <w:jc w:val="center"/>
              <w:rPr>
                <w:rFonts w:eastAsia="Calibri" w:cs="Courier"/>
                <w:sz w:val="18"/>
                <w:szCs w:val="18"/>
              </w:rPr>
            </w:pPr>
            <w:r w:rsidRPr="00FE4345">
              <w:rPr>
                <w:rFonts w:eastAsia="Calibri" w:cs="Courier"/>
                <w:sz w:val="18"/>
                <w:szCs w:val="18"/>
              </w:rPr>
              <w:t>6</w:t>
            </w:r>
            <w:r w:rsidR="00E62F53">
              <w:rPr>
                <w:rFonts w:eastAsia="Calibri" w:cs="Courier"/>
                <w:sz w:val="18"/>
                <w:szCs w:val="18"/>
              </w:rPr>
              <w:t xml:space="preserve"> </w:t>
            </w:r>
            <w:r w:rsidRPr="00FE4345">
              <w:rPr>
                <w:rFonts w:eastAsia="Calibri" w:cs="Courier"/>
                <w:sz w:val="18"/>
                <w:szCs w:val="18"/>
              </w:rPr>
              <w:t>=</w:t>
            </w:r>
            <w:r w:rsidR="00E62F53">
              <w:rPr>
                <w:rFonts w:eastAsia="Calibri" w:cs="Courier"/>
                <w:sz w:val="18"/>
                <w:szCs w:val="18"/>
              </w:rPr>
              <w:t xml:space="preserve"> </w:t>
            </w:r>
            <w:r w:rsidRPr="00FE4345">
              <w:rPr>
                <w:rFonts w:eastAsia="Calibri" w:cs="Courier"/>
                <w:sz w:val="18"/>
                <w:szCs w:val="18"/>
              </w:rPr>
              <w:t>4/1*100</w:t>
            </w:r>
          </w:p>
        </w:tc>
      </w:tr>
      <w:tr w:rsidR="008317DA" w:rsidRPr="00FE4345" w14:paraId="24B88185" w14:textId="77777777" w:rsidTr="00B65251">
        <w:trPr>
          <w:trHeight w:val="170"/>
        </w:trPr>
        <w:tc>
          <w:tcPr>
            <w:tcW w:w="1559" w:type="pct"/>
            <w:shd w:val="clear" w:color="auto" w:fill="auto"/>
            <w:vAlign w:val="center"/>
          </w:tcPr>
          <w:p w14:paraId="7C7C040F" w14:textId="77777777" w:rsidR="008317DA" w:rsidRPr="00FE4345" w:rsidRDefault="008317DA" w:rsidP="00360C35">
            <w:pPr>
              <w:rPr>
                <w:rFonts w:eastAsia="Calibri" w:cs="Courier"/>
                <w:sz w:val="20"/>
                <w:szCs w:val="20"/>
              </w:rPr>
            </w:pPr>
            <w:r w:rsidRPr="00FE4345">
              <w:rPr>
                <w:rFonts w:eastAsia="Calibri" w:cs="Courier"/>
                <w:b/>
                <w:bCs/>
                <w:sz w:val="20"/>
                <w:szCs w:val="20"/>
              </w:rPr>
              <w:t>Granty a transfery spolu</w:t>
            </w:r>
          </w:p>
        </w:tc>
        <w:tc>
          <w:tcPr>
            <w:tcW w:w="625" w:type="pct"/>
            <w:shd w:val="clear" w:color="auto" w:fill="auto"/>
            <w:vAlign w:val="bottom"/>
          </w:tcPr>
          <w:p w14:paraId="3CB4A2F1" w14:textId="77777777" w:rsidR="008317DA" w:rsidRPr="005A0FFC" w:rsidRDefault="008317DA" w:rsidP="00360C35">
            <w:pPr>
              <w:jc w:val="right"/>
              <w:rPr>
                <w:rFonts w:eastAsia="Times New Roman" w:cs="Arial CE"/>
                <w:b/>
                <w:bCs/>
                <w:sz w:val="20"/>
                <w:szCs w:val="20"/>
                <w:lang w:eastAsia="sk-SK"/>
              </w:rPr>
            </w:pPr>
            <w:r w:rsidRPr="005A0FFC">
              <w:rPr>
                <w:rFonts w:eastAsia="Times New Roman" w:cs="Arial CE"/>
                <w:b/>
                <w:bCs/>
                <w:sz w:val="20"/>
                <w:szCs w:val="20"/>
                <w:lang w:eastAsia="sk-SK"/>
              </w:rPr>
              <w:t>2 203 634</w:t>
            </w:r>
          </w:p>
        </w:tc>
        <w:tc>
          <w:tcPr>
            <w:tcW w:w="557" w:type="pct"/>
            <w:shd w:val="clear" w:color="auto" w:fill="auto"/>
            <w:vAlign w:val="bottom"/>
          </w:tcPr>
          <w:p w14:paraId="78DBDC2D" w14:textId="77777777" w:rsidR="008317DA" w:rsidRPr="005A0FFC" w:rsidRDefault="008317DA" w:rsidP="00360C35">
            <w:pPr>
              <w:jc w:val="right"/>
              <w:rPr>
                <w:rFonts w:eastAsia="Times New Roman" w:cs="Arial CE"/>
                <w:b/>
                <w:bCs/>
                <w:sz w:val="20"/>
                <w:szCs w:val="20"/>
                <w:lang w:eastAsia="sk-SK"/>
              </w:rPr>
            </w:pPr>
            <w:r w:rsidRPr="005A0FFC">
              <w:rPr>
                <w:rFonts w:eastAsia="Times New Roman" w:cs="Arial CE"/>
                <w:b/>
                <w:bCs/>
                <w:sz w:val="20"/>
                <w:szCs w:val="20"/>
                <w:lang w:eastAsia="sk-SK"/>
              </w:rPr>
              <w:t>1 701 752</w:t>
            </w:r>
          </w:p>
        </w:tc>
        <w:tc>
          <w:tcPr>
            <w:tcW w:w="576" w:type="pct"/>
            <w:shd w:val="clear" w:color="auto" w:fill="auto"/>
            <w:vAlign w:val="bottom"/>
          </w:tcPr>
          <w:p w14:paraId="259AA861" w14:textId="77777777" w:rsidR="008317DA" w:rsidRPr="005A0FFC" w:rsidRDefault="008317DA" w:rsidP="00360C35">
            <w:pPr>
              <w:jc w:val="right"/>
              <w:rPr>
                <w:rFonts w:eastAsia="Times New Roman" w:cs="Arial CE"/>
                <w:b/>
                <w:bCs/>
                <w:sz w:val="20"/>
                <w:szCs w:val="20"/>
                <w:lang w:eastAsia="sk-SK"/>
              </w:rPr>
            </w:pPr>
            <w:r w:rsidRPr="005A0FFC">
              <w:rPr>
                <w:rFonts w:eastAsia="Times New Roman" w:cs="Arial CE"/>
                <w:b/>
                <w:bCs/>
                <w:sz w:val="20"/>
                <w:szCs w:val="20"/>
                <w:lang w:eastAsia="sk-SK"/>
              </w:rPr>
              <w:t>2 161 995</w:t>
            </w:r>
          </w:p>
        </w:tc>
        <w:tc>
          <w:tcPr>
            <w:tcW w:w="625" w:type="pct"/>
            <w:shd w:val="clear" w:color="auto" w:fill="auto"/>
            <w:vAlign w:val="bottom"/>
          </w:tcPr>
          <w:p w14:paraId="393A58CC" w14:textId="77777777" w:rsidR="008317DA" w:rsidRPr="005A0FFC" w:rsidRDefault="008317DA" w:rsidP="00360C35">
            <w:pPr>
              <w:jc w:val="right"/>
              <w:rPr>
                <w:rFonts w:eastAsia="Times New Roman" w:cs="Arial CE"/>
                <w:b/>
                <w:bCs/>
                <w:sz w:val="20"/>
                <w:szCs w:val="20"/>
                <w:lang w:eastAsia="sk-SK"/>
              </w:rPr>
            </w:pPr>
            <w:r w:rsidRPr="005A0FFC">
              <w:rPr>
                <w:rFonts w:eastAsia="Times New Roman" w:cs="Arial CE"/>
                <w:b/>
                <w:bCs/>
                <w:sz w:val="20"/>
                <w:szCs w:val="20"/>
                <w:lang w:eastAsia="sk-SK"/>
              </w:rPr>
              <w:t>2 161 575</w:t>
            </w:r>
          </w:p>
        </w:tc>
        <w:tc>
          <w:tcPr>
            <w:tcW w:w="485" w:type="pct"/>
            <w:shd w:val="clear" w:color="auto" w:fill="auto"/>
            <w:vAlign w:val="bottom"/>
          </w:tcPr>
          <w:p w14:paraId="0E6D4F7F" w14:textId="77777777" w:rsidR="008317DA" w:rsidRPr="005A0FFC" w:rsidRDefault="008317DA" w:rsidP="00E62F53">
            <w:pPr>
              <w:jc w:val="center"/>
              <w:rPr>
                <w:rFonts w:eastAsia="Times New Roman" w:cs="Arial CE"/>
                <w:b/>
                <w:bCs/>
                <w:sz w:val="20"/>
                <w:szCs w:val="20"/>
                <w:lang w:eastAsia="sk-SK"/>
              </w:rPr>
            </w:pPr>
            <w:r w:rsidRPr="005A0FFC">
              <w:rPr>
                <w:rFonts w:eastAsia="Times New Roman" w:cs="Arial CE"/>
                <w:b/>
                <w:bCs/>
                <w:sz w:val="20"/>
                <w:szCs w:val="20"/>
                <w:lang w:eastAsia="sk-SK"/>
              </w:rPr>
              <w:t>-420</w:t>
            </w:r>
          </w:p>
        </w:tc>
        <w:tc>
          <w:tcPr>
            <w:tcW w:w="572" w:type="pct"/>
            <w:shd w:val="clear" w:color="auto" w:fill="auto"/>
            <w:vAlign w:val="bottom"/>
          </w:tcPr>
          <w:p w14:paraId="128F7642" w14:textId="77777777" w:rsidR="008317DA" w:rsidRPr="005A0FFC" w:rsidRDefault="008317DA" w:rsidP="00E62F53">
            <w:pPr>
              <w:jc w:val="center"/>
              <w:rPr>
                <w:rFonts w:eastAsia="Times New Roman" w:cs="Arial CE"/>
                <w:b/>
                <w:bCs/>
                <w:sz w:val="20"/>
                <w:szCs w:val="20"/>
                <w:lang w:eastAsia="sk-SK"/>
              </w:rPr>
            </w:pPr>
            <w:r w:rsidRPr="005A0FFC">
              <w:rPr>
                <w:rFonts w:eastAsia="Times New Roman" w:cs="Arial CE"/>
                <w:b/>
                <w:bCs/>
                <w:sz w:val="20"/>
                <w:szCs w:val="20"/>
                <w:lang w:eastAsia="sk-SK"/>
              </w:rPr>
              <w:t>98,1</w:t>
            </w:r>
          </w:p>
        </w:tc>
      </w:tr>
      <w:tr w:rsidR="008317DA" w:rsidRPr="00FE4345" w14:paraId="5CE707E7" w14:textId="77777777" w:rsidTr="00E62F53">
        <w:trPr>
          <w:trHeight w:val="170"/>
        </w:trPr>
        <w:tc>
          <w:tcPr>
            <w:tcW w:w="1559" w:type="pct"/>
            <w:vAlign w:val="center"/>
          </w:tcPr>
          <w:p w14:paraId="554D7FFD" w14:textId="77777777" w:rsidR="008317DA" w:rsidRPr="00FE4345" w:rsidRDefault="008317DA" w:rsidP="00360C35">
            <w:pPr>
              <w:rPr>
                <w:rFonts w:eastAsia="Calibri" w:cs="Courier"/>
                <w:sz w:val="20"/>
                <w:szCs w:val="20"/>
              </w:rPr>
            </w:pPr>
            <w:r w:rsidRPr="00FE4345">
              <w:rPr>
                <w:rFonts w:eastAsia="Calibri" w:cs="Courier"/>
                <w:sz w:val="20"/>
                <w:szCs w:val="20"/>
              </w:rPr>
              <w:t>Tuzemské granty a transfery</w:t>
            </w:r>
          </w:p>
        </w:tc>
        <w:tc>
          <w:tcPr>
            <w:tcW w:w="625" w:type="pct"/>
            <w:vAlign w:val="bottom"/>
          </w:tcPr>
          <w:p w14:paraId="1934015A" w14:textId="77777777" w:rsidR="008317DA" w:rsidRPr="005A0FFC" w:rsidRDefault="008317DA" w:rsidP="00360C35">
            <w:pPr>
              <w:jc w:val="right"/>
              <w:rPr>
                <w:rFonts w:eastAsia="Times New Roman" w:cs="Arial CE"/>
                <w:sz w:val="20"/>
                <w:szCs w:val="20"/>
                <w:lang w:eastAsia="sk-SK"/>
              </w:rPr>
            </w:pPr>
            <w:r w:rsidRPr="005A0FFC">
              <w:rPr>
                <w:rFonts w:eastAsia="Times New Roman" w:cs="Arial CE"/>
                <w:sz w:val="20"/>
                <w:szCs w:val="20"/>
                <w:lang w:eastAsia="sk-SK"/>
              </w:rPr>
              <w:t>33 860</w:t>
            </w:r>
          </w:p>
        </w:tc>
        <w:tc>
          <w:tcPr>
            <w:tcW w:w="557" w:type="pct"/>
            <w:vAlign w:val="bottom"/>
          </w:tcPr>
          <w:p w14:paraId="7B249782" w14:textId="77777777" w:rsidR="008317DA" w:rsidRPr="005A0FFC" w:rsidRDefault="008317DA" w:rsidP="00360C35">
            <w:pPr>
              <w:jc w:val="right"/>
              <w:rPr>
                <w:rFonts w:eastAsia="Times New Roman" w:cs="Arial CE"/>
                <w:sz w:val="20"/>
                <w:szCs w:val="20"/>
                <w:lang w:eastAsia="sk-SK"/>
              </w:rPr>
            </w:pPr>
            <w:r w:rsidRPr="005A0FFC">
              <w:rPr>
                <w:rFonts w:eastAsia="Times New Roman" w:cs="Arial CE"/>
                <w:sz w:val="20"/>
                <w:szCs w:val="20"/>
                <w:lang w:eastAsia="sk-SK"/>
              </w:rPr>
              <w:t>36 711</w:t>
            </w:r>
          </w:p>
        </w:tc>
        <w:tc>
          <w:tcPr>
            <w:tcW w:w="576" w:type="pct"/>
            <w:vAlign w:val="bottom"/>
          </w:tcPr>
          <w:p w14:paraId="45D550CF" w14:textId="77777777" w:rsidR="008317DA" w:rsidRPr="005A0FFC" w:rsidRDefault="008317DA" w:rsidP="00360C35">
            <w:pPr>
              <w:jc w:val="right"/>
              <w:rPr>
                <w:rFonts w:eastAsia="Times New Roman" w:cs="Arial CE"/>
                <w:sz w:val="20"/>
                <w:szCs w:val="20"/>
                <w:lang w:eastAsia="sk-SK"/>
              </w:rPr>
            </w:pPr>
            <w:r w:rsidRPr="005A0FFC">
              <w:rPr>
                <w:rFonts w:eastAsia="Times New Roman" w:cs="Arial CE"/>
                <w:sz w:val="20"/>
                <w:szCs w:val="20"/>
                <w:lang w:eastAsia="sk-SK"/>
              </w:rPr>
              <w:t>35 210</w:t>
            </w:r>
          </w:p>
        </w:tc>
        <w:tc>
          <w:tcPr>
            <w:tcW w:w="625" w:type="pct"/>
            <w:vAlign w:val="bottom"/>
          </w:tcPr>
          <w:p w14:paraId="2389F556" w14:textId="77777777" w:rsidR="008317DA" w:rsidRPr="005A0FFC" w:rsidRDefault="008317DA" w:rsidP="00360C35">
            <w:pPr>
              <w:jc w:val="right"/>
              <w:rPr>
                <w:rFonts w:eastAsia="Times New Roman" w:cs="Arial CE"/>
                <w:sz w:val="20"/>
                <w:szCs w:val="20"/>
                <w:lang w:eastAsia="sk-SK"/>
              </w:rPr>
            </w:pPr>
            <w:r w:rsidRPr="005A0FFC">
              <w:rPr>
                <w:rFonts w:eastAsia="Times New Roman" w:cs="Arial CE"/>
                <w:sz w:val="20"/>
                <w:szCs w:val="20"/>
                <w:lang w:eastAsia="sk-SK"/>
              </w:rPr>
              <w:t>34 631</w:t>
            </w:r>
          </w:p>
        </w:tc>
        <w:tc>
          <w:tcPr>
            <w:tcW w:w="485" w:type="pct"/>
            <w:vAlign w:val="bottom"/>
          </w:tcPr>
          <w:p w14:paraId="7E959970" w14:textId="77777777" w:rsidR="008317DA" w:rsidRPr="005A0FFC" w:rsidRDefault="008317DA" w:rsidP="00E62F53">
            <w:pPr>
              <w:jc w:val="center"/>
              <w:rPr>
                <w:rFonts w:eastAsia="Times New Roman" w:cs="Arial CE"/>
                <w:sz w:val="20"/>
                <w:szCs w:val="20"/>
                <w:lang w:eastAsia="sk-SK"/>
              </w:rPr>
            </w:pPr>
            <w:r w:rsidRPr="005A0FFC">
              <w:rPr>
                <w:rFonts w:eastAsia="Times New Roman" w:cs="Arial CE"/>
                <w:sz w:val="20"/>
                <w:szCs w:val="20"/>
                <w:lang w:eastAsia="sk-SK"/>
              </w:rPr>
              <w:t>-579</w:t>
            </w:r>
          </w:p>
        </w:tc>
        <w:tc>
          <w:tcPr>
            <w:tcW w:w="572" w:type="pct"/>
            <w:vAlign w:val="bottom"/>
          </w:tcPr>
          <w:p w14:paraId="4C2C5C8A" w14:textId="77777777" w:rsidR="008317DA" w:rsidRPr="005A0FFC" w:rsidRDefault="008317DA" w:rsidP="00E62F53">
            <w:pPr>
              <w:jc w:val="center"/>
              <w:rPr>
                <w:rFonts w:eastAsia="Times New Roman" w:cs="Arial CE"/>
                <w:sz w:val="20"/>
                <w:szCs w:val="20"/>
                <w:lang w:eastAsia="sk-SK"/>
              </w:rPr>
            </w:pPr>
            <w:r w:rsidRPr="005A0FFC">
              <w:rPr>
                <w:rFonts w:eastAsia="Times New Roman" w:cs="Arial CE"/>
                <w:sz w:val="20"/>
                <w:szCs w:val="20"/>
                <w:lang w:eastAsia="sk-SK"/>
              </w:rPr>
              <w:t>102,3</w:t>
            </w:r>
          </w:p>
        </w:tc>
      </w:tr>
      <w:tr w:rsidR="008317DA" w:rsidRPr="00FE4345" w14:paraId="023C1266" w14:textId="77777777" w:rsidTr="00E62F53">
        <w:trPr>
          <w:trHeight w:val="170"/>
        </w:trPr>
        <w:tc>
          <w:tcPr>
            <w:tcW w:w="1559" w:type="pct"/>
            <w:vAlign w:val="center"/>
          </w:tcPr>
          <w:p w14:paraId="262706BB" w14:textId="77777777" w:rsidR="008317DA" w:rsidRPr="00FE4345" w:rsidRDefault="008317DA" w:rsidP="00360C35">
            <w:pPr>
              <w:rPr>
                <w:rFonts w:eastAsia="Calibri" w:cs="Courier"/>
                <w:sz w:val="20"/>
                <w:szCs w:val="20"/>
              </w:rPr>
            </w:pPr>
            <w:r w:rsidRPr="00FE4345">
              <w:rPr>
                <w:rFonts w:eastAsia="Calibri" w:cs="Courier"/>
                <w:sz w:val="20"/>
                <w:szCs w:val="20"/>
              </w:rPr>
              <w:t>Zahraničné granty a transfery</w:t>
            </w:r>
          </w:p>
        </w:tc>
        <w:tc>
          <w:tcPr>
            <w:tcW w:w="625" w:type="pct"/>
            <w:vAlign w:val="bottom"/>
          </w:tcPr>
          <w:p w14:paraId="4239F74B" w14:textId="77777777" w:rsidR="008317DA" w:rsidRPr="005A0FFC" w:rsidRDefault="008317DA" w:rsidP="00360C35">
            <w:pPr>
              <w:jc w:val="right"/>
              <w:rPr>
                <w:rFonts w:eastAsia="Times New Roman" w:cs="Arial CE"/>
                <w:sz w:val="20"/>
                <w:szCs w:val="20"/>
                <w:lang w:eastAsia="sk-SK"/>
              </w:rPr>
            </w:pPr>
            <w:r w:rsidRPr="005A0FFC">
              <w:rPr>
                <w:rFonts w:eastAsia="Times New Roman" w:cs="Arial CE"/>
                <w:sz w:val="20"/>
                <w:szCs w:val="20"/>
                <w:lang w:eastAsia="sk-SK"/>
              </w:rPr>
              <w:t>2 169 774</w:t>
            </w:r>
          </w:p>
        </w:tc>
        <w:tc>
          <w:tcPr>
            <w:tcW w:w="557" w:type="pct"/>
            <w:vAlign w:val="bottom"/>
          </w:tcPr>
          <w:p w14:paraId="44D0DD66" w14:textId="77777777" w:rsidR="008317DA" w:rsidRPr="005A0FFC" w:rsidRDefault="008317DA" w:rsidP="00360C35">
            <w:pPr>
              <w:jc w:val="right"/>
              <w:rPr>
                <w:rFonts w:eastAsia="Times New Roman" w:cs="Arial CE"/>
                <w:sz w:val="20"/>
                <w:szCs w:val="20"/>
                <w:lang w:eastAsia="sk-SK"/>
              </w:rPr>
            </w:pPr>
            <w:r w:rsidRPr="005A0FFC">
              <w:rPr>
                <w:rFonts w:eastAsia="Times New Roman" w:cs="Arial CE"/>
                <w:sz w:val="20"/>
                <w:szCs w:val="20"/>
                <w:lang w:eastAsia="sk-SK"/>
              </w:rPr>
              <w:t>1 665 041</w:t>
            </w:r>
          </w:p>
        </w:tc>
        <w:tc>
          <w:tcPr>
            <w:tcW w:w="576" w:type="pct"/>
            <w:vAlign w:val="bottom"/>
          </w:tcPr>
          <w:p w14:paraId="1BCA7423" w14:textId="77777777" w:rsidR="008317DA" w:rsidRPr="005A0FFC" w:rsidRDefault="008317DA" w:rsidP="00360C35">
            <w:pPr>
              <w:jc w:val="right"/>
              <w:rPr>
                <w:rFonts w:eastAsia="Times New Roman" w:cs="Arial CE"/>
                <w:sz w:val="20"/>
                <w:szCs w:val="20"/>
                <w:lang w:eastAsia="sk-SK"/>
              </w:rPr>
            </w:pPr>
            <w:r w:rsidRPr="005A0FFC">
              <w:rPr>
                <w:rFonts w:eastAsia="Times New Roman" w:cs="Arial CE"/>
                <w:sz w:val="20"/>
                <w:szCs w:val="20"/>
                <w:lang w:eastAsia="sk-SK"/>
              </w:rPr>
              <w:t>2 126 785</w:t>
            </w:r>
          </w:p>
        </w:tc>
        <w:tc>
          <w:tcPr>
            <w:tcW w:w="625" w:type="pct"/>
            <w:vAlign w:val="bottom"/>
          </w:tcPr>
          <w:p w14:paraId="40D633A3" w14:textId="77777777" w:rsidR="008317DA" w:rsidRPr="005A0FFC" w:rsidRDefault="008317DA" w:rsidP="00360C35">
            <w:pPr>
              <w:jc w:val="right"/>
              <w:rPr>
                <w:rFonts w:eastAsia="Times New Roman" w:cs="Arial CE"/>
                <w:sz w:val="20"/>
                <w:szCs w:val="20"/>
                <w:lang w:eastAsia="sk-SK"/>
              </w:rPr>
            </w:pPr>
            <w:r w:rsidRPr="005A0FFC">
              <w:rPr>
                <w:rFonts w:eastAsia="Times New Roman" w:cs="Arial CE"/>
                <w:sz w:val="20"/>
                <w:szCs w:val="20"/>
                <w:lang w:eastAsia="sk-SK"/>
              </w:rPr>
              <w:t>2 126 944</w:t>
            </w:r>
          </w:p>
        </w:tc>
        <w:tc>
          <w:tcPr>
            <w:tcW w:w="485" w:type="pct"/>
            <w:vAlign w:val="bottom"/>
          </w:tcPr>
          <w:p w14:paraId="7487D4A5" w14:textId="77777777" w:rsidR="008317DA" w:rsidRPr="005A0FFC" w:rsidRDefault="008317DA" w:rsidP="00E62F53">
            <w:pPr>
              <w:jc w:val="center"/>
              <w:rPr>
                <w:rFonts w:eastAsia="Times New Roman" w:cs="Arial CE"/>
                <w:sz w:val="20"/>
                <w:szCs w:val="20"/>
                <w:lang w:eastAsia="sk-SK"/>
              </w:rPr>
            </w:pPr>
            <w:r w:rsidRPr="005A0FFC">
              <w:rPr>
                <w:rFonts w:eastAsia="Times New Roman" w:cs="Arial CE"/>
                <w:sz w:val="20"/>
                <w:szCs w:val="20"/>
                <w:lang w:eastAsia="sk-SK"/>
              </w:rPr>
              <w:t>159</w:t>
            </w:r>
          </w:p>
        </w:tc>
        <w:tc>
          <w:tcPr>
            <w:tcW w:w="572" w:type="pct"/>
            <w:vAlign w:val="bottom"/>
          </w:tcPr>
          <w:p w14:paraId="19F5B561" w14:textId="77777777" w:rsidR="008317DA" w:rsidRPr="005A0FFC" w:rsidRDefault="008317DA" w:rsidP="00E62F53">
            <w:pPr>
              <w:jc w:val="center"/>
              <w:rPr>
                <w:rFonts w:eastAsia="Times New Roman" w:cs="Arial CE"/>
                <w:sz w:val="20"/>
                <w:szCs w:val="20"/>
                <w:lang w:eastAsia="sk-SK"/>
              </w:rPr>
            </w:pPr>
            <w:r w:rsidRPr="005A0FFC">
              <w:rPr>
                <w:rFonts w:eastAsia="Times New Roman" w:cs="Arial CE"/>
                <w:sz w:val="20"/>
                <w:szCs w:val="20"/>
                <w:lang w:eastAsia="sk-SK"/>
              </w:rPr>
              <w:t>98,0</w:t>
            </w:r>
          </w:p>
        </w:tc>
      </w:tr>
      <w:tr w:rsidR="008317DA" w:rsidRPr="00FE4345" w14:paraId="5D1FC370" w14:textId="77777777" w:rsidTr="00E62F53">
        <w:trPr>
          <w:trHeight w:val="170"/>
        </w:trPr>
        <w:tc>
          <w:tcPr>
            <w:tcW w:w="1559" w:type="pct"/>
            <w:vAlign w:val="center"/>
          </w:tcPr>
          <w:p w14:paraId="559A8375" w14:textId="77777777" w:rsidR="008317DA" w:rsidRPr="00FE4345" w:rsidRDefault="008317DA" w:rsidP="00360C35">
            <w:pPr>
              <w:rPr>
                <w:rFonts w:eastAsia="Calibri" w:cs="Courier"/>
                <w:sz w:val="20"/>
                <w:szCs w:val="20"/>
              </w:rPr>
            </w:pPr>
            <w:r>
              <w:rPr>
                <w:rFonts w:eastAsia="Calibri" w:cs="Courier"/>
                <w:sz w:val="20"/>
                <w:szCs w:val="20"/>
              </w:rPr>
              <w:t>z</w:t>
            </w:r>
            <w:r w:rsidRPr="00FE4345">
              <w:rPr>
                <w:rFonts w:eastAsia="Calibri" w:cs="Courier"/>
                <w:sz w:val="20"/>
                <w:szCs w:val="20"/>
              </w:rPr>
              <w:t xml:space="preserve"> toho: prostriedky z rozpočtu EÚ</w:t>
            </w:r>
          </w:p>
        </w:tc>
        <w:tc>
          <w:tcPr>
            <w:tcW w:w="625" w:type="pct"/>
            <w:vAlign w:val="bottom"/>
          </w:tcPr>
          <w:p w14:paraId="23B20663" w14:textId="77777777" w:rsidR="008317DA" w:rsidRPr="005A0FFC" w:rsidRDefault="008317DA" w:rsidP="00360C35">
            <w:pPr>
              <w:jc w:val="right"/>
              <w:rPr>
                <w:rFonts w:eastAsia="Times New Roman" w:cs="Arial CE"/>
                <w:sz w:val="20"/>
                <w:szCs w:val="20"/>
                <w:lang w:eastAsia="sk-SK"/>
              </w:rPr>
            </w:pPr>
            <w:r w:rsidRPr="005A0FFC">
              <w:rPr>
                <w:rFonts w:eastAsia="Times New Roman" w:cs="Arial CE"/>
                <w:sz w:val="20"/>
                <w:szCs w:val="20"/>
                <w:lang w:eastAsia="sk-SK"/>
              </w:rPr>
              <w:t>2 169 727</w:t>
            </w:r>
          </w:p>
        </w:tc>
        <w:tc>
          <w:tcPr>
            <w:tcW w:w="557" w:type="pct"/>
            <w:vAlign w:val="bottom"/>
          </w:tcPr>
          <w:p w14:paraId="7FABB723" w14:textId="77777777" w:rsidR="008317DA" w:rsidRPr="005A0FFC" w:rsidRDefault="008317DA" w:rsidP="00360C35">
            <w:pPr>
              <w:jc w:val="right"/>
              <w:rPr>
                <w:rFonts w:eastAsia="Times New Roman" w:cs="Arial CE"/>
                <w:sz w:val="20"/>
                <w:szCs w:val="20"/>
                <w:lang w:eastAsia="sk-SK"/>
              </w:rPr>
            </w:pPr>
            <w:r w:rsidRPr="005A0FFC">
              <w:rPr>
                <w:rFonts w:eastAsia="Times New Roman" w:cs="Arial CE"/>
                <w:sz w:val="20"/>
                <w:szCs w:val="20"/>
                <w:lang w:eastAsia="sk-SK"/>
              </w:rPr>
              <w:t>1 665 041</w:t>
            </w:r>
          </w:p>
        </w:tc>
        <w:tc>
          <w:tcPr>
            <w:tcW w:w="576" w:type="pct"/>
            <w:vAlign w:val="bottom"/>
          </w:tcPr>
          <w:p w14:paraId="799DBC3D" w14:textId="77777777" w:rsidR="008317DA" w:rsidRPr="005A0FFC" w:rsidRDefault="008317DA" w:rsidP="00360C35">
            <w:pPr>
              <w:jc w:val="right"/>
              <w:rPr>
                <w:rFonts w:eastAsia="Times New Roman" w:cs="Arial CE"/>
                <w:sz w:val="20"/>
                <w:szCs w:val="20"/>
                <w:lang w:eastAsia="sk-SK"/>
              </w:rPr>
            </w:pPr>
            <w:r w:rsidRPr="005A0FFC">
              <w:rPr>
                <w:rFonts w:eastAsia="Times New Roman" w:cs="Arial CE"/>
                <w:sz w:val="20"/>
                <w:szCs w:val="20"/>
                <w:lang w:eastAsia="sk-SK"/>
              </w:rPr>
              <w:t>2 126 785</w:t>
            </w:r>
          </w:p>
        </w:tc>
        <w:tc>
          <w:tcPr>
            <w:tcW w:w="625" w:type="pct"/>
            <w:vAlign w:val="bottom"/>
          </w:tcPr>
          <w:p w14:paraId="334B5A2F" w14:textId="77777777" w:rsidR="008317DA" w:rsidRPr="005A0FFC" w:rsidRDefault="008317DA" w:rsidP="00360C35">
            <w:pPr>
              <w:jc w:val="right"/>
              <w:rPr>
                <w:rFonts w:eastAsia="Times New Roman" w:cs="Arial CE"/>
                <w:sz w:val="20"/>
                <w:szCs w:val="20"/>
                <w:lang w:eastAsia="sk-SK"/>
              </w:rPr>
            </w:pPr>
            <w:r w:rsidRPr="005A0FFC">
              <w:rPr>
                <w:rFonts w:eastAsia="Times New Roman" w:cs="Arial CE"/>
                <w:sz w:val="20"/>
                <w:szCs w:val="20"/>
                <w:lang w:eastAsia="sk-SK"/>
              </w:rPr>
              <w:t>2 126 921</w:t>
            </w:r>
          </w:p>
        </w:tc>
        <w:tc>
          <w:tcPr>
            <w:tcW w:w="485" w:type="pct"/>
            <w:vAlign w:val="bottom"/>
          </w:tcPr>
          <w:p w14:paraId="6CCF97CF" w14:textId="77777777" w:rsidR="008317DA" w:rsidRPr="005A0FFC" w:rsidRDefault="008317DA" w:rsidP="00E62F53">
            <w:pPr>
              <w:jc w:val="center"/>
              <w:rPr>
                <w:rFonts w:eastAsia="Times New Roman" w:cs="Arial CE"/>
                <w:sz w:val="20"/>
                <w:szCs w:val="20"/>
                <w:lang w:eastAsia="sk-SK"/>
              </w:rPr>
            </w:pPr>
            <w:r w:rsidRPr="005A0FFC">
              <w:rPr>
                <w:rFonts w:eastAsia="Times New Roman" w:cs="Arial CE"/>
                <w:sz w:val="20"/>
                <w:szCs w:val="20"/>
                <w:lang w:eastAsia="sk-SK"/>
              </w:rPr>
              <w:t>136</w:t>
            </w:r>
          </w:p>
        </w:tc>
        <w:tc>
          <w:tcPr>
            <w:tcW w:w="572" w:type="pct"/>
            <w:vAlign w:val="bottom"/>
          </w:tcPr>
          <w:p w14:paraId="72FFDF20" w14:textId="77777777" w:rsidR="008317DA" w:rsidRPr="005A0FFC" w:rsidRDefault="008317DA" w:rsidP="00E62F53">
            <w:pPr>
              <w:jc w:val="center"/>
              <w:rPr>
                <w:rFonts w:eastAsia="Times New Roman" w:cs="Arial CE"/>
                <w:sz w:val="20"/>
                <w:szCs w:val="20"/>
                <w:lang w:eastAsia="sk-SK"/>
              </w:rPr>
            </w:pPr>
            <w:r w:rsidRPr="005A0FFC">
              <w:rPr>
                <w:rFonts w:eastAsia="Times New Roman" w:cs="Arial CE"/>
                <w:sz w:val="20"/>
                <w:szCs w:val="20"/>
                <w:lang w:eastAsia="sk-SK"/>
              </w:rPr>
              <w:t>98,0</w:t>
            </w:r>
          </w:p>
        </w:tc>
      </w:tr>
    </w:tbl>
    <w:p w14:paraId="3F7657AA" w14:textId="77777777" w:rsidR="00733B45" w:rsidRPr="00CA4572" w:rsidRDefault="00733B45" w:rsidP="00CA4572">
      <w:pPr>
        <w:spacing w:after="120"/>
        <w:rPr>
          <w:rFonts w:eastAsia="Calibri" w:cs="Times New Roman"/>
          <w:i/>
          <w:sz w:val="18"/>
          <w:szCs w:val="20"/>
        </w:rPr>
      </w:pPr>
      <w:r w:rsidRPr="00CA4572">
        <w:rPr>
          <w:rFonts w:eastAsia="Calibri" w:cs="Times New Roman"/>
          <w:i/>
          <w:sz w:val="18"/>
          <w:szCs w:val="20"/>
        </w:rPr>
        <w:t>Zdroj: Návrh ŠZÚ za rok 2019</w:t>
      </w:r>
    </w:p>
    <w:p w14:paraId="3A0DE4EF" w14:textId="518C5556" w:rsidR="00165F0C" w:rsidRPr="00165F0C" w:rsidRDefault="00165F0C" w:rsidP="007E246F">
      <w:pPr>
        <w:pStyle w:val="Nadpis2"/>
        <w:numPr>
          <w:ilvl w:val="1"/>
          <w:numId w:val="23"/>
        </w:numPr>
        <w:spacing w:before="0"/>
      </w:pPr>
      <w:bookmarkStart w:id="34" w:name="_Toc484097739"/>
      <w:bookmarkStart w:id="35" w:name="_Toc514137470"/>
      <w:bookmarkStart w:id="36" w:name="_Toc43218071"/>
      <w:r w:rsidRPr="00165F0C">
        <w:t>Výdavky štátneho rozpočtu</w:t>
      </w:r>
      <w:bookmarkEnd w:id="34"/>
      <w:bookmarkEnd w:id="35"/>
      <w:bookmarkEnd w:id="36"/>
    </w:p>
    <w:p w14:paraId="23977C1C" w14:textId="2ADA0CF2" w:rsidR="00733B45" w:rsidRDefault="00733B45" w:rsidP="00CA4572">
      <w:pPr>
        <w:spacing w:after="120"/>
        <w:jc w:val="both"/>
      </w:pPr>
      <w:r w:rsidRPr="007255A2">
        <w:t>Celkové</w:t>
      </w:r>
      <w:r>
        <w:t xml:space="preserve"> výdavky ŠR dosiahli v roku 2019</w:t>
      </w:r>
      <w:r w:rsidRPr="007255A2">
        <w:t xml:space="preserve"> hodnotu </w:t>
      </w:r>
      <w:r>
        <w:rPr>
          <w:rFonts w:eastAsia="Times New Roman" w:cs="Arial CE"/>
          <w:bCs/>
          <w:lang w:eastAsia="sk-SK"/>
        </w:rPr>
        <w:t>18 027 016</w:t>
      </w:r>
      <w:r w:rsidRPr="007255A2">
        <w:rPr>
          <w:rFonts w:eastAsia="Times New Roman" w:cs="Arial CE"/>
          <w:bCs/>
          <w:lang w:eastAsia="sk-SK"/>
        </w:rPr>
        <w:t xml:space="preserve"> </w:t>
      </w:r>
      <w:r w:rsidRPr="007255A2">
        <w:rPr>
          <w:bCs/>
        </w:rPr>
        <w:t>tis. eur</w:t>
      </w:r>
      <w:r w:rsidRPr="007255A2">
        <w:t>, čo zodpovedá medziročnému</w:t>
      </w:r>
      <w:r w:rsidRPr="00832312">
        <w:t xml:space="preserve"> </w:t>
      </w:r>
      <w:r>
        <w:t>nárastu o </w:t>
      </w:r>
      <w:r w:rsidR="00504A44">
        <w:t>8,8 %</w:t>
      </w:r>
      <w:r w:rsidRPr="00832312">
        <w:t xml:space="preserve"> a poklesu </w:t>
      </w:r>
      <w:r>
        <w:t>v porovnaní s upraveným rozpočtom</w:t>
      </w:r>
      <w:r w:rsidRPr="00832312">
        <w:t xml:space="preserve"> o</w:t>
      </w:r>
      <w:r>
        <w:t> 1,2</w:t>
      </w:r>
      <w:r w:rsidRPr="00832312">
        <w:t> %. Podiel bežných výdavkov na celk</w:t>
      </w:r>
      <w:r>
        <w:t>ových výdavkoch predstavuje 84,1</w:t>
      </w:r>
      <w:r w:rsidRPr="00832312">
        <w:t> % a zvyšných 1</w:t>
      </w:r>
      <w:r>
        <w:t>5,9</w:t>
      </w:r>
      <w:r w:rsidRPr="00832312">
        <w:t xml:space="preserve"> % </w:t>
      </w:r>
      <w:r>
        <w:t xml:space="preserve">pripadá na kapitálové výdavky. </w:t>
      </w:r>
    </w:p>
    <w:p w14:paraId="0581026F" w14:textId="6D0A13B2" w:rsidR="00733B45" w:rsidRDefault="00733B45" w:rsidP="00CA4572">
      <w:pPr>
        <w:spacing w:after="120"/>
        <w:jc w:val="both"/>
        <w:rPr>
          <w:lang w:bidi="sk-SK"/>
        </w:rPr>
      </w:pPr>
      <w:r w:rsidRPr="00A2252D">
        <w:t xml:space="preserve">Na </w:t>
      </w:r>
      <w:r w:rsidRPr="00A2252D">
        <w:rPr>
          <w:b/>
        </w:rPr>
        <w:t xml:space="preserve">mzdy, platy, služobné príjmy a ostatné osobné vyrovnania </w:t>
      </w:r>
      <w:r w:rsidRPr="00A2252D">
        <w:t xml:space="preserve">zamestnancov rozpočtových organizácií kapitol ŠR </w:t>
      </w:r>
      <w:r w:rsidRPr="008317DA">
        <w:rPr>
          <w:b/>
        </w:rPr>
        <w:t xml:space="preserve">bolo vynaložených </w:t>
      </w:r>
      <w:r w:rsidR="003760D3" w:rsidRPr="008317DA">
        <w:rPr>
          <w:rFonts w:eastAsia="Times New Roman" w:cs="Arial CE"/>
          <w:b/>
          <w:lang w:eastAsia="sk-SK"/>
        </w:rPr>
        <w:t>2 322 962</w:t>
      </w:r>
      <w:r w:rsidRPr="008317DA">
        <w:rPr>
          <w:rFonts w:eastAsia="Times New Roman" w:cs="Arial CE"/>
          <w:b/>
          <w:lang w:eastAsia="sk-SK"/>
        </w:rPr>
        <w:t xml:space="preserve"> </w:t>
      </w:r>
      <w:r w:rsidRPr="008317DA">
        <w:rPr>
          <w:b/>
        </w:rPr>
        <w:t>tis. eur</w:t>
      </w:r>
      <w:r w:rsidRPr="00A2252D">
        <w:t>, čo je o</w:t>
      </w:r>
      <w:r w:rsidR="003760D3">
        <w:t> 1 989</w:t>
      </w:r>
      <w:r w:rsidRPr="00A2252D">
        <w:t xml:space="preserve"> tis. eur </w:t>
      </w:r>
      <w:r>
        <w:t>menej</w:t>
      </w:r>
      <w:r w:rsidRPr="00A2252D">
        <w:t xml:space="preserve"> </w:t>
      </w:r>
      <w:r>
        <w:t>v porovnaní s upraveným rozpočtom</w:t>
      </w:r>
      <w:r w:rsidRPr="00A2252D">
        <w:t xml:space="preserve"> na rok 201</w:t>
      </w:r>
      <w:r w:rsidR="003760D3">
        <w:t>9</w:t>
      </w:r>
      <w:r w:rsidRPr="00A2252D">
        <w:t>.</w:t>
      </w:r>
      <w:r>
        <w:t xml:space="preserve"> V medziročnom porovnaní došlo k navýšeniu o</w:t>
      </w:r>
      <w:r w:rsidR="003760D3">
        <w:t> </w:t>
      </w:r>
      <w:r w:rsidR="003760D3">
        <w:rPr>
          <w:rFonts w:eastAsia="Times New Roman" w:cs="Arial"/>
          <w:lang w:eastAsia="sk-SK"/>
        </w:rPr>
        <w:t>296 902 tis. eur, t. j. o 7,1</w:t>
      </w:r>
      <w:r>
        <w:rPr>
          <w:rFonts w:eastAsia="Times New Roman" w:cs="Arial"/>
          <w:lang w:eastAsia="sk-SK"/>
        </w:rPr>
        <w:t xml:space="preserve"> %. </w:t>
      </w:r>
      <w:r w:rsidR="003760D3">
        <w:rPr>
          <w:rFonts w:eastAsia="Times New Roman" w:cs="Arial"/>
          <w:lang w:eastAsia="sk-SK"/>
        </w:rPr>
        <w:t>Medziročný n</w:t>
      </w:r>
      <w:r>
        <w:t xml:space="preserve">árast výdavkov bol ovplyvnený najmä zvýšením platov štátnych zamestnancov </w:t>
      </w:r>
      <w:r w:rsidR="003760D3">
        <w:t xml:space="preserve">a zamestnancov </w:t>
      </w:r>
      <w:r w:rsidR="003760D3" w:rsidRPr="003760D3">
        <w:rPr>
          <w:rFonts w:eastAsia="Calibri" w:cs="Times New Roman"/>
          <w:color w:val="000000"/>
        </w:rPr>
        <w:t xml:space="preserve">pri výkone práce vo verejnom záujme (súhrnne v sume 183 037 tis. eur). V nadväznosti na </w:t>
      </w:r>
      <w:r w:rsidR="003760D3">
        <w:rPr>
          <w:rFonts w:eastAsia="Calibri" w:cs="Times New Roman"/>
          <w:color w:val="000000"/>
        </w:rPr>
        <w:t xml:space="preserve">zvýšenie </w:t>
      </w:r>
      <w:r w:rsidR="003760D3" w:rsidRPr="003760D3">
        <w:rPr>
          <w:rFonts w:eastAsia="Calibri" w:cs="Times New Roman"/>
          <w:color w:val="000000"/>
        </w:rPr>
        <w:t>priemernej mzdy v hospodárstve S</w:t>
      </w:r>
      <w:r w:rsidR="003760D3">
        <w:rPr>
          <w:rFonts w:eastAsia="Calibri" w:cs="Times New Roman"/>
          <w:color w:val="000000"/>
        </w:rPr>
        <w:t xml:space="preserve">R </w:t>
      </w:r>
      <w:r w:rsidR="003760D3" w:rsidRPr="003760D3">
        <w:rPr>
          <w:rFonts w:eastAsia="Calibri" w:cs="Times New Roman"/>
          <w:color w:val="000000"/>
        </w:rPr>
        <w:t xml:space="preserve">za rok 2018 </w:t>
      </w:r>
      <w:r w:rsidR="003760D3">
        <w:rPr>
          <w:rFonts w:eastAsia="Calibri" w:cs="Times New Roman"/>
          <w:color w:val="000000"/>
        </w:rPr>
        <w:t xml:space="preserve">boli </w:t>
      </w:r>
      <w:r w:rsidR="003760D3" w:rsidRPr="003760D3">
        <w:rPr>
          <w:rFonts w:eastAsia="Calibri" w:cs="Times New Roman"/>
          <w:color w:val="000000"/>
        </w:rPr>
        <w:t xml:space="preserve">zvýšené platy sudcov (o 4 693 tis. eur), </w:t>
      </w:r>
      <w:r w:rsidR="003760D3">
        <w:rPr>
          <w:rFonts w:eastAsia="Calibri" w:cs="Times New Roman"/>
          <w:color w:val="000000"/>
        </w:rPr>
        <w:t xml:space="preserve">prokurátorov (o 2 910 tis. eur), </w:t>
      </w:r>
      <w:r w:rsidR="003760D3" w:rsidRPr="003760D3">
        <w:rPr>
          <w:rFonts w:eastAsia="Calibri" w:cs="Times New Roman"/>
          <w:color w:val="000000"/>
        </w:rPr>
        <w:t>ústavných sudcov (o 24 tis. eur) a ústavných činiteľov, štátnych zamestnancov vo verejnej funkcii v služobnom úrade, ktorým je ministerstvo, vedúcich ostatných ústredných orgánov štát</w:t>
      </w:r>
      <w:r w:rsidR="003760D3">
        <w:rPr>
          <w:rFonts w:eastAsia="Calibri" w:cs="Times New Roman"/>
          <w:color w:val="000000"/>
        </w:rPr>
        <w:t>nej správy a členov rady (</w:t>
      </w:r>
      <w:r w:rsidR="00B42819">
        <w:rPr>
          <w:rFonts w:eastAsia="Calibri" w:cs="Times New Roman"/>
          <w:color w:val="000000"/>
        </w:rPr>
        <w:t xml:space="preserve">o </w:t>
      </w:r>
      <w:r w:rsidR="003760D3">
        <w:rPr>
          <w:rFonts w:eastAsia="Calibri" w:cs="Times New Roman"/>
          <w:color w:val="000000"/>
        </w:rPr>
        <w:t>4 032 </w:t>
      </w:r>
      <w:r w:rsidR="003760D3" w:rsidRPr="003760D3">
        <w:rPr>
          <w:rFonts w:eastAsia="Calibri" w:cs="Times New Roman"/>
          <w:color w:val="000000"/>
        </w:rPr>
        <w:t>tis. eur).</w:t>
      </w:r>
      <w:r w:rsidR="003760D3">
        <w:rPr>
          <w:lang w:bidi="sk-SK"/>
        </w:rPr>
        <w:t xml:space="preserve"> </w:t>
      </w:r>
    </w:p>
    <w:p w14:paraId="0513D144" w14:textId="77777777" w:rsidR="00733B45" w:rsidRDefault="00733B45" w:rsidP="00CA4572">
      <w:pPr>
        <w:jc w:val="both"/>
        <w:rPr>
          <w:b/>
          <w:i/>
        </w:rPr>
      </w:pPr>
      <w:r w:rsidRPr="003F2F79">
        <w:rPr>
          <w:b/>
          <w:i/>
        </w:rPr>
        <w:t xml:space="preserve">Porovnanie štruktúry čerpania výdavkov ŠR </w:t>
      </w:r>
      <w:r>
        <w:rPr>
          <w:b/>
          <w:i/>
        </w:rPr>
        <w:t>na hotovostnej báze za roky 2018</w:t>
      </w:r>
      <w:r w:rsidRPr="003F2F79">
        <w:rPr>
          <w:b/>
          <w:i/>
        </w:rPr>
        <w:t xml:space="preserve"> a</w:t>
      </w:r>
      <w:r>
        <w:rPr>
          <w:b/>
          <w:i/>
        </w:rPr>
        <w:t>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1168"/>
        <w:gridCol w:w="1118"/>
        <w:gridCol w:w="1120"/>
        <w:gridCol w:w="1168"/>
        <w:gridCol w:w="978"/>
        <w:gridCol w:w="1000"/>
      </w:tblGrid>
      <w:tr w:rsidR="00733B45" w:rsidRPr="00FE4345" w14:paraId="14CA7314" w14:textId="77777777" w:rsidTr="00D85EF9">
        <w:trPr>
          <w:trHeight w:val="170"/>
          <w:tblHeader/>
        </w:trPr>
        <w:tc>
          <w:tcPr>
            <w:tcW w:w="1495" w:type="pct"/>
            <w:vMerge w:val="restart"/>
            <w:shd w:val="clear" w:color="auto" w:fill="0070C0"/>
            <w:vAlign w:val="center"/>
          </w:tcPr>
          <w:p w14:paraId="644FD3E0" w14:textId="77777777" w:rsidR="00733B45" w:rsidRPr="00FE4345" w:rsidRDefault="00733B45" w:rsidP="00CA4572">
            <w:pPr>
              <w:rPr>
                <w:rFonts w:eastAsia="Calibri" w:cs="Times New Roman"/>
                <w:b/>
                <w:color w:val="FFFFFF"/>
                <w:sz w:val="20"/>
                <w:szCs w:val="20"/>
              </w:rPr>
            </w:pPr>
            <w:r w:rsidRPr="00FE4345">
              <w:rPr>
                <w:rFonts w:eastAsia="Calibri" w:cs="Times New Roman"/>
                <w:b/>
                <w:bCs/>
                <w:color w:val="FFFFFF"/>
                <w:sz w:val="20"/>
                <w:szCs w:val="20"/>
              </w:rPr>
              <w:t>Ukazovateľ</w:t>
            </w:r>
          </w:p>
        </w:tc>
        <w:tc>
          <w:tcPr>
            <w:tcW w:w="625" w:type="pct"/>
            <w:vMerge w:val="restart"/>
            <w:shd w:val="clear" w:color="auto" w:fill="0070C0"/>
            <w:vAlign w:val="center"/>
          </w:tcPr>
          <w:p w14:paraId="65801EBA" w14:textId="77777777" w:rsidR="00733B45" w:rsidRPr="00FE4345" w:rsidRDefault="00733B45" w:rsidP="00CA4572">
            <w:pPr>
              <w:jc w:val="center"/>
              <w:rPr>
                <w:rFonts w:eastAsia="Calibri" w:cs="Times New Roman"/>
                <w:b/>
                <w:color w:val="FFFFFF"/>
                <w:sz w:val="20"/>
                <w:szCs w:val="20"/>
              </w:rPr>
            </w:pPr>
            <w:r w:rsidRPr="00FE4345">
              <w:rPr>
                <w:rFonts w:eastAsia="Calibri" w:cs="Times New Roman"/>
                <w:b/>
                <w:color w:val="FFFFFF"/>
                <w:sz w:val="20"/>
                <w:szCs w:val="20"/>
              </w:rPr>
              <w:t>Skutočnosť</w:t>
            </w:r>
          </w:p>
          <w:p w14:paraId="7F27A40D" w14:textId="599E1E49" w:rsidR="00733B45" w:rsidRPr="00FE4345" w:rsidRDefault="00733B45" w:rsidP="008B6B29">
            <w:pPr>
              <w:jc w:val="center"/>
              <w:rPr>
                <w:rFonts w:eastAsia="Calibri" w:cs="Times New Roman"/>
                <w:b/>
                <w:color w:val="FFFFFF"/>
                <w:sz w:val="20"/>
                <w:szCs w:val="20"/>
              </w:rPr>
            </w:pPr>
            <w:r w:rsidRPr="00FE4345">
              <w:rPr>
                <w:rFonts w:eastAsia="Calibri" w:cs="Times New Roman"/>
                <w:b/>
                <w:color w:val="FFFFFF"/>
                <w:sz w:val="20"/>
                <w:szCs w:val="20"/>
              </w:rPr>
              <w:t>201</w:t>
            </w:r>
            <w:r w:rsidR="008B6B29">
              <w:rPr>
                <w:rFonts w:eastAsia="Calibri" w:cs="Times New Roman"/>
                <w:b/>
                <w:color w:val="FFFFFF"/>
                <w:sz w:val="20"/>
                <w:szCs w:val="20"/>
              </w:rPr>
              <w:t>8</w:t>
            </w:r>
          </w:p>
        </w:tc>
        <w:tc>
          <w:tcPr>
            <w:tcW w:w="1197" w:type="pct"/>
            <w:gridSpan w:val="2"/>
            <w:shd w:val="clear" w:color="auto" w:fill="0070C0"/>
            <w:vAlign w:val="center"/>
          </w:tcPr>
          <w:p w14:paraId="2ECD88CD" w14:textId="4CDA4E6B" w:rsidR="00733B45" w:rsidRPr="00FE4345" w:rsidRDefault="00733B45" w:rsidP="00CA4572">
            <w:pPr>
              <w:jc w:val="center"/>
              <w:rPr>
                <w:rFonts w:eastAsia="Calibri" w:cs="Times New Roman"/>
                <w:b/>
                <w:color w:val="FFFFFF"/>
                <w:sz w:val="20"/>
                <w:szCs w:val="20"/>
              </w:rPr>
            </w:pPr>
            <w:r w:rsidRPr="00FE4345">
              <w:rPr>
                <w:rFonts w:eastAsia="Calibri" w:cs="Times New Roman"/>
                <w:b/>
                <w:color w:val="FFFFFF"/>
                <w:sz w:val="20"/>
                <w:szCs w:val="20"/>
              </w:rPr>
              <w:t>R</w:t>
            </w:r>
            <w:r w:rsidR="008B6B29">
              <w:rPr>
                <w:rFonts w:eastAsia="Calibri" w:cs="Times New Roman"/>
                <w:b/>
                <w:color w:val="FFFFFF"/>
                <w:sz w:val="20"/>
                <w:szCs w:val="20"/>
              </w:rPr>
              <w:t>ozpočet 2019</w:t>
            </w:r>
          </w:p>
        </w:tc>
        <w:tc>
          <w:tcPr>
            <w:tcW w:w="625" w:type="pct"/>
            <w:vMerge w:val="restart"/>
            <w:shd w:val="clear" w:color="auto" w:fill="0070C0"/>
          </w:tcPr>
          <w:p w14:paraId="1E05E08A" w14:textId="10F3CF59" w:rsidR="00733B45" w:rsidRPr="00FE4345" w:rsidRDefault="008B6B29" w:rsidP="00CA4572">
            <w:pPr>
              <w:jc w:val="center"/>
              <w:rPr>
                <w:rFonts w:eastAsia="Calibri" w:cs="Times New Roman"/>
                <w:b/>
                <w:color w:val="FFFFFF"/>
                <w:sz w:val="20"/>
                <w:szCs w:val="20"/>
              </w:rPr>
            </w:pPr>
            <w:r>
              <w:rPr>
                <w:rFonts w:eastAsia="Calibri" w:cs="Times New Roman"/>
                <w:b/>
                <w:color w:val="FFFFFF"/>
                <w:sz w:val="20"/>
                <w:szCs w:val="20"/>
              </w:rPr>
              <w:t>Skutočnosť 2019</w:t>
            </w:r>
          </w:p>
        </w:tc>
        <w:tc>
          <w:tcPr>
            <w:tcW w:w="523" w:type="pct"/>
            <w:vMerge w:val="restart"/>
            <w:shd w:val="clear" w:color="auto" w:fill="0070C0"/>
            <w:vAlign w:val="center"/>
          </w:tcPr>
          <w:p w14:paraId="6283CD38" w14:textId="77777777" w:rsidR="00733B45" w:rsidRPr="00FE4345" w:rsidRDefault="00733B45" w:rsidP="00CA4572">
            <w:pPr>
              <w:jc w:val="center"/>
              <w:rPr>
                <w:rFonts w:eastAsia="Calibri" w:cs="Times New Roman"/>
                <w:b/>
                <w:color w:val="FFFFFF"/>
                <w:sz w:val="20"/>
                <w:szCs w:val="20"/>
              </w:rPr>
            </w:pPr>
            <w:r w:rsidRPr="00FE4345">
              <w:rPr>
                <w:rFonts w:eastAsia="Calibri" w:cs="Times New Roman"/>
                <w:b/>
                <w:color w:val="FFFFFF"/>
                <w:sz w:val="20"/>
                <w:szCs w:val="20"/>
              </w:rPr>
              <w:t>Rozdiel</w:t>
            </w:r>
          </w:p>
        </w:tc>
        <w:tc>
          <w:tcPr>
            <w:tcW w:w="535" w:type="pct"/>
            <w:vMerge w:val="restart"/>
            <w:shd w:val="clear" w:color="auto" w:fill="0070C0"/>
            <w:vAlign w:val="center"/>
          </w:tcPr>
          <w:p w14:paraId="7564DB4C" w14:textId="6E19B389" w:rsidR="00733B45" w:rsidRPr="00FE4345" w:rsidRDefault="0076083E" w:rsidP="00CA4572">
            <w:pPr>
              <w:jc w:val="center"/>
              <w:rPr>
                <w:rFonts w:eastAsia="Calibri" w:cs="Times New Roman"/>
                <w:b/>
                <w:color w:val="FFFFFF"/>
                <w:sz w:val="20"/>
                <w:szCs w:val="20"/>
              </w:rPr>
            </w:pPr>
            <w:r>
              <w:rPr>
                <w:rFonts w:eastAsia="Calibri" w:cs="Times New Roman"/>
                <w:b/>
                <w:color w:val="FFFFFF"/>
                <w:sz w:val="20"/>
                <w:szCs w:val="20"/>
              </w:rPr>
              <w:t>Index</w:t>
            </w:r>
          </w:p>
          <w:p w14:paraId="393DD969" w14:textId="77777777" w:rsidR="00733B45" w:rsidRPr="00FE4345" w:rsidRDefault="00733B45" w:rsidP="00CA4572">
            <w:pPr>
              <w:jc w:val="center"/>
              <w:rPr>
                <w:rFonts w:eastAsia="Calibri" w:cs="Times New Roman"/>
                <w:b/>
                <w:color w:val="FFFFFF"/>
                <w:sz w:val="20"/>
                <w:szCs w:val="20"/>
              </w:rPr>
            </w:pPr>
            <w:r w:rsidRPr="00FE4345">
              <w:rPr>
                <w:rFonts w:eastAsia="Calibri" w:cs="Times New Roman"/>
                <w:b/>
                <w:color w:val="FFFFFF"/>
                <w:sz w:val="20"/>
                <w:szCs w:val="20"/>
              </w:rPr>
              <w:t>(v %)</w:t>
            </w:r>
          </w:p>
        </w:tc>
      </w:tr>
      <w:tr w:rsidR="00733B45" w:rsidRPr="00FE4345" w14:paraId="4869B627" w14:textId="77777777" w:rsidTr="00D85EF9">
        <w:trPr>
          <w:trHeight w:val="170"/>
          <w:tblHeader/>
        </w:trPr>
        <w:tc>
          <w:tcPr>
            <w:tcW w:w="1495" w:type="pct"/>
            <w:vMerge/>
            <w:shd w:val="clear" w:color="auto" w:fill="D9D9D9"/>
          </w:tcPr>
          <w:p w14:paraId="35AD8941" w14:textId="77777777" w:rsidR="00733B45" w:rsidRPr="00FE4345" w:rsidRDefault="00733B45" w:rsidP="00CA4572">
            <w:pPr>
              <w:rPr>
                <w:rFonts w:eastAsia="Calibri" w:cs="Times New Roman"/>
                <w:sz w:val="20"/>
                <w:szCs w:val="20"/>
              </w:rPr>
            </w:pPr>
          </w:p>
        </w:tc>
        <w:tc>
          <w:tcPr>
            <w:tcW w:w="625" w:type="pct"/>
            <w:vMerge/>
            <w:shd w:val="clear" w:color="auto" w:fill="D9D9D9"/>
          </w:tcPr>
          <w:p w14:paraId="5D7744EC" w14:textId="77777777" w:rsidR="00733B45" w:rsidRPr="00FE4345" w:rsidRDefault="00733B45" w:rsidP="00CA4572">
            <w:pPr>
              <w:rPr>
                <w:rFonts w:eastAsia="Calibri" w:cs="Times New Roman"/>
                <w:sz w:val="20"/>
                <w:szCs w:val="20"/>
              </w:rPr>
            </w:pPr>
          </w:p>
        </w:tc>
        <w:tc>
          <w:tcPr>
            <w:tcW w:w="598" w:type="pct"/>
            <w:shd w:val="clear" w:color="auto" w:fill="0070C0"/>
            <w:vAlign w:val="center"/>
          </w:tcPr>
          <w:p w14:paraId="439C086C" w14:textId="77777777" w:rsidR="00733B45" w:rsidRPr="00FE4345" w:rsidRDefault="00733B45" w:rsidP="00CA4572">
            <w:pPr>
              <w:jc w:val="center"/>
              <w:rPr>
                <w:rFonts w:eastAsia="Calibri" w:cs="Times New Roman"/>
                <w:b/>
                <w:color w:val="FFFFFF"/>
                <w:sz w:val="20"/>
                <w:szCs w:val="20"/>
              </w:rPr>
            </w:pPr>
            <w:r w:rsidRPr="00FE4345">
              <w:rPr>
                <w:rFonts w:eastAsia="Calibri" w:cs="Times New Roman"/>
                <w:b/>
                <w:color w:val="FFFFFF"/>
                <w:sz w:val="20"/>
                <w:szCs w:val="20"/>
              </w:rPr>
              <w:t>schválený</w:t>
            </w:r>
          </w:p>
        </w:tc>
        <w:tc>
          <w:tcPr>
            <w:tcW w:w="599" w:type="pct"/>
            <w:shd w:val="clear" w:color="auto" w:fill="0070C0"/>
            <w:vAlign w:val="center"/>
          </w:tcPr>
          <w:p w14:paraId="53FBE648" w14:textId="77777777" w:rsidR="00733B45" w:rsidRPr="00FE4345" w:rsidRDefault="00733B45" w:rsidP="00CA4572">
            <w:pPr>
              <w:jc w:val="center"/>
              <w:rPr>
                <w:rFonts w:eastAsia="Calibri" w:cs="Times New Roman"/>
                <w:b/>
                <w:color w:val="FFFFFF"/>
                <w:sz w:val="20"/>
                <w:szCs w:val="20"/>
              </w:rPr>
            </w:pPr>
            <w:r w:rsidRPr="00FE4345">
              <w:rPr>
                <w:rFonts w:eastAsia="Calibri" w:cs="Times New Roman"/>
                <w:b/>
                <w:color w:val="FFFFFF"/>
                <w:sz w:val="20"/>
                <w:szCs w:val="20"/>
              </w:rPr>
              <w:t>upravený</w:t>
            </w:r>
          </w:p>
        </w:tc>
        <w:tc>
          <w:tcPr>
            <w:tcW w:w="625" w:type="pct"/>
            <w:vMerge/>
            <w:shd w:val="clear" w:color="auto" w:fill="0070C0"/>
          </w:tcPr>
          <w:p w14:paraId="01BE4A34" w14:textId="77777777" w:rsidR="00733B45" w:rsidRPr="00FE4345" w:rsidRDefault="00733B45" w:rsidP="00CA4572">
            <w:pPr>
              <w:rPr>
                <w:rFonts w:eastAsia="Calibri" w:cs="Times New Roman"/>
                <w:sz w:val="20"/>
                <w:szCs w:val="20"/>
              </w:rPr>
            </w:pPr>
          </w:p>
        </w:tc>
        <w:tc>
          <w:tcPr>
            <w:tcW w:w="523" w:type="pct"/>
            <w:vMerge/>
            <w:shd w:val="clear" w:color="auto" w:fill="D9D9D9"/>
          </w:tcPr>
          <w:p w14:paraId="7C314B88" w14:textId="77777777" w:rsidR="00733B45" w:rsidRPr="00FE4345" w:rsidRDefault="00733B45" w:rsidP="00CA4572">
            <w:pPr>
              <w:rPr>
                <w:rFonts w:eastAsia="Calibri" w:cs="Times New Roman"/>
                <w:sz w:val="20"/>
                <w:szCs w:val="20"/>
              </w:rPr>
            </w:pPr>
          </w:p>
        </w:tc>
        <w:tc>
          <w:tcPr>
            <w:tcW w:w="535" w:type="pct"/>
            <w:vMerge/>
            <w:shd w:val="clear" w:color="auto" w:fill="D9D9D9"/>
          </w:tcPr>
          <w:p w14:paraId="0A2BABC7" w14:textId="77777777" w:rsidR="00733B45" w:rsidRPr="00FE4345" w:rsidRDefault="00733B45" w:rsidP="00CA4572">
            <w:pPr>
              <w:rPr>
                <w:rFonts w:eastAsia="Calibri" w:cs="Times New Roman"/>
                <w:sz w:val="20"/>
                <w:szCs w:val="20"/>
              </w:rPr>
            </w:pPr>
          </w:p>
        </w:tc>
      </w:tr>
      <w:tr w:rsidR="00733B45" w:rsidRPr="00FE4345" w14:paraId="532EDD6A" w14:textId="77777777" w:rsidTr="00D85EF9">
        <w:trPr>
          <w:trHeight w:val="170"/>
          <w:tblHeader/>
        </w:trPr>
        <w:tc>
          <w:tcPr>
            <w:tcW w:w="1495" w:type="pct"/>
            <w:vAlign w:val="center"/>
          </w:tcPr>
          <w:p w14:paraId="1A7DCD3D" w14:textId="77777777" w:rsidR="00733B45" w:rsidRPr="00FE4345" w:rsidRDefault="00733B45" w:rsidP="00CA4572">
            <w:pPr>
              <w:jc w:val="center"/>
              <w:rPr>
                <w:rFonts w:eastAsia="Calibri" w:cs="Times New Roman"/>
                <w:bCs/>
                <w:color w:val="000000"/>
                <w:sz w:val="20"/>
                <w:szCs w:val="20"/>
              </w:rPr>
            </w:pPr>
            <w:r w:rsidRPr="00FE4345">
              <w:rPr>
                <w:rFonts w:eastAsia="Calibri" w:cs="Times New Roman"/>
                <w:bCs/>
                <w:color w:val="000000"/>
                <w:sz w:val="20"/>
                <w:szCs w:val="20"/>
              </w:rPr>
              <w:t>a</w:t>
            </w:r>
          </w:p>
        </w:tc>
        <w:tc>
          <w:tcPr>
            <w:tcW w:w="625" w:type="pct"/>
          </w:tcPr>
          <w:p w14:paraId="6737532E" w14:textId="77777777" w:rsidR="00733B45" w:rsidRPr="00FE4345" w:rsidRDefault="00733B45" w:rsidP="00CA4572">
            <w:pPr>
              <w:jc w:val="center"/>
              <w:rPr>
                <w:rFonts w:eastAsia="Calibri" w:cs="Times New Roman"/>
                <w:sz w:val="20"/>
                <w:szCs w:val="20"/>
              </w:rPr>
            </w:pPr>
            <w:r w:rsidRPr="00FE4345">
              <w:rPr>
                <w:rFonts w:eastAsia="Calibri" w:cs="Times New Roman"/>
                <w:sz w:val="20"/>
                <w:szCs w:val="20"/>
              </w:rPr>
              <w:t>1</w:t>
            </w:r>
          </w:p>
        </w:tc>
        <w:tc>
          <w:tcPr>
            <w:tcW w:w="598" w:type="pct"/>
          </w:tcPr>
          <w:p w14:paraId="507F0A7D" w14:textId="77777777" w:rsidR="00733B45" w:rsidRPr="00FE4345" w:rsidRDefault="00733B45" w:rsidP="00CA4572">
            <w:pPr>
              <w:jc w:val="center"/>
              <w:rPr>
                <w:rFonts w:eastAsia="Calibri" w:cs="Times New Roman"/>
                <w:sz w:val="20"/>
                <w:szCs w:val="20"/>
              </w:rPr>
            </w:pPr>
            <w:r w:rsidRPr="00FE4345">
              <w:rPr>
                <w:rFonts w:eastAsia="Calibri" w:cs="Times New Roman"/>
                <w:sz w:val="20"/>
                <w:szCs w:val="20"/>
              </w:rPr>
              <w:t>2</w:t>
            </w:r>
          </w:p>
        </w:tc>
        <w:tc>
          <w:tcPr>
            <w:tcW w:w="599" w:type="pct"/>
          </w:tcPr>
          <w:p w14:paraId="34C24423" w14:textId="77777777" w:rsidR="00733B45" w:rsidRPr="00FE4345" w:rsidRDefault="00733B45" w:rsidP="00CA4572">
            <w:pPr>
              <w:jc w:val="center"/>
              <w:rPr>
                <w:rFonts w:eastAsia="Calibri" w:cs="Times New Roman"/>
                <w:sz w:val="20"/>
                <w:szCs w:val="20"/>
              </w:rPr>
            </w:pPr>
            <w:r w:rsidRPr="00FE4345">
              <w:rPr>
                <w:rFonts w:eastAsia="Calibri" w:cs="Times New Roman"/>
                <w:sz w:val="20"/>
                <w:szCs w:val="20"/>
              </w:rPr>
              <w:t>3</w:t>
            </w:r>
          </w:p>
        </w:tc>
        <w:tc>
          <w:tcPr>
            <w:tcW w:w="625" w:type="pct"/>
          </w:tcPr>
          <w:p w14:paraId="1BBCCDAE" w14:textId="77777777" w:rsidR="00733B45" w:rsidRPr="00FE4345" w:rsidRDefault="00733B45" w:rsidP="00CA4572">
            <w:pPr>
              <w:jc w:val="center"/>
              <w:rPr>
                <w:rFonts w:eastAsia="Calibri" w:cs="Times New Roman"/>
                <w:sz w:val="20"/>
                <w:szCs w:val="20"/>
              </w:rPr>
            </w:pPr>
            <w:r w:rsidRPr="00FE4345">
              <w:rPr>
                <w:rFonts w:eastAsia="Calibri" w:cs="Times New Roman"/>
                <w:sz w:val="20"/>
                <w:szCs w:val="20"/>
              </w:rPr>
              <w:t>4</w:t>
            </w:r>
          </w:p>
        </w:tc>
        <w:tc>
          <w:tcPr>
            <w:tcW w:w="523" w:type="pct"/>
          </w:tcPr>
          <w:p w14:paraId="352B5352" w14:textId="6AB83C69" w:rsidR="00733B45" w:rsidRPr="00FE4345" w:rsidRDefault="00733B45" w:rsidP="00CA4572">
            <w:pPr>
              <w:jc w:val="center"/>
              <w:rPr>
                <w:rFonts w:eastAsia="Calibri" w:cs="Times New Roman"/>
                <w:sz w:val="20"/>
                <w:szCs w:val="20"/>
              </w:rPr>
            </w:pPr>
            <w:r w:rsidRPr="00FE4345">
              <w:rPr>
                <w:rFonts w:eastAsia="Calibri" w:cs="Times New Roman"/>
                <w:sz w:val="20"/>
                <w:szCs w:val="20"/>
              </w:rPr>
              <w:t>5</w:t>
            </w:r>
            <w:r w:rsidR="00D85EF9">
              <w:rPr>
                <w:rFonts w:eastAsia="Calibri" w:cs="Times New Roman"/>
                <w:sz w:val="20"/>
                <w:szCs w:val="20"/>
              </w:rPr>
              <w:t xml:space="preserve"> </w:t>
            </w:r>
            <w:r w:rsidRPr="00FE4345">
              <w:rPr>
                <w:rFonts w:eastAsia="Calibri" w:cs="Times New Roman"/>
                <w:sz w:val="20"/>
                <w:szCs w:val="20"/>
              </w:rPr>
              <w:t>=</w:t>
            </w:r>
            <w:r w:rsidR="00D85EF9">
              <w:rPr>
                <w:rFonts w:eastAsia="Calibri" w:cs="Times New Roman"/>
                <w:sz w:val="20"/>
                <w:szCs w:val="20"/>
              </w:rPr>
              <w:t xml:space="preserve"> </w:t>
            </w:r>
            <w:r w:rsidRPr="00FE4345">
              <w:rPr>
                <w:rFonts w:eastAsia="Calibri" w:cs="Times New Roman"/>
                <w:sz w:val="20"/>
                <w:szCs w:val="20"/>
              </w:rPr>
              <w:t>4</w:t>
            </w:r>
            <w:r w:rsidR="00D85EF9">
              <w:rPr>
                <w:rFonts w:eastAsia="Calibri" w:cs="Times New Roman"/>
                <w:sz w:val="20"/>
                <w:szCs w:val="20"/>
              </w:rPr>
              <w:t xml:space="preserve"> </w:t>
            </w:r>
            <w:r w:rsidRPr="00FE4345">
              <w:rPr>
                <w:rFonts w:eastAsia="Calibri" w:cs="Times New Roman"/>
                <w:sz w:val="20"/>
                <w:szCs w:val="20"/>
              </w:rPr>
              <w:t>-</w:t>
            </w:r>
            <w:r w:rsidR="00D85EF9">
              <w:rPr>
                <w:rFonts w:eastAsia="Calibri" w:cs="Times New Roman"/>
                <w:sz w:val="20"/>
                <w:szCs w:val="20"/>
              </w:rPr>
              <w:t xml:space="preserve"> </w:t>
            </w:r>
            <w:r w:rsidRPr="00FE4345">
              <w:rPr>
                <w:rFonts w:eastAsia="Calibri" w:cs="Times New Roman"/>
                <w:sz w:val="20"/>
                <w:szCs w:val="20"/>
              </w:rPr>
              <w:t>3</w:t>
            </w:r>
          </w:p>
        </w:tc>
        <w:tc>
          <w:tcPr>
            <w:tcW w:w="535" w:type="pct"/>
          </w:tcPr>
          <w:p w14:paraId="5A2832BA" w14:textId="4BFEADAE" w:rsidR="00733B45" w:rsidRPr="00FE4345" w:rsidRDefault="00733B45" w:rsidP="00CA4572">
            <w:pPr>
              <w:jc w:val="center"/>
              <w:rPr>
                <w:rFonts w:eastAsia="Calibri" w:cs="Times New Roman"/>
                <w:sz w:val="20"/>
                <w:szCs w:val="20"/>
              </w:rPr>
            </w:pPr>
            <w:r w:rsidRPr="00FE4345">
              <w:rPr>
                <w:rFonts w:eastAsia="Calibri" w:cs="Times New Roman"/>
                <w:sz w:val="20"/>
                <w:szCs w:val="20"/>
              </w:rPr>
              <w:t>6=4/1*100</w:t>
            </w:r>
          </w:p>
        </w:tc>
      </w:tr>
      <w:tr w:rsidR="00733B45" w:rsidRPr="00FE4345" w14:paraId="7B2DE1D5" w14:textId="77777777" w:rsidTr="00B65251">
        <w:trPr>
          <w:trHeight w:val="170"/>
        </w:trPr>
        <w:tc>
          <w:tcPr>
            <w:tcW w:w="1495" w:type="pct"/>
            <w:shd w:val="clear" w:color="auto" w:fill="auto"/>
            <w:vAlign w:val="center"/>
          </w:tcPr>
          <w:p w14:paraId="47F10F2A" w14:textId="77777777" w:rsidR="00733B45" w:rsidRPr="00FE4345" w:rsidRDefault="00733B45" w:rsidP="00CA4572">
            <w:pPr>
              <w:rPr>
                <w:rFonts w:eastAsia="Calibri" w:cs="Times New Roman"/>
                <w:b/>
                <w:bCs/>
                <w:sz w:val="20"/>
                <w:szCs w:val="20"/>
              </w:rPr>
            </w:pPr>
            <w:r w:rsidRPr="00FE4345">
              <w:rPr>
                <w:rFonts w:eastAsia="Calibri" w:cs="Times New Roman"/>
                <w:b/>
                <w:bCs/>
                <w:sz w:val="20"/>
                <w:szCs w:val="20"/>
              </w:rPr>
              <w:t>Bežné výdavky</w:t>
            </w:r>
          </w:p>
        </w:tc>
        <w:tc>
          <w:tcPr>
            <w:tcW w:w="625" w:type="pct"/>
            <w:shd w:val="clear" w:color="auto" w:fill="auto"/>
            <w:vAlign w:val="center"/>
          </w:tcPr>
          <w:p w14:paraId="05DF8811" w14:textId="77777777" w:rsidR="00733B45" w:rsidRPr="00733B45" w:rsidRDefault="00733B45" w:rsidP="00D85EF9">
            <w:pPr>
              <w:jc w:val="right"/>
              <w:rPr>
                <w:rFonts w:eastAsia="Times New Roman" w:cs="Arial CE"/>
                <w:b/>
                <w:bCs/>
                <w:sz w:val="20"/>
                <w:szCs w:val="20"/>
                <w:lang w:eastAsia="sk-SK"/>
              </w:rPr>
            </w:pPr>
            <w:r w:rsidRPr="00733B45">
              <w:rPr>
                <w:rFonts w:eastAsia="Times New Roman" w:cs="Arial CE"/>
                <w:b/>
                <w:bCs/>
                <w:sz w:val="20"/>
                <w:szCs w:val="20"/>
                <w:lang w:eastAsia="sk-SK"/>
              </w:rPr>
              <w:t>14 160 931</w:t>
            </w:r>
          </w:p>
        </w:tc>
        <w:tc>
          <w:tcPr>
            <w:tcW w:w="598" w:type="pct"/>
            <w:shd w:val="clear" w:color="auto" w:fill="auto"/>
            <w:vAlign w:val="center"/>
          </w:tcPr>
          <w:p w14:paraId="6B73A46D" w14:textId="77777777" w:rsidR="00733B45" w:rsidRPr="00733B45" w:rsidRDefault="00733B45" w:rsidP="00D85EF9">
            <w:pPr>
              <w:jc w:val="right"/>
              <w:rPr>
                <w:rFonts w:eastAsia="Times New Roman" w:cs="Arial CE"/>
                <w:b/>
                <w:bCs/>
                <w:sz w:val="20"/>
                <w:szCs w:val="20"/>
                <w:lang w:eastAsia="sk-SK"/>
              </w:rPr>
            </w:pPr>
            <w:r w:rsidRPr="00733B45">
              <w:rPr>
                <w:rFonts w:eastAsia="Times New Roman" w:cs="Arial CE"/>
                <w:b/>
                <w:bCs/>
                <w:sz w:val="20"/>
                <w:szCs w:val="20"/>
                <w:lang w:eastAsia="sk-SK"/>
              </w:rPr>
              <w:t>15 250 323</w:t>
            </w:r>
          </w:p>
        </w:tc>
        <w:tc>
          <w:tcPr>
            <w:tcW w:w="599" w:type="pct"/>
            <w:shd w:val="clear" w:color="auto" w:fill="auto"/>
            <w:vAlign w:val="center"/>
          </w:tcPr>
          <w:p w14:paraId="4E77E8E6" w14:textId="77777777" w:rsidR="00733B45" w:rsidRPr="00733B45" w:rsidRDefault="00733B45" w:rsidP="00D85EF9">
            <w:pPr>
              <w:jc w:val="right"/>
              <w:rPr>
                <w:rFonts w:eastAsia="Times New Roman" w:cs="Arial CE"/>
                <w:b/>
                <w:bCs/>
                <w:sz w:val="20"/>
                <w:szCs w:val="20"/>
                <w:lang w:eastAsia="sk-SK"/>
              </w:rPr>
            </w:pPr>
            <w:r w:rsidRPr="00733B45">
              <w:rPr>
                <w:rFonts w:eastAsia="Times New Roman" w:cs="Arial CE"/>
                <w:b/>
                <w:bCs/>
                <w:sz w:val="20"/>
                <w:szCs w:val="20"/>
                <w:lang w:eastAsia="sk-SK"/>
              </w:rPr>
              <w:t>15 394 342</w:t>
            </w:r>
          </w:p>
        </w:tc>
        <w:tc>
          <w:tcPr>
            <w:tcW w:w="625" w:type="pct"/>
            <w:shd w:val="clear" w:color="auto" w:fill="auto"/>
            <w:vAlign w:val="center"/>
          </w:tcPr>
          <w:p w14:paraId="692EB0C5" w14:textId="77777777" w:rsidR="00733B45" w:rsidRPr="00733B45" w:rsidRDefault="00733B45" w:rsidP="00D85EF9">
            <w:pPr>
              <w:jc w:val="right"/>
              <w:rPr>
                <w:rFonts w:eastAsia="Times New Roman" w:cs="Arial CE"/>
                <w:b/>
                <w:bCs/>
                <w:sz w:val="20"/>
                <w:szCs w:val="20"/>
                <w:lang w:eastAsia="sk-SK"/>
              </w:rPr>
            </w:pPr>
            <w:r w:rsidRPr="00733B45">
              <w:rPr>
                <w:rFonts w:eastAsia="Times New Roman" w:cs="Arial CE"/>
                <w:b/>
                <w:bCs/>
                <w:sz w:val="20"/>
                <w:szCs w:val="20"/>
                <w:lang w:eastAsia="sk-SK"/>
              </w:rPr>
              <w:t>15 168 067</w:t>
            </w:r>
          </w:p>
        </w:tc>
        <w:tc>
          <w:tcPr>
            <w:tcW w:w="523" w:type="pct"/>
            <w:shd w:val="clear" w:color="auto" w:fill="auto"/>
            <w:vAlign w:val="center"/>
          </w:tcPr>
          <w:p w14:paraId="3F406104" w14:textId="77777777" w:rsidR="00733B45" w:rsidRPr="00733B45" w:rsidRDefault="00733B45" w:rsidP="00D85EF9">
            <w:pPr>
              <w:jc w:val="right"/>
              <w:rPr>
                <w:rFonts w:eastAsia="Times New Roman" w:cs="Arial CE"/>
                <w:b/>
                <w:bCs/>
                <w:sz w:val="20"/>
                <w:szCs w:val="20"/>
                <w:lang w:eastAsia="sk-SK"/>
              </w:rPr>
            </w:pPr>
            <w:r w:rsidRPr="00733B45">
              <w:rPr>
                <w:rFonts w:eastAsia="Times New Roman" w:cs="Arial CE"/>
                <w:b/>
                <w:bCs/>
                <w:sz w:val="20"/>
                <w:szCs w:val="20"/>
                <w:lang w:eastAsia="sk-SK"/>
              </w:rPr>
              <w:t>-226 275</w:t>
            </w:r>
          </w:p>
        </w:tc>
        <w:tc>
          <w:tcPr>
            <w:tcW w:w="535" w:type="pct"/>
            <w:shd w:val="clear" w:color="auto" w:fill="auto"/>
            <w:vAlign w:val="center"/>
          </w:tcPr>
          <w:p w14:paraId="23D69C10" w14:textId="77777777" w:rsidR="00733B45" w:rsidRPr="00733B45" w:rsidRDefault="00733B45" w:rsidP="00D85EF9">
            <w:pPr>
              <w:jc w:val="center"/>
              <w:rPr>
                <w:rFonts w:eastAsia="Times New Roman" w:cs="Arial"/>
                <w:b/>
                <w:bCs/>
                <w:sz w:val="20"/>
                <w:szCs w:val="20"/>
                <w:lang w:eastAsia="sk-SK"/>
              </w:rPr>
            </w:pPr>
            <w:r w:rsidRPr="00733B45">
              <w:rPr>
                <w:rFonts w:eastAsia="Times New Roman" w:cs="Arial"/>
                <w:b/>
                <w:bCs/>
                <w:sz w:val="20"/>
                <w:szCs w:val="20"/>
                <w:lang w:eastAsia="sk-SK"/>
              </w:rPr>
              <w:t>107,1</w:t>
            </w:r>
          </w:p>
        </w:tc>
      </w:tr>
      <w:tr w:rsidR="00733B45" w:rsidRPr="00FE4345" w14:paraId="51A7594B" w14:textId="77777777" w:rsidTr="00B65251">
        <w:trPr>
          <w:trHeight w:val="170"/>
        </w:trPr>
        <w:tc>
          <w:tcPr>
            <w:tcW w:w="1495" w:type="pct"/>
            <w:shd w:val="clear" w:color="auto" w:fill="auto"/>
            <w:vAlign w:val="center"/>
          </w:tcPr>
          <w:p w14:paraId="2A3DA848" w14:textId="77777777" w:rsidR="00733B45" w:rsidRPr="00FE4345" w:rsidRDefault="00733B45" w:rsidP="00CA4572">
            <w:pPr>
              <w:rPr>
                <w:rFonts w:eastAsia="Calibri" w:cs="Times New Roman"/>
                <w:sz w:val="20"/>
                <w:szCs w:val="20"/>
              </w:rPr>
            </w:pPr>
            <w:r w:rsidRPr="00FE4345">
              <w:rPr>
                <w:rFonts w:eastAsia="Calibri" w:cs="Times New Roman"/>
                <w:bCs/>
                <w:sz w:val="20"/>
                <w:szCs w:val="20"/>
              </w:rPr>
              <w:t>Mzdy, platy, služobné príjmy a ostatné osobné výdavky</w:t>
            </w:r>
          </w:p>
        </w:tc>
        <w:tc>
          <w:tcPr>
            <w:tcW w:w="625" w:type="pct"/>
            <w:shd w:val="clear" w:color="auto" w:fill="auto"/>
            <w:vAlign w:val="center"/>
          </w:tcPr>
          <w:p w14:paraId="1A6DAE65"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2 026 060</w:t>
            </w:r>
          </w:p>
        </w:tc>
        <w:tc>
          <w:tcPr>
            <w:tcW w:w="598" w:type="pct"/>
            <w:shd w:val="clear" w:color="auto" w:fill="auto"/>
            <w:vAlign w:val="center"/>
          </w:tcPr>
          <w:p w14:paraId="7CC8232B"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2 221 695</w:t>
            </w:r>
          </w:p>
        </w:tc>
        <w:tc>
          <w:tcPr>
            <w:tcW w:w="599" w:type="pct"/>
            <w:shd w:val="clear" w:color="auto" w:fill="auto"/>
            <w:vAlign w:val="center"/>
          </w:tcPr>
          <w:p w14:paraId="24FA1798"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2 324 951</w:t>
            </w:r>
          </w:p>
        </w:tc>
        <w:tc>
          <w:tcPr>
            <w:tcW w:w="625" w:type="pct"/>
            <w:shd w:val="clear" w:color="auto" w:fill="auto"/>
            <w:vAlign w:val="center"/>
          </w:tcPr>
          <w:p w14:paraId="2967D625"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2 322 962</w:t>
            </w:r>
          </w:p>
        </w:tc>
        <w:tc>
          <w:tcPr>
            <w:tcW w:w="523" w:type="pct"/>
            <w:shd w:val="clear" w:color="auto" w:fill="auto"/>
            <w:vAlign w:val="center"/>
          </w:tcPr>
          <w:p w14:paraId="0F8F1E90"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-1 989</w:t>
            </w:r>
          </w:p>
        </w:tc>
        <w:tc>
          <w:tcPr>
            <w:tcW w:w="535" w:type="pct"/>
            <w:shd w:val="clear" w:color="auto" w:fill="auto"/>
            <w:vAlign w:val="center"/>
          </w:tcPr>
          <w:p w14:paraId="00943AFB" w14:textId="77777777" w:rsidR="00733B45" w:rsidRPr="00733B45" w:rsidRDefault="00733B45" w:rsidP="00D85EF9">
            <w:pPr>
              <w:jc w:val="center"/>
              <w:rPr>
                <w:rFonts w:eastAsia="Times New Roman" w:cs="Arial"/>
                <w:sz w:val="20"/>
                <w:szCs w:val="20"/>
                <w:lang w:eastAsia="sk-SK"/>
              </w:rPr>
            </w:pPr>
            <w:r w:rsidRPr="00733B45">
              <w:rPr>
                <w:rFonts w:eastAsia="Times New Roman" w:cs="Arial"/>
                <w:sz w:val="20"/>
                <w:szCs w:val="20"/>
                <w:lang w:eastAsia="sk-SK"/>
              </w:rPr>
              <w:t>114,7</w:t>
            </w:r>
          </w:p>
        </w:tc>
      </w:tr>
      <w:tr w:rsidR="00733B45" w:rsidRPr="00FE4345" w14:paraId="715CEB8E" w14:textId="77777777" w:rsidTr="00B65251">
        <w:trPr>
          <w:trHeight w:val="170"/>
        </w:trPr>
        <w:tc>
          <w:tcPr>
            <w:tcW w:w="1495" w:type="pct"/>
            <w:shd w:val="clear" w:color="auto" w:fill="auto"/>
            <w:vAlign w:val="center"/>
          </w:tcPr>
          <w:p w14:paraId="1C196F3C" w14:textId="77777777" w:rsidR="00733B45" w:rsidRPr="00FE4345" w:rsidRDefault="00733B45" w:rsidP="00CA4572">
            <w:pPr>
              <w:rPr>
                <w:rFonts w:eastAsia="Calibri" w:cs="Times New Roman"/>
                <w:sz w:val="20"/>
                <w:szCs w:val="20"/>
              </w:rPr>
            </w:pPr>
            <w:r w:rsidRPr="00FE4345">
              <w:rPr>
                <w:rFonts w:eastAsia="Calibri" w:cs="Times New Roman"/>
                <w:bCs/>
                <w:sz w:val="20"/>
                <w:szCs w:val="20"/>
              </w:rPr>
              <w:t>Poistné a príspevok do poisťovní</w:t>
            </w:r>
          </w:p>
        </w:tc>
        <w:tc>
          <w:tcPr>
            <w:tcW w:w="625" w:type="pct"/>
            <w:shd w:val="clear" w:color="auto" w:fill="auto"/>
            <w:vAlign w:val="center"/>
          </w:tcPr>
          <w:p w14:paraId="16CD1FB3"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728 295</w:t>
            </w:r>
          </w:p>
        </w:tc>
        <w:tc>
          <w:tcPr>
            <w:tcW w:w="598" w:type="pct"/>
            <w:shd w:val="clear" w:color="auto" w:fill="auto"/>
            <w:vAlign w:val="center"/>
          </w:tcPr>
          <w:p w14:paraId="5645D3C4"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782 874</w:t>
            </w:r>
          </w:p>
        </w:tc>
        <w:tc>
          <w:tcPr>
            <w:tcW w:w="599" w:type="pct"/>
            <w:shd w:val="clear" w:color="auto" w:fill="auto"/>
            <w:vAlign w:val="center"/>
          </w:tcPr>
          <w:p w14:paraId="4FD9F9D1"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833 632</w:t>
            </w:r>
          </w:p>
        </w:tc>
        <w:tc>
          <w:tcPr>
            <w:tcW w:w="625" w:type="pct"/>
            <w:shd w:val="clear" w:color="auto" w:fill="auto"/>
            <w:vAlign w:val="center"/>
          </w:tcPr>
          <w:p w14:paraId="7851AB2D"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832 815</w:t>
            </w:r>
          </w:p>
        </w:tc>
        <w:tc>
          <w:tcPr>
            <w:tcW w:w="523" w:type="pct"/>
            <w:shd w:val="clear" w:color="auto" w:fill="auto"/>
            <w:vAlign w:val="center"/>
          </w:tcPr>
          <w:p w14:paraId="7020DEE5"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-817</w:t>
            </w:r>
          </w:p>
        </w:tc>
        <w:tc>
          <w:tcPr>
            <w:tcW w:w="535" w:type="pct"/>
            <w:shd w:val="clear" w:color="auto" w:fill="auto"/>
            <w:vAlign w:val="center"/>
          </w:tcPr>
          <w:p w14:paraId="3813F9A4" w14:textId="77777777" w:rsidR="00733B45" w:rsidRPr="00733B45" w:rsidRDefault="00733B45" w:rsidP="00D85EF9">
            <w:pPr>
              <w:jc w:val="center"/>
              <w:rPr>
                <w:rFonts w:eastAsia="Times New Roman" w:cs="Arial"/>
                <w:sz w:val="20"/>
                <w:szCs w:val="20"/>
                <w:lang w:eastAsia="sk-SK"/>
              </w:rPr>
            </w:pPr>
            <w:r w:rsidRPr="00733B45">
              <w:rPr>
                <w:rFonts w:eastAsia="Times New Roman" w:cs="Arial"/>
                <w:sz w:val="20"/>
                <w:szCs w:val="20"/>
                <w:lang w:eastAsia="sk-SK"/>
              </w:rPr>
              <w:t>114,4</w:t>
            </w:r>
          </w:p>
        </w:tc>
      </w:tr>
      <w:tr w:rsidR="00733B45" w:rsidRPr="00FE4345" w14:paraId="6E39A3CA" w14:textId="77777777" w:rsidTr="00B65251">
        <w:trPr>
          <w:trHeight w:val="170"/>
        </w:trPr>
        <w:tc>
          <w:tcPr>
            <w:tcW w:w="1495" w:type="pct"/>
            <w:shd w:val="clear" w:color="auto" w:fill="auto"/>
            <w:vAlign w:val="center"/>
          </w:tcPr>
          <w:p w14:paraId="14C5A4C5" w14:textId="77777777" w:rsidR="00733B45" w:rsidRPr="00FE4345" w:rsidRDefault="00733B45" w:rsidP="00CA4572">
            <w:pPr>
              <w:rPr>
                <w:rFonts w:eastAsia="Calibri" w:cs="Times New Roman"/>
                <w:sz w:val="20"/>
                <w:szCs w:val="20"/>
              </w:rPr>
            </w:pPr>
            <w:r w:rsidRPr="00FE4345">
              <w:rPr>
                <w:rFonts w:eastAsia="Calibri" w:cs="Times New Roman"/>
                <w:bCs/>
                <w:sz w:val="20"/>
                <w:szCs w:val="20"/>
              </w:rPr>
              <w:t>Tovary a služby</w:t>
            </w:r>
          </w:p>
        </w:tc>
        <w:tc>
          <w:tcPr>
            <w:tcW w:w="625" w:type="pct"/>
            <w:shd w:val="clear" w:color="auto" w:fill="auto"/>
            <w:vAlign w:val="center"/>
          </w:tcPr>
          <w:p w14:paraId="7D4EC88B"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1 634 657</w:t>
            </w:r>
          </w:p>
        </w:tc>
        <w:tc>
          <w:tcPr>
            <w:tcW w:w="598" w:type="pct"/>
            <w:shd w:val="clear" w:color="auto" w:fill="auto"/>
            <w:vAlign w:val="center"/>
          </w:tcPr>
          <w:p w14:paraId="5270786D"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2 428 253</w:t>
            </w:r>
          </w:p>
        </w:tc>
        <w:tc>
          <w:tcPr>
            <w:tcW w:w="599" w:type="pct"/>
            <w:shd w:val="clear" w:color="auto" w:fill="auto"/>
            <w:vAlign w:val="center"/>
          </w:tcPr>
          <w:p w14:paraId="3FC8D839"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1 806 024</w:t>
            </w:r>
          </w:p>
        </w:tc>
        <w:tc>
          <w:tcPr>
            <w:tcW w:w="625" w:type="pct"/>
            <w:shd w:val="clear" w:color="auto" w:fill="auto"/>
            <w:vAlign w:val="center"/>
          </w:tcPr>
          <w:p w14:paraId="171BC865"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1 727 984</w:t>
            </w:r>
          </w:p>
        </w:tc>
        <w:tc>
          <w:tcPr>
            <w:tcW w:w="523" w:type="pct"/>
            <w:shd w:val="clear" w:color="auto" w:fill="auto"/>
            <w:vAlign w:val="center"/>
          </w:tcPr>
          <w:p w14:paraId="1FE37B52"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-78 040</w:t>
            </w:r>
          </w:p>
        </w:tc>
        <w:tc>
          <w:tcPr>
            <w:tcW w:w="535" w:type="pct"/>
            <w:shd w:val="clear" w:color="auto" w:fill="auto"/>
            <w:vAlign w:val="center"/>
          </w:tcPr>
          <w:p w14:paraId="74FECE34" w14:textId="77777777" w:rsidR="00733B45" w:rsidRPr="00733B45" w:rsidRDefault="00733B45" w:rsidP="00D85EF9">
            <w:pPr>
              <w:jc w:val="center"/>
              <w:rPr>
                <w:rFonts w:eastAsia="Times New Roman" w:cs="Arial"/>
                <w:sz w:val="20"/>
                <w:szCs w:val="20"/>
                <w:lang w:eastAsia="sk-SK"/>
              </w:rPr>
            </w:pPr>
            <w:r w:rsidRPr="00733B45">
              <w:rPr>
                <w:rFonts w:eastAsia="Times New Roman" w:cs="Arial"/>
                <w:sz w:val="20"/>
                <w:szCs w:val="20"/>
                <w:lang w:eastAsia="sk-SK"/>
              </w:rPr>
              <w:t>105,7</w:t>
            </w:r>
          </w:p>
        </w:tc>
      </w:tr>
      <w:tr w:rsidR="00733B45" w:rsidRPr="00FE4345" w14:paraId="7CC21250" w14:textId="77777777" w:rsidTr="00B65251">
        <w:trPr>
          <w:trHeight w:val="170"/>
        </w:trPr>
        <w:tc>
          <w:tcPr>
            <w:tcW w:w="1495" w:type="pct"/>
            <w:shd w:val="clear" w:color="auto" w:fill="auto"/>
            <w:vAlign w:val="center"/>
          </w:tcPr>
          <w:p w14:paraId="344D62D0" w14:textId="77777777" w:rsidR="00733B45" w:rsidRPr="00FE4345" w:rsidRDefault="00733B45" w:rsidP="00CA4572">
            <w:pPr>
              <w:rPr>
                <w:rFonts w:eastAsia="Calibri" w:cs="Times New Roman"/>
                <w:sz w:val="20"/>
                <w:szCs w:val="20"/>
              </w:rPr>
            </w:pPr>
            <w:r w:rsidRPr="00FE4345">
              <w:rPr>
                <w:rFonts w:eastAsia="Calibri" w:cs="Times New Roman"/>
                <w:bCs/>
                <w:sz w:val="20"/>
                <w:szCs w:val="20"/>
              </w:rPr>
              <w:t>Bežné transfery</w:t>
            </w:r>
          </w:p>
        </w:tc>
        <w:tc>
          <w:tcPr>
            <w:tcW w:w="625" w:type="pct"/>
            <w:shd w:val="clear" w:color="auto" w:fill="auto"/>
            <w:vAlign w:val="center"/>
          </w:tcPr>
          <w:p w14:paraId="17D484BB"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9 771 649</w:t>
            </w:r>
          </w:p>
        </w:tc>
        <w:tc>
          <w:tcPr>
            <w:tcW w:w="598" w:type="pct"/>
            <w:shd w:val="clear" w:color="auto" w:fill="auto"/>
            <w:vAlign w:val="center"/>
          </w:tcPr>
          <w:p w14:paraId="4EF4B221"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9 817 231</w:t>
            </w:r>
          </w:p>
        </w:tc>
        <w:tc>
          <w:tcPr>
            <w:tcW w:w="599" w:type="pct"/>
            <w:shd w:val="clear" w:color="auto" w:fill="auto"/>
            <w:vAlign w:val="center"/>
          </w:tcPr>
          <w:p w14:paraId="1C627EAC"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10 429 465</w:t>
            </w:r>
          </w:p>
        </w:tc>
        <w:tc>
          <w:tcPr>
            <w:tcW w:w="625" w:type="pct"/>
            <w:shd w:val="clear" w:color="auto" w:fill="auto"/>
            <w:vAlign w:val="center"/>
          </w:tcPr>
          <w:p w14:paraId="09A2486E"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10 284 036</w:t>
            </w:r>
          </w:p>
        </w:tc>
        <w:tc>
          <w:tcPr>
            <w:tcW w:w="523" w:type="pct"/>
            <w:shd w:val="clear" w:color="auto" w:fill="auto"/>
            <w:vAlign w:val="center"/>
          </w:tcPr>
          <w:p w14:paraId="31C1636D"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-145 429</w:t>
            </w:r>
          </w:p>
        </w:tc>
        <w:tc>
          <w:tcPr>
            <w:tcW w:w="535" w:type="pct"/>
            <w:shd w:val="clear" w:color="auto" w:fill="auto"/>
            <w:vAlign w:val="center"/>
          </w:tcPr>
          <w:p w14:paraId="631020AA" w14:textId="77777777" w:rsidR="00733B45" w:rsidRPr="00733B45" w:rsidRDefault="00733B45" w:rsidP="00D85EF9">
            <w:pPr>
              <w:jc w:val="center"/>
              <w:rPr>
                <w:rFonts w:eastAsia="Times New Roman" w:cs="Arial"/>
                <w:sz w:val="20"/>
                <w:szCs w:val="20"/>
                <w:lang w:eastAsia="sk-SK"/>
              </w:rPr>
            </w:pPr>
            <w:r w:rsidRPr="00733B45">
              <w:rPr>
                <w:rFonts w:eastAsia="Times New Roman" w:cs="Arial"/>
                <w:sz w:val="20"/>
                <w:szCs w:val="20"/>
                <w:lang w:eastAsia="sk-SK"/>
              </w:rPr>
              <w:t>105,2</w:t>
            </w:r>
          </w:p>
        </w:tc>
      </w:tr>
      <w:tr w:rsidR="00733B45" w:rsidRPr="00FE4345" w14:paraId="458718C2" w14:textId="77777777" w:rsidTr="00B65251">
        <w:trPr>
          <w:trHeight w:val="170"/>
        </w:trPr>
        <w:tc>
          <w:tcPr>
            <w:tcW w:w="1495" w:type="pct"/>
            <w:shd w:val="clear" w:color="auto" w:fill="auto"/>
            <w:vAlign w:val="center"/>
          </w:tcPr>
          <w:p w14:paraId="3C45913B" w14:textId="77777777" w:rsidR="00733B45" w:rsidRPr="00FE4345" w:rsidRDefault="00733B45" w:rsidP="00CA4572">
            <w:pPr>
              <w:rPr>
                <w:rFonts w:eastAsia="Calibri" w:cs="Times New Roman"/>
                <w:sz w:val="20"/>
                <w:szCs w:val="20"/>
              </w:rPr>
            </w:pPr>
            <w:r w:rsidRPr="00FE4345">
              <w:rPr>
                <w:rFonts w:eastAsia="Calibri" w:cs="Times New Roman"/>
                <w:bCs/>
                <w:sz w:val="20"/>
                <w:szCs w:val="20"/>
              </w:rPr>
              <w:t>Splácanie úrokov a ostatné platby súvisiace s úvermi</w:t>
            </w:r>
          </w:p>
        </w:tc>
        <w:tc>
          <w:tcPr>
            <w:tcW w:w="625" w:type="pct"/>
            <w:shd w:val="clear" w:color="auto" w:fill="auto"/>
            <w:vAlign w:val="center"/>
          </w:tcPr>
          <w:p w14:paraId="53E15C2C"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270</w:t>
            </w:r>
          </w:p>
        </w:tc>
        <w:tc>
          <w:tcPr>
            <w:tcW w:w="598" w:type="pct"/>
            <w:shd w:val="clear" w:color="auto" w:fill="auto"/>
            <w:vAlign w:val="center"/>
          </w:tcPr>
          <w:p w14:paraId="0799F8BA"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270</w:t>
            </w:r>
          </w:p>
        </w:tc>
        <w:tc>
          <w:tcPr>
            <w:tcW w:w="599" w:type="pct"/>
            <w:shd w:val="clear" w:color="auto" w:fill="auto"/>
            <w:vAlign w:val="center"/>
          </w:tcPr>
          <w:p w14:paraId="38E7AAE6"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270</w:t>
            </w:r>
          </w:p>
        </w:tc>
        <w:tc>
          <w:tcPr>
            <w:tcW w:w="625" w:type="pct"/>
            <w:shd w:val="clear" w:color="auto" w:fill="auto"/>
            <w:vAlign w:val="center"/>
          </w:tcPr>
          <w:p w14:paraId="2A93FD4B"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270</w:t>
            </w:r>
          </w:p>
        </w:tc>
        <w:tc>
          <w:tcPr>
            <w:tcW w:w="523" w:type="pct"/>
            <w:shd w:val="clear" w:color="auto" w:fill="auto"/>
            <w:vAlign w:val="center"/>
          </w:tcPr>
          <w:p w14:paraId="0A68E185" w14:textId="77777777" w:rsidR="00733B45" w:rsidRPr="00733B45" w:rsidRDefault="00733B45" w:rsidP="00D85EF9">
            <w:pPr>
              <w:jc w:val="right"/>
              <w:rPr>
                <w:rFonts w:eastAsia="Times New Roman" w:cs="Arial CE"/>
                <w:b/>
                <w:bCs/>
                <w:sz w:val="20"/>
                <w:szCs w:val="20"/>
                <w:lang w:eastAsia="sk-SK"/>
              </w:rPr>
            </w:pPr>
            <w:r w:rsidRPr="00733B45">
              <w:rPr>
                <w:rFonts w:eastAsia="Times New Roman" w:cs="Arial CE"/>
                <w:b/>
                <w:bCs/>
                <w:sz w:val="20"/>
                <w:szCs w:val="20"/>
                <w:lang w:eastAsia="sk-SK"/>
              </w:rPr>
              <w:t>0</w:t>
            </w:r>
          </w:p>
        </w:tc>
        <w:tc>
          <w:tcPr>
            <w:tcW w:w="535" w:type="pct"/>
            <w:shd w:val="clear" w:color="auto" w:fill="auto"/>
            <w:vAlign w:val="center"/>
          </w:tcPr>
          <w:p w14:paraId="74A0526D" w14:textId="77777777" w:rsidR="00733B45" w:rsidRPr="00733B45" w:rsidRDefault="00733B45" w:rsidP="00D85EF9">
            <w:pPr>
              <w:jc w:val="center"/>
              <w:rPr>
                <w:rFonts w:eastAsia="Times New Roman" w:cs="Arial"/>
                <w:sz w:val="20"/>
                <w:szCs w:val="20"/>
                <w:lang w:eastAsia="sk-SK"/>
              </w:rPr>
            </w:pPr>
            <w:r w:rsidRPr="00733B45">
              <w:rPr>
                <w:rFonts w:eastAsia="Times New Roman" w:cs="Arial"/>
                <w:sz w:val="20"/>
                <w:szCs w:val="20"/>
                <w:lang w:eastAsia="sk-SK"/>
              </w:rPr>
              <w:t>100,0</w:t>
            </w:r>
          </w:p>
        </w:tc>
      </w:tr>
      <w:tr w:rsidR="00733B45" w:rsidRPr="00FE4345" w14:paraId="4840B36D" w14:textId="77777777" w:rsidTr="00B65251">
        <w:trPr>
          <w:trHeight w:val="170"/>
        </w:trPr>
        <w:tc>
          <w:tcPr>
            <w:tcW w:w="1495" w:type="pct"/>
            <w:shd w:val="clear" w:color="auto" w:fill="auto"/>
            <w:vAlign w:val="center"/>
          </w:tcPr>
          <w:p w14:paraId="6ACD9960" w14:textId="77777777" w:rsidR="00733B45" w:rsidRPr="00FE4345" w:rsidRDefault="00733B45" w:rsidP="00CA4572">
            <w:pPr>
              <w:rPr>
                <w:rFonts w:eastAsia="Calibri" w:cs="Times New Roman"/>
                <w:b/>
                <w:bCs/>
                <w:sz w:val="20"/>
                <w:szCs w:val="20"/>
              </w:rPr>
            </w:pPr>
            <w:r w:rsidRPr="00FE4345">
              <w:rPr>
                <w:rFonts w:eastAsia="Calibri" w:cs="Times New Roman"/>
                <w:b/>
                <w:bCs/>
                <w:sz w:val="20"/>
                <w:szCs w:val="20"/>
              </w:rPr>
              <w:t>Kapitálové výdavky</w:t>
            </w:r>
          </w:p>
        </w:tc>
        <w:tc>
          <w:tcPr>
            <w:tcW w:w="625" w:type="pct"/>
            <w:shd w:val="clear" w:color="auto" w:fill="auto"/>
            <w:vAlign w:val="center"/>
          </w:tcPr>
          <w:p w14:paraId="6C81DBFA" w14:textId="77777777" w:rsidR="00733B45" w:rsidRPr="00733B45" w:rsidRDefault="00733B45" w:rsidP="00D85EF9">
            <w:pPr>
              <w:jc w:val="right"/>
              <w:rPr>
                <w:rFonts w:eastAsia="Times New Roman" w:cs="Arial CE"/>
                <w:b/>
                <w:bCs/>
                <w:sz w:val="20"/>
                <w:szCs w:val="20"/>
                <w:lang w:eastAsia="sk-SK"/>
              </w:rPr>
            </w:pPr>
            <w:r w:rsidRPr="00733B45">
              <w:rPr>
                <w:rFonts w:eastAsia="Times New Roman" w:cs="Arial CE"/>
                <w:b/>
                <w:bCs/>
                <w:sz w:val="20"/>
                <w:szCs w:val="20"/>
                <w:lang w:eastAsia="sk-SK"/>
              </w:rPr>
              <w:t>2 402 324</w:t>
            </w:r>
          </w:p>
        </w:tc>
        <w:tc>
          <w:tcPr>
            <w:tcW w:w="598" w:type="pct"/>
            <w:shd w:val="clear" w:color="auto" w:fill="auto"/>
            <w:vAlign w:val="center"/>
          </w:tcPr>
          <w:p w14:paraId="4CE0F96F" w14:textId="77777777" w:rsidR="00733B45" w:rsidRPr="00733B45" w:rsidRDefault="00733B45" w:rsidP="00D85EF9">
            <w:pPr>
              <w:jc w:val="right"/>
              <w:rPr>
                <w:rFonts w:eastAsia="Times New Roman" w:cs="Arial CE"/>
                <w:b/>
                <w:bCs/>
                <w:sz w:val="20"/>
                <w:szCs w:val="20"/>
                <w:lang w:eastAsia="sk-SK"/>
              </w:rPr>
            </w:pPr>
            <w:r w:rsidRPr="00733B45">
              <w:rPr>
                <w:rFonts w:eastAsia="Times New Roman" w:cs="Arial CE"/>
                <w:b/>
                <w:bCs/>
                <w:sz w:val="20"/>
                <w:szCs w:val="20"/>
                <w:lang w:eastAsia="sk-SK"/>
              </w:rPr>
              <w:t>2 288 578</w:t>
            </w:r>
          </w:p>
        </w:tc>
        <w:tc>
          <w:tcPr>
            <w:tcW w:w="599" w:type="pct"/>
            <w:shd w:val="clear" w:color="auto" w:fill="auto"/>
            <w:vAlign w:val="center"/>
          </w:tcPr>
          <w:p w14:paraId="6DCDFBA7" w14:textId="77777777" w:rsidR="00733B45" w:rsidRPr="00733B45" w:rsidRDefault="00733B45" w:rsidP="00D85EF9">
            <w:pPr>
              <w:jc w:val="right"/>
              <w:rPr>
                <w:rFonts w:eastAsia="Times New Roman" w:cs="Arial CE"/>
                <w:b/>
                <w:bCs/>
                <w:sz w:val="20"/>
                <w:szCs w:val="20"/>
                <w:lang w:eastAsia="sk-SK"/>
              </w:rPr>
            </w:pPr>
            <w:r w:rsidRPr="00733B45">
              <w:rPr>
                <w:rFonts w:eastAsia="Times New Roman" w:cs="Arial CE"/>
                <w:b/>
                <w:bCs/>
                <w:sz w:val="20"/>
                <w:szCs w:val="20"/>
                <w:lang w:eastAsia="sk-SK"/>
              </w:rPr>
              <w:t>2 859 216</w:t>
            </w:r>
          </w:p>
        </w:tc>
        <w:tc>
          <w:tcPr>
            <w:tcW w:w="625" w:type="pct"/>
            <w:shd w:val="clear" w:color="auto" w:fill="auto"/>
            <w:vAlign w:val="center"/>
          </w:tcPr>
          <w:p w14:paraId="123C17D4" w14:textId="77777777" w:rsidR="00733B45" w:rsidRPr="00733B45" w:rsidRDefault="00733B45" w:rsidP="00D85EF9">
            <w:pPr>
              <w:jc w:val="right"/>
              <w:rPr>
                <w:rFonts w:eastAsia="Times New Roman" w:cs="Arial CE"/>
                <w:b/>
                <w:bCs/>
                <w:sz w:val="20"/>
                <w:szCs w:val="20"/>
                <w:lang w:eastAsia="sk-SK"/>
              </w:rPr>
            </w:pPr>
            <w:r w:rsidRPr="00733B45">
              <w:rPr>
                <w:rFonts w:eastAsia="Times New Roman" w:cs="Arial CE"/>
                <w:b/>
                <w:bCs/>
                <w:sz w:val="20"/>
                <w:szCs w:val="20"/>
                <w:lang w:eastAsia="sk-SK"/>
              </w:rPr>
              <w:t>2 858 949</w:t>
            </w:r>
          </w:p>
        </w:tc>
        <w:tc>
          <w:tcPr>
            <w:tcW w:w="523" w:type="pct"/>
            <w:shd w:val="clear" w:color="auto" w:fill="auto"/>
            <w:vAlign w:val="center"/>
          </w:tcPr>
          <w:p w14:paraId="266AD1B2" w14:textId="77777777" w:rsidR="00733B45" w:rsidRPr="00733B45" w:rsidRDefault="00733B45" w:rsidP="00D85EF9">
            <w:pPr>
              <w:jc w:val="right"/>
              <w:rPr>
                <w:rFonts w:eastAsia="Times New Roman" w:cs="Arial CE"/>
                <w:b/>
                <w:bCs/>
                <w:sz w:val="20"/>
                <w:szCs w:val="20"/>
                <w:lang w:eastAsia="sk-SK"/>
              </w:rPr>
            </w:pPr>
            <w:r w:rsidRPr="00733B45">
              <w:rPr>
                <w:rFonts w:eastAsia="Times New Roman" w:cs="Arial CE"/>
                <w:b/>
                <w:bCs/>
                <w:sz w:val="20"/>
                <w:szCs w:val="20"/>
                <w:lang w:eastAsia="sk-SK"/>
              </w:rPr>
              <w:t>-267</w:t>
            </w:r>
          </w:p>
        </w:tc>
        <w:tc>
          <w:tcPr>
            <w:tcW w:w="535" w:type="pct"/>
            <w:shd w:val="clear" w:color="auto" w:fill="auto"/>
            <w:vAlign w:val="center"/>
          </w:tcPr>
          <w:p w14:paraId="6AFB5D8C" w14:textId="77777777" w:rsidR="00733B45" w:rsidRPr="00733B45" w:rsidRDefault="00733B45" w:rsidP="00D85EF9">
            <w:pPr>
              <w:jc w:val="center"/>
              <w:rPr>
                <w:rFonts w:eastAsia="Times New Roman" w:cs="Arial"/>
                <w:b/>
                <w:bCs/>
                <w:sz w:val="20"/>
                <w:szCs w:val="20"/>
                <w:lang w:eastAsia="sk-SK"/>
              </w:rPr>
            </w:pPr>
            <w:r w:rsidRPr="00733B45">
              <w:rPr>
                <w:rFonts w:eastAsia="Times New Roman" w:cs="Arial"/>
                <w:b/>
                <w:bCs/>
                <w:sz w:val="20"/>
                <w:szCs w:val="20"/>
                <w:lang w:eastAsia="sk-SK"/>
              </w:rPr>
              <w:t>119,0</w:t>
            </w:r>
          </w:p>
        </w:tc>
      </w:tr>
      <w:tr w:rsidR="00733B45" w:rsidRPr="00FE4345" w14:paraId="368A6230" w14:textId="77777777" w:rsidTr="00B65251">
        <w:trPr>
          <w:trHeight w:val="170"/>
        </w:trPr>
        <w:tc>
          <w:tcPr>
            <w:tcW w:w="1495" w:type="pct"/>
            <w:shd w:val="clear" w:color="auto" w:fill="auto"/>
            <w:vAlign w:val="center"/>
          </w:tcPr>
          <w:p w14:paraId="75304844" w14:textId="77777777" w:rsidR="00733B45" w:rsidRPr="00FE4345" w:rsidRDefault="00733B45" w:rsidP="00CA4572">
            <w:pPr>
              <w:rPr>
                <w:rFonts w:eastAsia="Calibri" w:cs="Times New Roman"/>
                <w:sz w:val="20"/>
                <w:szCs w:val="20"/>
              </w:rPr>
            </w:pPr>
            <w:r w:rsidRPr="00FE4345">
              <w:rPr>
                <w:rFonts w:eastAsia="Calibri" w:cs="Times New Roman"/>
                <w:bCs/>
                <w:sz w:val="20"/>
                <w:szCs w:val="20"/>
              </w:rPr>
              <w:t>Obstarávanie kapitálových aktív</w:t>
            </w:r>
          </w:p>
        </w:tc>
        <w:tc>
          <w:tcPr>
            <w:tcW w:w="625" w:type="pct"/>
            <w:shd w:val="clear" w:color="auto" w:fill="auto"/>
            <w:vAlign w:val="center"/>
          </w:tcPr>
          <w:p w14:paraId="58515994"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721 148</w:t>
            </w:r>
          </w:p>
        </w:tc>
        <w:tc>
          <w:tcPr>
            <w:tcW w:w="598" w:type="pct"/>
            <w:shd w:val="clear" w:color="auto" w:fill="auto"/>
            <w:vAlign w:val="center"/>
          </w:tcPr>
          <w:p w14:paraId="43E66CCA"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1 283 010</w:t>
            </w:r>
          </w:p>
        </w:tc>
        <w:tc>
          <w:tcPr>
            <w:tcW w:w="599" w:type="pct"/>
            <w:shd w:val="clear" w:color="auto" w:fill="auto"/>
            <w:vAlign w:val="center"/>
          </w:tcPr>
          <w:p w14:paraId="79E85C0B"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1 096 720</w:t>
            </w:r>
          </w:p>
        </w:tc>
        <w:tc>
          <w:tcPr>
            <w:tcW w:w="625" w:type="pct"/>
            <w:shd w:val="clear" w:color="auto" w:fill="auto"/>
            <w:vAlign w:val="center"/>
          </w:tcPr>
          <w:p w14:paraId="622009F4"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1 096 506</w:t>
            </w:r>
          </w:p>
        </w:tc>
        <w:tc>
          <w:tcPr>
            <w:tcW w:w="523" w:type="pct"/>
            <w:shd w:val="clear" w:color="auto" w:fill="auto"/>
            <w:vAlign w:val="center"/>
          </w:tcPr>
          <w:p w14:paraId="022ACE81"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-214</w:t>
            </w:r>
          </w:p>
        </w:tc>
        <w:tc>
          <w:tcPr>
            <w:tcW w:w="535" w:type="pct"/>
            <w:shd w:val="clear" w:color="auto" w:fill="auto"/>
            <w:vAlign w:val="center"/>
          </w:tcPr>
          <w:p w14:paraId="3F40DDD1" w14:textId="77777777" w:rsidR="00733B45" w:rsidRPr="00733B45" w:rsidRDefault="00733B45" w:rsidP="00D85EF9">
            <w:pPr>
              <w:jc w:val="center"/>
              <w:rPr>
                <w:rFonts w:eastAsia="Times New Roman" w:cs="Arial"/>
                <w:sz w:val="20"/>
                <w:szCs w:val="20"/>
                <w:lang w:eastAsia="sk-SK"/>
              </w:rPr>
            </w:pPr>
            <w:r w:rsidRPr="00733B45">
              <w:rPr>
                <w:rFonts w:eastAsia="Times New Roman" w:cs="Arial"/>
                <w:sz w:val="20"/>
                <w:szCs w:val="20"/>
                <w:lang w:eastAsia="sk-SK"/>
              </w:rPr>
              <w:t>152,1</w:t>
            </w:r>
          </w:p>
        </w:tc>
      </w:tr>
      <w:tr w:rsidR="00733B45" w:rsidRPr="00FE4345" w14:paraId="465871AE" w14:textId="77777777" w:rsidTr="00B65251">
        <w:trPr>
          <w:trHeight w:val="170"/>
        </w:trPr>
        <w:tc>
          <w:tcPr>
            <w:tcW w:w="1495" w:type="pct"/>
            <w:shd w:val="clear" w:color="auto" w:fill="auto"/>
            <w:vAlign w:val="center"/>
          </w:tcPr>
          <w:p w14:paraId="75E58BF3" w14:textId="77777777" w:rsidR="00733B45" w:rsidRPr="00FE4345" w:rsidRDefault="00733B45" w:rsidP="00CA4572">
            <w:pPr>
              <w:rPr>
                <w:rFonts w:eastAsia="Calibri" w:cs="Times New Roman"/>
                <w:sz w:val="20"/>
                <w:szCs w:val="20"/>
              </w:rPr>
            </w:pPr>
            <w:r w:rsidRPr="00FE4345">
              <w:rPr>
                <w:rFonts w:eastAsia="Calibri" w:cs="Times New Roman"/>
                <w:bCs/>
                <w:sz w:val="20"/>
                <w:szCs w:val="20"/>
              </w:rPr>
              <w:t>Kapitálové transfery</w:t>
            </w:r>
          </w:p>
        </w:tc>
        <w:tc>
          <w:tcPr>
            <w:tcW w:w="625" w:type="pct"/>
            <w:shd w:val="clear" w:color="auto" w:fill="auto"/>
            <w:vAlign w:val="center"/>
          </w:tcPr>
          <w:p w14:paraId="0236D22E"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1 681 176</w:t>
            </w:r>
          </w:p>
        </w:tc>
        <w:tc>
          <w:tcPr>
            <w:tcW w:w="598" w:type="pct"/>
            <w:shd w:val="clear" w:color="auto" w:fill="auto"/>
            <w:vAlign w:val="center"/>
          </w:tcPr>
          <w:p w14:paraId="0C29ED94"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1 005 568</w:t>
            </w:r>
          </w:p>
        </w:tc>
        <w:tc>
          <w:tcPr>
            <w:tcW w:w="599" w:type="pct"/>
            <w:shd w:val="clear" w:color="auto" w:fill="auto"/>
            <w:vAlign w:val="center"/>
          </w:tcPr>
          <w:p w14:paraId="3F8C0974"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1 762 496</w:t>
            </w:r>
          </w:p>
        </w:tc>
        <w:tc>
          <w:tcPr>
            <w:tcW w:w="625" w:type="pct"/>
            <w:shd w:val="clear" w:color="auto" w:fill="auto"/>
            <w:vAlign w:val="center"/>
          </w:tcPr>
          <w:p w14:paraId="7A538AEF"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1 762 443</w:t>
            </w:r>
          </w:p>
        </w:tc>
        <w:tc>
          <w:tcPr>
            <w:tcW w:w="523" w:type="pct"/>
            <w:shd w:val="clear" w:color="auto" w:fill="auto"/>
            <w:vAlign w:val="center"/>
          </w:tcPr>
          <w:p w14:paraId="7205E1A4" w14:textId="77777777" w:rsidR="00733B45" w:rsidRPr="00733B45" w:rsidRDefault="00733B45" w:rsidP="00D85EF9">
            <w:pPr>
              <w:jc w:val="right"/>
              <w:rPr>
                <w:rFonts w:eastAsia="Times New Roman" w:cs="Arial CE"/>
                <w:sz w:val="20"/>
                <w:szCs w:val="20"/>
                <w:lang w:eastAsia="sk-SK"/>
              </w:rPr>
            </w:pPr>
            <w:r w:rsidRPr="00733B45">
              <w:rPr>
                <w:rFonts w:eastAsia="Times New Roman" w:cs="Arial CE"/>
                <w:sz w:val="20"/>
                <w:szCs w:val="20"/>
                <w:lang w:eastAsia="sk-SK"/>
              </w:rPr>
              <w:t>-53</w:t>
            </w:r>
          </w:p>
        </w:tc>
        <w:tc>
          <w:tcPr>
            <w:tcW w:w="535" w:type="pct"/>
            <w:shd w:val="clear" w:color="auto" w:fill="auto"/>
            <w:vAlign w:val="center"/>
          </w:tcPr>
          <w:p w14:paraId="66AE434B" w14:textId="77777777" w:rsidR="00733B45" w:rsidRPr="00733B45" w:rsidRDefault="00733B45" w:rsidP="00D85EF9">
            <w:pPr>
              <w:jc w:val="center"/>
              <w:rPr>
                <w:rFonts w:eastAsia="Times New Roman" w:cs="Arial"/>
                <w:sz w:val="20"/>
                <w:szCs w:val="20"/>
                <w:lang w:eastAsia="sk-SK"/>
              </w:rPr>
            </w:pPr>
            <w:r w:rsidRPr="00733B45">
              <w:rPr>
                <w:rFonts w:eastAsia="Times New Roman" w:cs="Arial"/>
                <w:sz w:val="20"/>
                <w:szCs w:val="20"/>
                <w:lang w:eastAsia="sk-SK"/>
              </w:rPr>
              <w:t>104,8</w:t>
            </w:r>
          </w:p>
        </w:tc>
      </w:tr>
      <w:tr w:rsidR="00733B45" w:rsidRPr="00FE4345" w14:paraId="499BA68E" w14:textId="77777777" w:rsidTr="00B65251">
        <w:trPr>
          <w:trHeight w:val="170"/>
        </w:trPr>
        <w:tc>
          <w:tcPr>
            <w:tcW w:w="1495" w:type="pct"/>
            <w:shd w:val="clear" w:color="auto" w:fill="auto"/>
            <w:vAlign w:val="center"/>
          </w:tcPr>
          <w:p w14:paraId="4A0E0D75" w14:textId="77777777" w:rsidR="00733B45" w:rsidRPr="00FE4345" w:rsidRDefault="00733B45" w:rsidP="00CA4572">
            <w:pPr>
              <w:rPr>
                <w:rFonts w:eastAsia="Calibri" w:cs="Times New Roman"/>
                <w:b/>
                <w:bCs/>
                <w:sz w:val="20"/>
                <w:szCs w:val="20"/>
              </w:rPr>
            </w:pPr>
            <w:r w:rsidRPr="00FE4345">
              <w:rPr>
                <w:rFonts w:eastAsia="Calibri" w:cs="Times New Roman"/>
                <w:b/>
                <w:bCs/>
                <w:sz w:val="20"/>
                <w:szCs w:val="20"/>
              </w:rPr>
              <w:t>Výdavky spolu</w:t>
            </w:r>
          </w:p>
        </w:tc>
        <w:tc>
          <w:tcPr>
            <w:tcW w:w="625" w:type="pct"/>
            <w:shd w:val="clear" w:color="auto" w:fill="auto"/>
            <w:vAlign w:val="bottom"/>
          </w:tcPr>
          <w:p w14:paraId="182714E7" w14:textId="77777777" w:rsidR="00733B45" w:rsidRPr="00733B45" w:rsidRDefault="00733B45" w:rsidP="00CA4572">
            <w:pPr>
              <w:jc w:val="right"/>
              <w:rPr>
                <w:rFonts w:eastAsia="Times New Roman" w:cs="Arial CE"/>
                <w:b/>
                <w:bCs/>
                <w:sz w:val="20"/>
                <w:szCs w:val="20"/>
                <w:lang w:eastAsia="sk-SK"/>
              </w:rPr>
            </w:pPr>
            <w:r w:rsidRPr="00733B45">
              <w:rPr>
                <w:rFonts w:eastAsia="Times New Roman" w:cs="Arial CE"/>
                <w:b/>
                <w:bCs/>
                <w:sz w:val="20"/>
                <w:szCs w:val="20"/>
                <w:lang w:eastAsia="sk-SK"/>
              </w:rPr>
              <w:t>16 563 255</w:t>
            </w:r>
          </w:p>
        </w:tc>
        <w:tc>
          <w:tcPr>
            <w:tcW w:w="598" w:type="pct"/>
            <w:shd w:val="clear" w:color="auto" w:fill="auto"/>
            <w:vAlign w:val="bottom"/>
          </w:tcPr>
          <w:p w14:paraId="2E599BC4" w14:textId="77777777" w:rsidR="00733B45" w:rsidRPr="00733B45" w:rsidRDefault="00733B45" w:rsidP="00CA4572">
            <w:pPr>
              <w:jc w:val="right"/>
              <w:rPr>
                <w:rFonts w:eastAsia="Times New Roman" w:cs="Arial CE"/>
                <w:b/>
                <w:bCs/>
                <w:sz w:val="20"/>
                <w:szCs w:val="20"/>
                <w:lang w:eastAsia="sk-SK"/>
              </w:rPr>
            </w:pPr>
            <w:r w:rsidRPr="00733B45">
              <w:rPr>
                <w:rFonts w:eastAsia="Times New Roman" w:cs="Arial CE"/>
                <w:b/>
                <w:bCs/>
                <w:sz w:val="20"/>
                <w:szCs w:val="20"/>
                <w:lang w:eastAsia="sk-SK"/>
              </w:rPr>
              <w:t>17 538 901</w:t>
            </w:r>
          </w:p>
        </w:tc>
        <w:tc>
          <w:tcPr>
            <w:tcW w:w="599" w:type="pct"/>
            <w:shd w:val="clear" w:color="auto" w:fill="auto"/>
            <w:vAlign w:val="bottom"/>
          </w:tcPr>
          <w:p w14:paraId="3EB96A5F" w14:textId="77777777" w:rsidR="00733B45" w:rsidRPr="00733B45" w:rsidRDefault="00733B45" w:rsidP="00CA4572">
            <w:pPr>
              <w:jc w:val="right"/>
              <w:rPr>
                <w:rFonts w:eastAsia="Times New Roman" w:cs="Arial CE"/>
                <w:b/>
                <w:bCs/>
                <w:sz w:val="20"/>
                <w:szCs w:val="20"/>
                <w:lang w:eastAsia="sk-SK"/>
              </w:rPr>
            </w:pPr>
            <w:r w:rsidRPr="00733B45">
              <w:rPr>
                <w:rFonts w:eastAsia="Times New Roman" w:cs="Arial CE"/>
                <w:b/>
                <w:bCs/>
                <w:sz w:val="20"/>
                <w:szCs w:val="20"/>
                <w:lang w:eastAsia="sk-SK"/>
              </w:rPr>
              <w:t>18 253 558</w:t>
            </w:r>
          </w:p>
        </w:tc>
        <w:tc>
          <w:tcPr>
            <w:tcW w:w="625" w:type="pct"/>
            <w:shd w:val="clear" w:color="auto" w:fill="auto"/>
            <w:vAlign w:val="bottom"/>
          </w:tcPr>
          <w:p w14:paraId="6A3292E1" w14:textId="77777777" w:rsidR="00733B45" w:rsidRPr="00733B45" w:rsidRDefault="00733B45" w:rsidP="00CA4572">
            <w:pPr>
              <w:jc w:val="right"/>
              <w:rPr>
                <w:rFonts w:eastAsia="Times New Roman" w:cs="Arial CE"/>
                <w:b/>
                <w:bCs/>
                <w:sz w:val="20"/>
                <w:szCs w:val="20"/>
                <w:lang w:eastAsia="sk-SK"/>
              </w:rPr>
            </w:pPr>
            <w:r w:rsidRPr="00733B45">
              <w:rPr>
                <w:rFonts w:eastAsia="Times New Roman" w:cs="Arial CE"/>
                <w:b/>
                <w:bCs/>
                <w:sz w:val="20"/>
                <w:szCs w:val="20"/>
                <w:lang w:eastAsia="sk-SK"/>
              </w:rPr>
              <w:t>18 027 016</w:t>
            </w:r>
          </w:p>
        </w:tc>
        <w:tc>
          <w:tcPr>
            <w:tcW w:w="523" w:type="pct"/>
            <w:shd w:val="clear" w:color="auto" w:fill="auto"/>
            <w:vAlign w:val="bottom"/>
          </w:tcPr>
          <w:p w14:paraId="3139AFCF" w14:textId="77777777" w:rsidR="00733B45" w:rsidRPr="00733B45" w:rsidRDefault="00733B45" w:rsidP="00CA4572">
            <w:pPr>
              <w:jc w:val="right"/>
              <w:rPr>
                <w:rFonts w:eastAsia="Times New Roman" w:cs="Arial CE"/>
                <w:b/>
                <w:bCs/>
                <w:sz w:val="20"/>
                <w:szCs w:val="20"/>
                <w:lang w:eastAsia="sk-SK"/>
              </w:rPr>
            </w:pPr>
            <w:r w:rsidRPr="00733B45">
              <w:rPr>
                <w:rFonts w:eastAsia="Times New Roman" w:cs="Arial CE"/>
                <w:b/>
                <w:bCs/>
                <w:sz w:val="20"/>
                <w:szCs w:val="20"/>
                <w:lang w:eastAsia="sk-SK"/>
              </w:rPr>
              <w:t>-226 542</w:t>
            </w:r>
          </w:p>
        </w:tc>
        <w:tc>
          <w:tcPr>
            <w:tcW w:w="535" w:type="pct"/>
            <w:shd w:val="clear" w:color="auto" w:fill="auto"/>
            <w:vAlign w:val="center"/>
          </w:tcPr>
          <w:p w14:paraId="0D1A6B86" w14:textId="77777777" w:rsidR="00733B45" w:rsidRPr="00733B45" w:rsidRDefault="00733B45" w:rsidP="00D85EF9">
            <w:pPr>
              <w:jc w:val="center"/>
              <w:rPr>
                <w:rFonts w:eastAsia="Times New Roman" w:cs="Arial"/>
                <w:b/>
                <w:bCs/>
                <w:sz w:val="20"/>
                <w:szCs w:val="20"/>
                <w:lang w:eastAsia="sk-SK"/>
              </w:rPr>
            </w:pPr>
            <w:r w:rsidRPr="00733B45">
              <w:rPr>
                <w:rFonts w:eastAsia="Times New Roman" w:cs="Arial"/>
                <w:b/>
                <w:bCs/>
                <w:sz w:val="20"/>
                <w:szCs w:val="20"/>
                <w:lang w:eastAsia="sk-SK"/>
              </w:rPr>
              <w:t>108,8</w:t>
            </w:r>
          </w:p>
        </w:tc>
      </w:tr>
    </w:tbl>
    <w:p w14:paraId="73517C3C" w14:textId="072195B8" w:rsidR="00733B45" w:rsidRPr="008B0098" w:rsidRDefault="00EC258B" w:rsidP="00417AF6">
      <w:pPr>
        <w:spacing w:after="120"/>
        <w:rPr>
          <w:i/>
          <w:sz w:val="18"/>
          <w:szCs w:val="20"/>
        </w:rPr>
      </w:pPr>
      <w:r w:rsidRPr="008B0098">
        <w:rPr>
          <w:i/>
          <w:sz w:val="18"/>
          <w:szCs w:val="20"/>
        </w:rPr>
        <w:t>Zdroj: Návrh ŠZÚ za rok 2019</w:t>
      </w:r>
    </w:p>
    <w:p w14:paraId="30F19889" w14:textId="77777777" w:rsidR="00417AF6" w:rsidRDefault="00417AF6" w:rsidP="00417AF6">
      <w:pPr>
        <w:widowControl w:val="0"/>
        <w:spacing w:after="120"/>
        <w:jc w:val="both"/>
        <w:rPr>
          <w:b/>
          <w:lang w:bidi="sk-SK"/>
        </w:rPr>
      </w:pPr>
      <w:r w:rsidRPr="008317DA">
        <w:rPr>
          <w:b/>
          <w:lang w:bidi="sk-SK"/>
        </w:rPr>
        <w:t xml:space="preserve">Limit počtu zamestnancov pre rozpočtové organizácie kapitol </w:t>
      </w:r>
      <w:r w:rsidRPr="008317DA">
        <w:rPr>
          <w:b/>
        </w:rPr>
        <w:t>ŠR bol schválený v počte 130 090</w:t>
      </w:r>
      <w:r w:rsidRPr="008317DA">
        <w:rPr>
          <w:b/>
          <w:lang w:bidi="sk-SK"/>
        </w:rPr>
        <w:t xml:space="preserve"> osôb.</w:t>
      </w:r>
      <w:r w:rsidRPr="008D0334">
        <w:rPr>
          <w:lang w:bidi="sk-SK"/>
        </w:rPr>
        <w:t xml:space="preserve"> Počas roka bol počet zamestnancov rozpočtovými opatreniami zvýšený</w:t>
      </w:r>
      <w:r w:rsidRPr="008D0334">
        <w:t xml:space="preserve"> </w:t>
      </w:r>
      <w:r>
        <w:t>o 798</w:t>
      </w:r>
      <w:r w:rsidRPr="00C2315D">
        <w:t xml:space="preserve"> osôb na 130 </w:t>
      </w:r>
      <w:r>
        <w:t>88</w:t>
      </w:r>
      <w:r w:rsidRPr="00C2315D">
        <w:t>8 osôb</w:t>
      </w:r>
      <w:r>
        <w:t xml:space="preserve">. </w:t>
      </w:r>
      <w:r w:rsidRPr="008D0334">
        <w:rPr>
          <w:lang w:bidi="sk-SK"/>
        </w:rPr>
        <w:t xml:space="preserve">Skutočné plnenie počtu </w:t>
      </w:r>
      <w:r w:rsidRPr="008D0334">
        <w:rPr>
          <w:lang w:bidi="sk-SK"/>
        </w:rPr>
        <w:lastRenderedPageBreak/>
        <w:t xml:space="preserve">zamestnancov dosiahlo úroveň </w:t>
      </w:r>
      <w:r>
        <w:t>124 214</w:t>
      </w:r>
      <w:r w:rsidRPr="008D0334">
        <w:rPr>
          <w:lang w:bidi="sk-SK"/>
        </w:rPr>
        <w:t xml:space="preserve"> osôb, čo je v porovnaní s ich skutočným plnením v </w:t>
      </w:r>
      <w:r>
        <w:t>roku 2018 o 1 152</w:t>
      </w:r>
      <w:r w:rsidRPr="008D0334">
        <w:rPr>
          <w:lang w:bidi="sk-SK"/>
        </w:rPr>
        <w:t xml:space="preserve"> osôb </w:t>
      </w:r>
      <w:r>
        <w:t>viac. V</w:t>
      </w:r>
      <w:r w:rsidRPr="008D0334">
        <w:rPr>
          <w:lang w:bidi="sk-SK"/>
        </w:rPr>
        <w:t> porovnaní s pô</w:t>
      </w:r>
      <w:r>
        <w:t xml:space="preserve">vodne schváleným limitom je </w:t>
      </w:r>
      <w:r w:rsidRPr="008D0334">
        <w:rPr>
          <w:lang w:bidi="sk-SK"/>
        </w:rPr>
        <w:t xml:space="preserve">zamestnancov </w:t>
      </w:r>
      <w:r>
        <w:t>o 5 876</w:t>
      </w:r>
      <w:r w:rsidRPr="008D0334">
        <w:rPr>
          <w:lang w:bidi="sk-SK"/>
        </w:rPr>
        <w:t xml:space="preserve"> </w:t>
      </w:r>
      <w:r>
        <w:t xml:space="preserve">menej. </w:t>
      </w:r>
      <w:r w:rsidRPr="008D0334">
        <w:rPr>
          <w:b/>
          <w:lang w:bidi="sk-SK"/>
        </w:rPr>
        <w:t>Naďalej pretrváva trend, že sa v jednotlivých rokoch stanovené limity zamestnancov nenapĺňa</w:t>
      </w:r>
      <w:r>
        <w:rPr>
          <w:b/>
          <w:lang w:bidi="sk-SK"/>
        </w:rPr>
        <w:t>jú</w:t>
      </w:r>
      <w:r w:rsidRPr="008D0334">
        <w:rPr>
          <w:b/>
          <w:lang w:bidi="sk-SK"/>
        </w:rPr>
        <w:t>, pričom mzdové prostriedky sa vyčerpa</w:t>
      </w:r>
      <w:r>
        <w:rPr>
          <w:b/>
          <w:lang w:bidi="sk-SK"/>
        </w:rPr>
        <w:t>jú</w:t>
      </w:r>
      <w:r w:rsidRPr="008D0334">
        <w:rPr>
          <w:b/>
          <w:lang w:bidi="sk-SK"/>
        </w:rPr>
        <w:t>.</w:t>
      </w:r>
    </w:p>
    <w:p w14:paraId="18180428" w14:textId="2B5CDE32" w:rsidR="00FC0083" w:rsidRPr="008317DA" w:rsidRDefault="00733B45" w:rsidP="00CA4572">
      <w:pPr>
        <w:spacing w:before="120" w:after="120"/>
        <w:jc w:val="both"/>
        <w:rPr>
          <w:rFonts w:eastAsia="Arial Narrow" w:cs="Arial Narrow"/>
          <w:b/>
        </w:rPr>
      </w:pPr>
      <w:r w:rsidRPr="00504A44">
        <w:rPr>
          <w:b/>
        </w:rPr>
        <w:t>Rozpočet kapitálových výdavkov</w:t>
      </w:r>
      <w:r w:rsidRPr="00504A44">
        <w:t xml:space="preserve"> </w:t>
      </w:r>
      <w:r w:rsidR="003760D3" w:rsidRPr="00504A44">
        <w:t>bol schválený vo výške 2 288 578</w:t>
      </w:r>
      <w:r w:rsidRPr="00504A44">
        <w:rPr>
          <w:bCs/>
        </w:rPr>
        <w:t xml:space="preserve"> tis</w:t>
      </w:r>
      <w:r w:rsidR="008B6B29">
        <w:t>. eur</w:t>
      </w:r>
      <w:r w:rsidRPr="00504A44">
        <w:t xml:space="preserve">. Skutočné výdavky </w:t>
      </w:r>
      <w:r w:rsidR="00504A44" w:rsidRPr="00504A44">
        <w:t>tvorili</w:t>
      </w:r>
      <w:r w:rsidR="003760D3" w:rsidRPr="00504A44">
        <w:t xml:space="preserve"> 124,9</w:t>
      </w:r>
      <w:r w:rsidRPr="00504A44">
        <w:t xml:space="preserve"> % v porovnaní so schváleným rozpočtom. </w:t>
      </w:r>
      <w:r w:rsidR="003760D3" w:rsidRPr="00504A44">
        <w:t xml:space="preserve">Medziročne </w:t>
      </w:r>
      <w:r w:rsidRPr="00504A44">
        <w:t>skutočné kapitálové výdavky vzrástli o</w:t>
      </w:r>
      <w:r w:rsidR="003760D3" w:rsidRPr="00504A44">
        <w:t> 456 625</w:t>
      </w:r>
      <w:r w:rsidRPr="00504A44">
        <w:t> tis. eur, z toho obstaranie kapitálových aktív o</w:t>
      </w:r>
      <w:r w:rsidR="003760D3" w:rsidRPr="00504A44">
        <w:t> </w:t>
      </w:r>
      <w:r w:rsidR="003760D3" w:rsidRPr="00504A44">
        <w:rPr>
          <w:rFonts w:eastAsia="Times New Roman" w:cs="Arial"/>
          <w:lang w:eastAsia="sk-SK"/>
        </w:rPr>
        <w:t>375 358</w:t>
      </w:r>
      <w:r w:rsidRPr="00504A44">
        <w:rPr>
          <w:rFonts w:eastAsia="Times New Roman" w:cs="Arial"/>
          <w:lang w:eastAsia="sk-SK"/>
        </w:rPr>
        <w:t xml:space="preserve"> tis. eur a kapitálové transfery o </w:t>
      </w:r>
      <w:r w:rsidR="003760D3" w:rsidRPr="00504A44">
        <w:rPr>
          <w:rFonts w:eastAsia="Times New Roman" w:cs="Arial"/>
          <w:lang w:eastAsia="sk-SK"/>
        </w:rPr>
        <w:t>81 267</w:t>
      </w:r>
      <w:r w:rsidRPr="00504A44">
        <w:rPr>
          <w:rFonts w:eastAsia="Times New Roman" w:cs="Arial"/>
          <w:lang w:eastAsia="sk-SK"/>
        </w:rPr>
        <w:t xml:space="preserve"> tis. eur. </w:t>
      </w:r>
      <w:r w:rsidR="003760D3" w:rsidRPr="00504A44">
        <w:rPr>
          <w:rFonts w:eastAsia="Times New Roman" w:cs="Arial"/>
          <w:lang w:eastAsia="sk-SK"/>
        </w:rPr>
        <w:t xml:space="preserve">Najväčší podiel v rámci obstarania kapitálových aktív tvoril </w:t>
      </w:r>
      <w:r w:rsidR="003760D3" w:rsidRPr="00504A44">
        <w:rPr>
          <w:rFonts w:cs="Times New Roman"/>
          <w:color w:val="000000"/>
        </w:rPr>
        <w:t>nákup strojov, prístrojov, zariadení, techniky (54.2 %),  ktor</w:t>
      </w:r>
      <w:r w:rsidR="00B42819">
        <w:rPr>
          <w:rFonts w:cs="Times New Roman"/>
          <w:color w:val="000000"/>
        </w:rPr>
        <w:t>ý</w:t>
      </w:r>
      <w:r w:rsidR="003760D3" w:rsidRPr="00504A44">
        <w:rPr>
          <w:rFonts w:cs="Times New Roman"/>
          <w:color w:val="000000"/>
        </w:rPr>
        <w:t xml:space="preserve"> bol vo výške 594 668 tis. eur. Z toho MO SR </w:t>
      </w:r>
      <w:r w:rsidR="003760D3" w:rsidRPr="00504A44">
        <w:t xml:space="preserve">čerpalo prostriedky v sume 518 033 tis. eur najmä na viacúčelové taktické stíhacie lietadlá (451 528 tis. eur). V rámci kapitálových transferov mali najvyšší podiel </w:t>
      </w:r>
      <w:r w:rsidRPr="00504A44">
        <w:rPr>
          <w:rFonts w:eastAsia="Times New Roman" w:cs="Arial"/>
          <w:lang w:eastAsia="sk-SK"/>
        </w:rPr>
        <w:t>transfe</w:t>
      </w:r>
      <w:r w:rsidR="003760D3" w:rsidRPr="00504A44">
        <w:rPr>
          <w:rFonts w:eastAsia="Times New Roman" w:cs="Arial"/>
          <w:lang w:eastAsia="sk-SK"/>
        </w:rPr>
        <w:t xml:space="preserve">ry v rámci </w:t>
      </w:r>
      <w:r w:rsidR="00A76DAD">
        <w:rPr>
          <w:rFonts w:eastAsia="Times New Roman" w:cs="Arial"/>
          <w:lang w:eastAsia="sk-SK"/>
        </w:rPr>
        <w:t>VS</w:t>
      </w:r>
      <w:r w:rsidR="003760D3" w:rsidRPr="00504A44">
        <w:rPr>
          <w:rFonts w:eastAsia="Times New Roman" w:cs="Arial"/>
          <w:lang w:eastAsia="sk-SK"/>
        </w:rPr>
        <w:t xml:space="preserve"> (69,7</w:t>
      </w:r>
      <w:r w:rsidRPr="00504A44">
        <w:rPr>
          <w:rFonts w:eastAsia="Times New Roman" w:cs="Arial"/>
          <w:lang w:eastAsia="sk-SK"/>
        </w:rPr>
        <w:t xml:space="preserve"> %), ktoré boli vo výške </w:t>
      </w:r>
      <w:r w:rsidR="003760D3" w:rsidRPr="00504A44">
        <w:t>1 228 162</w:t>
      </w:r>
      <w:r w:rsidRPr="00504A44">
        <w:t xml:space="preserve"> tis. eur. </w:t>
      </w:r>
      <w:r w:rsidR="003760D3" w:rsidRPr="00504A44">
        <w:t>Z toho MDV SR poskytlo transfer v celkovej hodnote 600 074 tis. eur, a to najmä NDS</w:t>
      </w:r>
      <w:r w:rsidR="00A76DAD">
        <w:t xml:space="preserve"> </w:t>
      </w:r>
      <w:r w:rsidR="003760D3" w:rsidRPr="00504A44">
        <w:t>(403 065 tis. eur na investičné akcie), ŽSR (131 675 tis. eur na mod</w:t>
      </w:r>
      <w:r w:rsidR="00350A15">
        <w:t>ernizáciu železničnej trate) a Z</w:t>
      </w:r>
      <w:r w:rsidR="003760D3" w:rsidRPr="00504A44">
        <w:t>SSK, a. s. (26 163 tis. eur na modernizáciu vozového parku).</w:t>
      </w:r>
      <w:r w:rsidR="00FC0083" w:rsidRPr="00504A44">
        <w:t xml:space="preserve"> </w:t>
      </w:r>
      <w:r w:rsidR="00FC0083" w:rsidRPr="008317DA">
        <w:rPr>
          <w:b/>
        </w:rPr>
        <w:t>NKÚ SR konštatuje, že v</w:t>
      </w:r>
      <w:r w:rsidR="00FC0083" w:rsidRPr="008317DA">
        <w:rPr>
          <w:rFonts w:eastAsia="Arial Narrow" w:cs="Arial Narrow"/>
          <w:b/>
        </w:rPr>
        <w:t xml:space="preserve">ýška kapitálových výdavkov dlhodobo neumožňuje odstrániť modernizačný dlh, a tak rekonštrukcie, modernizácie a nákupy objektov a ich realizácia sa budú musieť opätovne presunúť na ďalšie roky. </w:t>
      </w:r>
    </w:p>
    <w:p w14:paraId="6C643DD5" w14:textId="72CC2282" w:rsidR="00733B45" w:rsidRPr="00504A44" w:rsidRDefault="00733B45" w:rsidP="00CA4572">
      <w:pPr>
        <w:pStyle w:val="Default"/>
        <w:spacing w:after="120"/>
        <w:jc w:val="both"/>
        <w:rPr>
          <w:szCs w:val="22"/>
        </w:rPr>
      </w:pPr>
      <w:r w:rsidRPr="008317DA">
        <w:rPr>
          <w:b/>
          <w:szCs w:val="22"/>
        </w:rPr>
        <w:t>NKÚ SR už dlhodobo poukazuje na</w:t>
      </w:r>
      <w:r w:rsidRPr="00504A44">
        <w:rPr>
          <w:szCs w:val="22"/>
        </w:rPr>
        <w:t xml:space="preserve"> </w:t>
      </w:r>
      <w:r w:rsidRPr="00504A44">
        <w:rPr>
          <w:b/>
          <w:bCs/>
          <w:szCs w:val="22"/>
        </w:rPr>
        <w:t xml:space="preserve">nedostatočnú úroveň plánovania výdavkov jednotlivých kapitol, nedostatočne fungujúce programové rozpočtovanie a rozpočtovanie rezerv ŠR. </w:t>
      </w:r>
      <w:r w:rsidRPr="00504A44">
        <w:rPr>
          <w:szCs w:val="22"/>
        </w:rPr>
        <w:t>Prejavom prvého nedostatku sú rozpočtové opatrenia, ktorých po</w:t>
      </w:r>
      <w:r w:rsidR="003760D3" w:rsidRPr="00504A44">
        <w:rPr>
          <w:szCs w:val="22"/>
        </w:rPr>
        <w:t>čet</w:t>
      </w:r>
      <w:r w:rsidR="00FC0083" w:rsidRPr="00504A44">
        <w:rPr>
          <w:szCs w:val="22"/>
        </w:rPr>
        <w:t xml:space="preserve"> v roku 2019</w:t>
      </w:r>
      <w:r w:rsidR="003760D3" w:rsidRPr="00504A44">
        <w:rPr>
          <w:szCs w:val="22"/>
        </w:rPr>
        <w:t xml:space="preserve"> v porovnaní s rokom 2012 vzrástol o 81</w:t>
      </w:r>
      <w:r w:rsidRPr="00504A44">
        <w:rPr>
          <w:szCs w:val="22"/>
        </w:rPr>
        <w:t xml:space="preserve"> %</w:t>
      </w:r>
      <w:r w:rsidR="00417AF6">
        <w:rPr>
          <w:szCs w:val="22"/>
        </w:rPr>
        <w:t xml:space="preserve"> (Graf 14</w:t>
      </w:r>
      <w:r w:rsidR="00CD2D36">
        <w:rPr>
          <w:szCs w:val="22"/>
        </w:rPr>
        <w:t>)</w:t>
      </w:r>
      <w:r w:rsidRPr="00504A44">
        <w:rPr>
          <w:szCs w:val="22"/>
        </w:rPr>
        <w:t>.</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733B45" w:rsidRPr="003C317F" w14:paraId="417B67AD" w14:textId="77777777" w:rsidTr="00733B45">
        <w:tc>
          <w:tcPr>
            <w:tcW w:w="9286" w:type="dxa"/>
            <w:tcBorders>
              <w:top w:val="single" w:sz="4" w:space="0" w:color="auto"/>
              <w:bottom w:val="single" w:sz="4" w:space="0" w:color="auto"/>
            </w:tcBorders>
            <w:shd w:val="clear" w:color="auto" w:fill="0070C0"/>
          </w:tcPr>
          <w:p w14:paraId="5CA50345" w14:textId="2C456E44" w:rsidR="00733B45" w:rsidRPr="003C317F" w:rsidRDefault="00CD2D36" w:rsidP="00417AF6">
            <w:pPr>
              <w:pStyle w:val="Default"/>
              <w:jc w:val="both"/>
              <w:rPr>
                <w:b/>
                <w:color w:val="FFFFFF" w:themeColor="background1"/>
                <w:szCs w:val="22"/>
              </w:rPr>
            </w:pPr>
            <w:r>
              <w:rPr>
                <w:b/>
                <w:color w:val="FFFFFF" w:themeColor="background1"/>
                <w:szCs w:val="22"/>
              </w:rPr>
              <w:t>Graf 1</w:t>
            </w:r>
            <w:r w:rsidR="00417AF6">
              <w:rPr>
                <w:b/>
                <w:color w:val="FFFFFF" w:themeColor="background1"/>
                <w:szCs w:val="22"/>
              </w:rPr>
              <w:t>4</w:t>
            </w:r>
            <w:r>
              <w:rPr>
                <w:b/>
                <w:color w:val="FFFFFF" w:themeColor="background1"/>
                <w:szCs w:val="22"/>
              </w:rPr>
              <w:t xml:space="preserve">: </w:t>
            </w:r>
            <w:r w:rsidR="00417AF6">
              <w:rPr>
                <w:b/>
                <w:color w:val="FFFFFF" w:themeColor="background1"/>
                <w:szCs w:val="22"/>
              </w:rPr>
              <w:t>Vývoj</w:t>
            </w:r>
            <w:r w:rsidR="00733B45" w:rsidRPr="003C317F">
              <w:rPr>
                <w:b/>
                <w:color w:val="FFFFFF" w:themeColor="background1"/>
                <w:szCs w:val="22"/>
              </w:rPr>
              <w:t xml:space="preserve"> rozpočtovýc</w:t>
            </w:r>
            <w:r w:rsidR="003760D3">
              <w:rPr>
                <w:b/>
                <w:color w:val="FFFFFF" w:themeColor="background1"/>
                <w:szCs w:val="22"/>
              </w:rPr>
              <w:t>h opatrení v rokoch 2012 až 2019</w:t>
            </w:r>
          </w:p>
        </w:tc>
      </w:tr>
      <w:tr w:rsidR="00733B45" w14:paraId="166DABAD" w14:textId="77777777" w:rsidTr="003760D3">
        <w:trPr>
          <w:trHeight w:val="2268"/>
        </w:trPr>
        <w:tc>
          <w:tcPr>
            <w:tcW w:w="9286" w:type="dxa"/>
            <w:tcBorders>
              <w:top w:val="single" w:sz="4" w:space="0" w:color="auto"/>
              <w:bottom w:val="single" w:sz="4" w:space="0" w:color="auto"/>
            </w:tcBorders>
          </w:tcPr>
          <w:p w14:paraId="36452A1F" w14:textId="46581CA6" w:rsidR="00733B45" w:rsidRDefault="00417AF6" w:rsidP="00CA4572">
            <w:pPr>
              <w:pStyle w:val="Default"/>
              <w:jc w:val="both"/>
              <w:rPr>
                <w:szCs w:val="22"/>
              </w:rPr>
            </w:pPr>
            <w:r>
              <w:rPr>
                <w:noProof/>
                <w:lang w:eastAsia="sk-SK"/>
              </w:rPr>
              <w:drawing>
                <wp:inline distT="0" distB="0" distL="0" distR="0" wp14:anchorId="3D4FDC8E" wp14:editId="0855B371">
                  <wp:extent cx="5829300" cy="230886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085FB91C" w14:textId="77777777" w:rsidR="00733B45" w:rsidRPr="008B0098" w:rsidRDefault="00733B45" w:rsidP="00CA4572">
      <w:pPr>
        <w:pStyle w:val="Default"/>
        <w:jc w:val="both"/>
        <w:rPr>
          <w:i/>
          <w:sz w:val="18"/>
          <w:szCs w:val="20"/>
        </w:rPr>
      </w:pPr>
      <w:r w:rsidRPr="008B0098">
        <w:rPr>
          <w:i/>
          <w:sz w:val="18"/>
          <w:szCs w:val="20"/>
        </w:rPr>
        <w:t>Zdroj: rozpočet.sk</w:t>
      </w:r>
    </w:p>
    <w:p w14:paraId="365AB71E" w14:textId="43E509B5" w:rsidR="00FC0083" w:rsidRDefault="00360C35" w:rsidP="00CA4572">
      <w:pPr>
        <w:pStyle w:val="Default"/>
        <w:spacing w:before="120" w:after="120"/>
        <w:jc w:val="both"/>
        <w:rPr>
          <w:rFonts w:eastAsia="Arial Narrow" w:cs="Arial Narrow"/>
          <w:szCs w:val="22"/>
        </w:rPr>
      </w:pPr>
      <w:r>
        <w:rPr>
          <w:rFonts w:eastAsia="Arial Narrow" w:cs="Arial Narrow"/>
          <w:szCs w:val="22"/>
        </w:rPr>
        <w:t>N</w:t>
      </w:r>
      <w:r w:rsidR="00FC0083">
        <w:rPr>
          <w:rFonts w:eastAsia="Arial Narrow" w:cs="Arial Narrow"/>
          <w:szCs w:val="22"/>
        </w:rPr>
        <w:t xml:space="preserve">árast rozpočtových opatrení </w:t>
      </w:r>
      <w:r>
        <w:rPr>
          <w:rFonts w:eastAsia="Arial Narrow" w:cs="Arial Narrow"/>
          <w:szCs w:val="22"/>
        </w:rPr>
        <w:t>v posledných rokoch</w:t>
      </w:r>
      <w:r w:rsidR="00FC0083">
        <w:rPr>
          <w:rFonts w:eastAsia="Arial Narrow" w:cs="Arial Narrow"/>
          <w:szCs w:val="22"/>
        </w:rPr>
        <w:t xml:space="preserve"> naznačuje, že tento </w:t>
      </w:r>
      <w:r w:rsidR="00FC0083">
        <w:rPr>
          <w:rFonts w:eastAsia="Arial Narrow" w:cs="Arial Narrow"/>
          <w:b/>
          <w:szCs w:val="22"/>
        </w:rPr>
        <w:t>legitímny nástroj rozpočtovej politiky sa mnohokrát používa nad rámec objektívnej potreby presunu prostriedkov</w:t>
      </w:r>
      <w:r w:rsidR="00FC0083" w:rsidRPr="005D446C">
        <w:rPr>
          <w:rFonts w:eastAsia="Arial Narrow" w:cs="Arial Narrow"/>
          <w:bCs/>
          <w:szCs w:val="22"/>
        </w:rPr>
        <w:t xml:space="preserve">. </w:t>
      </w:r>
      <w:r w:rsidR="00FC0083">
        <w:rPr>
          <w:rFonts w:eastAsia="Arial Narrow" w:cs="Arial Narrow"/>
          <w:szCs w:val="22"/>
        </w:rPr>
        <w:t xml:space="preserve">Dôslednejším plánovaním príjmov a výdavkov by mnohé rozpočtové opatrenia ani nemuseli vzniknúť. NKÚ SR dlhodobo upozorňuje </w:t>
      </w:r>
      <w:r w:rsidR="00FC0083">
        <w:rPr>
          <w:rFonts w:eastAsia="Arial Narrow" w:cs="Arial Narrow"/>
          <w:b/>
          <w:szCs w:val="22"/>
        </w:rPr>
        <w:t>na nerovnomerné čerpanie zdrojov EÚ v priebehu programovacieho obdobia</w:t>
      </w:r>
      <w:r w:rsidR="00FC0083">
        <w:rPr>
          <w:rFonts w:eastAsia="Arial Narrow" w:cs="Arial Narrow"/>
          <w:szCs w:val="22"/>
        </w:rPr>
        <w:t xml:space="preserve">. Je zrejmé, že v jeho prvých rokoch sa čerpanie skôr pripravuje, ale jeho hlavná časť nemôže byť presunutá do jeho záverečných častí. Takýto spôsob príliš zaťažuje ŠR i rozpočty samospráv na konci obdobia; prináša celý rad iných problémov vyplývajúcich z nedostatočnej prípravy na dané programové obdobie a jeho jednotlivé programy. Snehová guľa, ktorú ministerstvá pred sebou tlačia v podobe nevyčerpaných prostriedkov z fondov EÚ (vrátane spolufinancovania) z minulých rokov, sa v roku 2019 pomaly zmenšovala. </w:t>
      </w:r>
      <w:r w:rsidR="00FC0083">
        <w:rPr>
          <w:rFonts w:eastAsia="Arial Narrow" w:cs="Arial Narrow"/>
          <w:b/>
          <w:szCs w:val="22"/>
        </w:rPr>
        <w:t>Kým v úvode roka 2019 presunulo 8 kapitol</w:t>
      </w:r>
      <w:r w:rsidR="00FC0083">
        <w:rPr>
          <w:rFonts w:eastAsia="Arial Narrow" w:cs="Arial Narrow"/>
          <w:szCs w:val="22"/>
        </w:rPr>
        <w:t xml:space="preserve"> (MPRV SR, MDV SR, MŽP SR, MŠVVŠ SR, MPSVR SR, MF SR, MV SR, MH SR) z predchádzajúceho obdobia prostredníctvom rozpočtových opatrení </w:t>
      </w:r>
      <w:r w:rsidR="00FC0083">
        <w:rPr>
          <w:rFonts w:eastAsia="Arial Narrow" w:cs="Arial Narrow"/>
          <w:b/>
          <w:szCs w:val="22"/>
        </w:rPr>
        <w:t>spolu 3,2 mld. eur</w:t>
      </w:r>
      <w:r w:rsidR="00FC0083">
        <w:rPr>
          <w:rFonts w:eastAsia="Arial Narrow" w:cs="Arial Narrow"/>
          <w:szCs w:val="22"/>
        </w:rPr>
        <w:t xml:space="preserve"> týchto prostriedkov, </w:t>
      </w:r>
      <w:r w:rsidR="00FC0083">
        <w:rPr>
          <w:rFonts w:eastAsia="Arial Narrow" w:cs="Arial Narrow"/>
          <w:b/>
          <w:szCs w:val="22"/>
        </w:rPr>
        <w:t>v závere roka predstavoval tento presun do ďalšieho obdobia 2,7 mld. eur</w:t>
      </w:r>
      <w:r w:rsidR="00FC0083">
        <w:rPr>
          <w:rFonts w:eastAsia="Arial Narrow" w:cs="Arial Narrow"/>
          <w:b/>
          <w:color w:val="0070C0"/>
          <w:szCs w:val="22"/>
        </w:rPr>
        <w:t>.</w:t>
      </w:r>
      <w:r w:rsidR="00FC0083">
        <w:rPr>
          <w:rFonts w:eastAsia="Arial Narrow" w:cs="Arial Narrow"/>
          <w:szCs w:val="22"/>
        </w:rPr>
        <w:t xml:space="preserve"> V porovnaní s rokom 2018, kedy sa presúvalo rekordné množstvo eurofondov – 4 mld. eur, tak možno konštatovať, že došlo k zlepšeniu čerpania. Nelichotivé prvenstvo v tejto oblasti obsadil </w:t>
      </w:r>
      <w:r w:rsidR="00FC0083">
        <w:rPr>
          <w:rFonts w:eastAsia="Arial Narrow" w:cs="Arial Narrow"/>
          <w:b/>
          <w:szCs w:val="22"/>
        </w:rPr>
        <w:t>rezort pôdohospodárstva, ktorý presúval začiatkom roka 2019 do rozpočtu viac ako 1,1 mld. eur prostriedkov z fondov EÚ.</w:t>
      </w:r>
      <w:r w:rsidR="00FC0083">
        <w:rPr>
          <w:rFonts w:eastAsia="Arial Narrow" w:cs="Arial Narrow"/>
          <w:szCs w:val="22"/>
        </w:rPr>
        <w:t xml:space="preserve"> Počas roka sa čerpanie výrazne nenaštartovalo a v závere roka tak kapitola presunula 1 mld. eur do ďalšieho obdobia.</w:t>
      </w:r>
    </w:p>
    <w:p w14:paraId="512FCF64" w14:textId="59452941" w:rsidR="00FC0083" w:rsidRDefault="00FC0083" w:rsidP="00CA4572">
      <w:pPr>
        <w:spacing w:before="120" w:after="120"/>
        <w:jc w:val="both"/>
        <w:rPr>
          <w:rFonts w:eastAsia="Arial Narrow" w:cs="Arial Narrow"/>
        </w:rPr>
      </w:pPr>
      <w:r>
        <w:rPr>
          <w:rFonts w:eastAsia="Arial Narrow" w:cs="Arial Narrow"/>
        </w:rPr>
        <w:t xml:space="preserve">Medzi ďalšie významné rozpočtové opatrenia patrili </w:t>
      </w:r>
      <w:r w:rsidR="00F21427">
        <w:rPr>
          <w:rFonts w:eastAsia="Arial Narrow" w:cs="Arial Narrow"/>
        </w:rPr>
        <w:t>tie</w:t>
      </w:r>
      <w:r>
        <w:rPr>
          <w:rFonts w:eastAsia="Arial Narrow" w:cs="Arial Narrow"/>
        </w:rPr>
        <w:t xml:space="preserve">, ktoré sa  týkali najmä navýšenia </w:t>
      </w:r>
      <w:r>
        <w:rPr>
          <w:rFonts w:eastAsia="Arial Narrow" w:cs="Arial Narrow"/>
          <w:b/>
        </w:rPr>
        <w:t>výdavkov na mzdy v štátnej a verejnej správe z kapitoly VPS.</w:t>
      </w:r>
      <w:r>
        <w:rPr>
          <w:rFonts w:eastAsia="Arial Narrow" w:cs="Arial Narrow"/>
        </w:rPr>
        <w:t xml:space="preserve"> Dôvodom týchto presunov bolo nezahrnutie navýšenia do rozpočtov kapitol na rok 2019, čo vo svojom stanovisku k návrhu ŠR na rok 2019 kritizoval aj NKÚ SR. </w:t>
      </w:r>
      <w:r>
        <w:rPr>
          <w:rFonts w:eastAsia="Arial Narrow" w:cs="Arial Narrow"/>
          <w:b/>
        </w:rPr>
        <w:t>Z</w:t>
      </w:r>
      <w:r w:rsidR="001E39B6">
        <w:rPr>
          <w:rFonts w:eastAsia="Arial Narrow" w:cs="Arial Narrow"/>
          <w:b/>
        </w:rPr>
        <w:t xml:space="preserve">nižuje to tak transparentnosť </w:t>
      </w:r>
      <w:r>
        <w:rPr>
          <w:rFonts w:eastAsia="Arial Narrow" w:cs="Arial Narrow"/>
          <w:b/>
        </w:rPr>
        <w:t>rozpočtu, pretože tieto plánované výdavky mali byť súčasťou rozpočtu jednotlivých kapitol a nie kapitoly VPS.</w:t>
      </w:r>
    </w:p>
    <w:p w14:paraId="0484F263" w14:textId="1C4BEF6E" w:rsidR="007F64A0" w:rsidRDefault="00733B45" w:rsidP="00CA4572">
      <w:pPr>
        <w:spacing w:before="120" w:after="120"/>
        <w:jc w:val="both"/>
      </w:pPr>
      <w:r w:rsidRPr="00F958A4">
        <w:rPr>
          <w:b/>
          <w:spacing w:val="1"/>
        </w:rPr>
        <w:lastRenderedPageBreak/>
        <w:t xml:space="preserve">Programové rozpočtovanie </w:t>
      </w:r>
      <w:r w:rsidRPr="00F958A4">
        <w:rPr>
          <w:spacing w:val="1"/>
        </w:rPr>
        <w:t xml:space="preserve">bolo zavedené v roku 2004 </w:t>
      </w:r>
      <w:r w:rsidRPr="00F958A4">
        <w:rPr>
          <w:bCs/>
          <w:spacing w:val="1"/>
        </w:rPr>
        <w:t xml:space="preserve">v rámci reformy riadenia verejných financií. </w:t>
      </w:r>
      <w:r w:rsidRPr="00F958A4">
        <w:rPr>
          <w:spacing w:val="1"/>
        </w:rPr>
        <w:t xml:space="preserve">Do programov sa rozdelili výdavky ŠR aj územnej samosprávy. Merateľné ukazovatele priradené k programom boli však len formálne, nehovorili o výsledkoch a poskytovali minimálnu pridanú hodnotu pri rozhodovaní. </w:t>
      </w:r>
      <w:r w:rsidR="00360C35">
        <w:rPr>
          <w:spacing w:val="1"/>
        </w:rPr>
        <w:t>S</w:t>
      </w:r>
      <w:r w:rsidRPr="00F958A4">
        <w:rPr>
          <w:spacing w:val="1"/>
        </w:rPr>
        <w:t xml:space="preserve">íce </w:t>
      </w:r>
      <w:r w:rsidR="00A76DAD" w:rsidRPr="00F958A4">
        <w:rPr>
          <w:spacing w:val="1"/>
        </w:rPr>
        <w:t xml:space="preserve">sa </w:t>
      </w:r>
      <w:r w:rsidRPr="00F958A4">
        <w:rPr>
          <w:spacing w:val="1"/>
        </w:rPr>
        <w:t>vie</w:t>
      </w:r>
      <w:r w:rsidR="00A76DAD" w:rsidRPr="00F958A4">
        <w:rPr>
          <w:spacing w:val="1"/>
        </w:rPr>
        <w:t>,</w:t>
      </w:r>
      <w:r w:rsidRPr="00F958A4">
        <w:rPr>
          <w:spacing w:val="1"/>
        </w:rPr>
        <w:t xml:space="preserve"> kam výdavky smerujú, ale nemožno posúdiť hospodárnosť, efektívnosť a účinnosť ich použitia. </w:t>
      </w:r>
      <w:r w:rsidR="007F64A0" w:rsidRPr="00F958A4">
        <w:rPr>
          <w:spacing w:val="1"/>
        </w:rPr>
        <w:t>Uvedené potvrdzujú aj kontrolné zistenia na MV SR</w:t>
      </w:r>
      <w:r w:rsidR="00A76DAD" w:rsidRPr="00F958A4">
        <w:rPr>
          <w:spacing w:val="1"/>
        </w:rPr>
        <w:t>, kde</w:t>
      </w:r>
      <w:r w:rsidR="007F64A0" w:rsidRPr="00F958A4">
        <w:rPr>
          <w:spacing w:val="1"/>
        </w:rPr>
        <w:t xml:space="preserve"> bolo zistené, že z 23 </w:t>
      </w:r>
      <w:r w:rsidR="00FC0083" w:rsidRPr="00F958A4">
        <w:t>merateľných ukazovateľov boli ib</w:t>
      </w:r>
      <w:r w:rsidR="007F64A0" w:rsidRPr="00F958A4">
        <w:t>a 4 </w:t>
      </w:r>
      <w:r w:rsidR="00FC0083" w:rsidRPr="00F958A4">
        <w:t>výsledkové</w:t>
      </w:r>
      <w:r w:rsidR="00F21427">
        <w:t>,</w:t>
      </w:r>
      <w:r w:rsidR="00FC0083" w:rsidRPr="00F958A4">
        <w:t> 19 merat</w:t>
      </w:r>
      <w:r w:rsidR="007F64A0" w:rsidRPr="00F958A4">
        <w:t>eľných ukazovateľov výstupových</w:t>
      </w:r>
      <w:r w:rsidR="00F21427">
        <w:t xml:space="preserve"> a</w:t>
      </w:r>
      <w:r w:rsidR="007F64A0" w:rsidRPr="00F958A4">
        <w:t xml:space="preserve"> </w:t>
      </w:r>
      <w:r w:rsidR="00F21427">
        <w:t>n</w:t>
      </w:r>
      <w:r w:rsidR="00FC0083" w:rsidRPr="00F958A4">
        <w:t>ebol stanovený žiadny merateľný ukazovateľ efektívnosti.</w:t>
      </w:r>
      <w:r w:rsidR="007F64A0" w:rsidRPr="00F958A4">
        <w:t xml:space="preserve"> Túto skutočnosť potvrdzujú aj zistenia v kapitole MDV SR, kde bolo c</w:t>
      </w:r>
      <w:r w:rsidR="007F64A0" w:rsidRPr="00F958A4">
        <w:rPr>
          <w:rFonts w:eastAsia="Calibri" w:cs="Times New Roman"/>
        </w:rPr>
        <w:t>elkovo po</w:t>
      </w:r>
      <w:r w:rsidR="00303737" w:rsidRPr="00F958A4">
        <w:rPr>
          <w:rFonts w:eastAsia="Calibri" w:cs="Times New Roman"/>
        </w:rPr>
        <w:t xml:space="preserve">súdených 13 cieľov, z toho </w:t>
      </w:r>
      <w:r w:rsidR="00B42819">
        <w:rPr>
          <w:rFonts w:eastAsia="Calibri" w:cs="Times New Roman"/>
        </w:rPr>
        <w:t>pri</w:t>
      </w:r>
      <w:r w:rsidR="00303737" w:rsidRPr="00F958A4">
        <w:rPr>
          <w:rFonts w:eastAsia="Calibri" w:cs="Times New Roman"/>
        </w:rPr>
        <w:t xml:space="preserve"> 7 </w:t>
      </w:r>
      <w:r w:rsidR="007F64A0" w:rsidRPr="00F958A4">
        <w:rPr>
          <w:rFonts w:eastAsia="Calibri" w:cs="Times New Roman"/>
        </w:rPr>
        <w:t xml:space="preserve">boli plány splnené, </w:t>
      </w:r>
      <w:r w:rsidR="00B42819">
        <w:rPr>
          <w:rFonts w:eastAsia="Calibri" w:cs="Times New Roman"/>
        </w:rPr>
        <w:t>pri</w:t>
      </w:r>
      <w:r w:rsidR="007F64A0" w:rsidRPr="00F958A4">
        <w:rPr>
          <w:rFonts w:eastAsia="Calibri" w:cs="Times New Roman"/>
        </w:rPr>
        <w:t xml:space="preserve"> 2 nesplnené a v 4 prípadoch sa v roku 2019 nedali zhodnotiť. Dôležité v tomto prípade však nie sú ani tak počty splnených a nesplnených plánov, ale skôr ich nastavenie. Mnohé sú už pri plánovaní poddimenzované a je preto veľmi jednoduché ich naplniť. Príkladom je prvok v rámci cestnej siete, kde bol plán na rok 2019 odovzdať 1 km nových a zrekonštruovaných ciest I. triedy, alebo v prípade modernizácie a rozvoja železničnej dopravnej cesty podporiť iba 1 projekt. Je evidentné, že naplnenie takého plánu je potom veľmi jednoduché. Takto neambiciózne nastavené plány </w:t>
      </w:r>
      <w:r w:rsidR="00B42819">
        <w:rPr>
          <w:rFonts w:eastAsia="Calibri" w:cs="Times New Roman"/>
        </w:rPr>
        <w:t>mnoho</w:t>
      </w:r>
      <w:r w:rsidR="007F64A0" w:rsidRPr="00F958A4">
        <w:rPr>
          <w:rFonts w:eastAsia="Calibri" w:cs="Times New Roman"/>
        </w:rPr>
        <w:t xml:space="preserve">krát neodrážajú realitu, ktorá najmä v prípade kvality ciest I. triedy alebo železničnej cesty podľa dostupných údajov nie je v uspokojivom stave. </w:t>
      </w:r>
      <w:r w:rsidR="007F64A0" w:rsidRPr="00F958A4">
        <w:t xml:space="preserve">Druhý extrém sú nadhodnotené plány, ktoré neodrážajú finančné ani časové možnosti MDV SR a jeho podriadených organizácií. </w:t>
      </w:r>
      <w:r w:rsidR="007F64A0" w:rsidRPr="00F958A4">
        <w:rPr>
          <w:b/>
        </w:rPr>
        <w:t>NKÚ SR konštatuje, že takto nastavené merateľné ukazovatele a plány neposkytujú komplexný a efekt</w:t>
      </w:r>
      <w:r w:rsidR="00303737" w:rsidRPr="00F958A4">
        <w:rPr>
          <w:b/>
        </w:rPr>
        <w:t>ívny nástroj na monitorovanie a </w:t>
      </w:r>
      <w:r w:rsidR="007F64A0" w:rsidRPr="00F958A4">
        <w:rPr>
          <w:b/>
        </w:rPr>
        <w:t>hodnotenie kontrolovaných programov.</w:t>
      </w:r>
    </w:p>
    <w:p w14:paraId="75B78E6A" w14:textId="2909B207" w:rsidR="00FC0083" w:rsidRDefault="00733B45" w:rsidP="00CA4572">
      <w:pPr>
        <w:spacing w:before="120" w:after="120"/>
        <w:jc w:val="both"/>
      </w:pPr>
      <w:r w:rsidRPr="00DB5B34">
        <w:rPr>
          <w:rFonts w:cs="Times New Roman"/>
        </w:rPr>
        <w:t>Na krytie nepredvídaných výdavkov</w:t>
      </w:r>
      <w:r w:rsidR="00B42819">
        <w:rPr>
          <w:rFonts w:cs="Times New Roman"/>
        </w:rPr>
        <w:t>,</w:t>
      </w:r>
      <w:r w:rsidRPr="00DB5B34">
        <w:rPr>
          <w:rFonts w:cs="Times New Roman"/>
        </w:rPr>
        <w:t xml:space="preserve"> nevyhnutných na zabezpečenie rozpočtového hospodárenia alebo na krytie zníženia rozpočtovaných príjmov</w:t>
      </w:r>
      <w:r w:rsidR="00B42819">
        <w:rPr>
          <w:rFonts w:cs="Times New Roman"/>
        </w:rPr>
        <w:t>,</w:t>
      </w:r>
      <w:r w:rsidRPr="00DB5B34">
        <w:rPr>
          <w:rFonts w:cs="Times New Roman"/>
        </w:rPr>
        <w:t xml:space="preserve"> sa vytvárajú v </w:t>
      </w:r>
      <w:r>
        <w:rPr>
          <w:rFonts w:cs="Times New Roman"/>
        </w:rPr>
        <w:t>ŠR</w:t>
      </w:r>
      <w:r w:rsidRPr="00DB5B34">
        <w:rPr>
          <w:rFonts w:cs="Times New Roman"/>
        </w:rPr>
        <w:t xml:space="preserve"> zákonné rozpočtové </w:t>
      </w:r>
      <w:r w:rsidRPr="003E5EA4">
        <w:rPr>
          <w:rFonts w:cs="Times New Roman"/>
          <w:b/>
        </w:rPr>
        <w:t>rezervy</w:t>
      </w:r>
      <w:r w:rsidRPr="00DB5B34">
        <w:rPr>
          <w:rFonts w:cs="Times New Roman"/>
        </w:rPr>
        <w:t>, ktoré tvorí najmä rozpočtová rezerva vlády, rozpočtová rezerva predsedu vlády (rozpočtovaná na ÚV SR) a rezerva na prostriedky EÚ a odvody EÚ.</w:t>
      </w:r>
      <w:r>
        <w:rPr>
          <w:rFonts w:cs="Times New Roman"/>
        </w:rPr>
        <w:t xml:space="preserve"> V</w:t>
      </w:r>
      <w:r w:rsidR="00FC0083">
        <w:rPr>
          <w:rFonts w:cs="Times New Roman"/>
        </w:rPr>
        <w:t> roku 2019</w:t>
      </w:r>
      <w:r>
        <w:rPr>
          <w:rFonts w:cs="Times New Roman"/>
        </w:rPr>
        <w:t xml:space="preserve"> boli </w:t>
      </w:r>
      <w:r w:rsidR="00FC0083">
        <w:rPr>
          <w:rFonts w:cs="Times New Roman"/>
        </w:rPr>
        <w:t xml:space="preserve">zákonné </w:t>
      </w:r>
      <w:r>
        <w:rPr>
          <w:rFonts w:cs="Times New Roman"/>
        </w:rPr>
        <w:t xml:space="preserve">rezervy v ŠR rozpočtované vo výške </w:t>
      </w:r>
      <w:r w:rsidR="00FC0083">
        <w:rPr>
          <w:rFonts w:cs="Times New Roman"/>
        </w:rPr>
        <w:t>225 266</w:t>
      </w:r>
      <w:r>
        <w:rPr>
          <w:rFonts w:cs="Times New Roman"/>
        </w:rPr>
        <w:t xml:space="preserve"> tis. eur</w:t>
      </w:r>
      <w:r w:rsidR="00FC0083">
        <w:rPr>
          <w:rFonts w:cs="Times New Roman"/>
        </w:rPr>
        <w:t>.</w:t>
      </w:r>
      <w:r w:rsidR="00A76DAD">
        <w:rPr>
          <w:rFonts w:cs="Times New Roman"/>
        </w:rPr>
        <w:t xml:space="preserve"> </w:t>
      </w:r>
      <w:r w:rsidR="00FC0083" w:rsidRPr="00030172">
        <w:t xml:space="preserve">Z </w:t>
      </w:r>
      <w:r w:rsidR="00FC0083" w:rsidRPr="00FC0083">
        <w:rPr>
          <w:b/>
        </w:rPr>
        <w:t>rezervy vlády</w:t>
      </w:r>
      <w:r w:rsidR="00FC0083" w:rsidRPr="00030172">
        <w:t xml:space="preserve"> bola uvoľnená celková suma 5 083 tis. eur prost</w:t>
      </w:r>
      <w:r w:rsidR="00FC0083">
        <w:t xml:space="preserve">redníctvom platobných príkazov najmä na </w:t>
      </w:r>
      <w:r w:rsidR="00FC0083" w:rsidRPr="00030172">
        <w:t>rôzne rekonštrukc</w:t>
      </w:r>
      <w:r w:rsidR="00FC0083">
        <w:t>ie, obstaranie materiálu, úpravu okolia, modernizácie a obnovu infraštruktúry.</w:t>
      </w:r>
    </w:p>
    <w:p w14:paraId="1DDF67C7" w14:textId="315AB714" w:rsidR="00FC0083" w:rsidRDefault="00FC0083" w:rsidP="00CA4572">
      <w:pPr>
        <w:spacing w:before="120" w:after="120"/>
        <w:jc w:val="both"/>
      </w:pPr>
      <w:r w:rsidRPr="00030172">
        <w:t xml:space="preserve">Schválený rozpočet </w:t>
      </w:r>
      <w:r w:rsidRPr="00FC0083">
        <w:rPr>
          <w:b/>
        </w:rPr>
        <w:t>rezervy predsedu vlády</w:t>
      </w:r>
      <w:r>
        <w:t xml:space="preserve"> </w:t>
      </w:r>
      <w:r w:rsidRPr="00030172">
        <w:t xml:space="preserve"> v sume 1 500 tis. eur bol </w:t>
      </w:r>
      <w:r>
        <w:t xml:space="preserve">rozpočtovými opatreniami </w:t>
      </w:r>
      <w:r w:rsidRPr="00030172">
        <w:t>zvýšený na 3 360 tis. eur. Celkovo sa príjemcom, ktorými boli najmä obce a mestá, občianske združenia, neziskové</w:t>
      </w:r>
      <w:r>
        <w:t xml:space="preserve"> </w:t>
      </w:r>
      <w:r w:rsidRPr="00030172">
        <w:t>organizácie, cirkev a náboženské organizácie, poskytlo 3 360 tis. eur</w:t>
      </w:r>
      <w:r>
        <w:t xml:space="preserve">. </w:t>
      </w:r>
      <w:r w:rsidRPr="00030172">
        <w:t>Dotácie boli účelovo určené predovšetkým na opravy</w:t>
      </w:r>
      <w:r w:rsidR="00972E9A">
        <w:t>,</w:t>
      </w:r>
      <w:r w:rsidRPr="00030172">
        <w:t xml:space="preserve"> údržbu</w:t>
      </w:r>
      <w:r w:rsidR="00972E9A">
        <w:t>, reko</w:t>
      </w:r>
      <w:r w:rsidRPr="00030172">
        <w:t>nštrukcie a</w:t>
      </w:r>
      <w:r w:rsidR="00972E9A">
        <w:t>lebo</w:t>
      </w:r>
      <w:r w:rsidRPr="00030172">
        <w:t xml:space="preserve"> dobudovanie nehnuteľného majetku prijímateľov, na obstaranie hnuteľných vecí, na činnosť prijímateľov, na športové a kultúrne podujatia</w:t>
      </w:r>
      <w:r w:rsidR="00972E9A">
        <w:t>.</w:t>
      </w:r>
    </w:p>
    <w:p w14:paraId="1E9D0D18" w14:textId="77777777" w:rsidR="00FC0083" w:rsidRDefault="00FC0083" w:rsidP="00CA4572">
      <w:pPr>
        <w:spacing w:before="120" w:after="120"/>
        <w:jc w:val="both"/>
      </w:pPr>
      <w:r w:rsidRPr="00FC0083">
        <w:rPr>
          <w:b/>
        </w:rPr>
        <w:t>Rezerva na prostriedky EÚ a odvody EÚ</w:t>
      </w:r>
      <w:r w:rsidRPr="00030172">
        <w:t xml:space="preserve"> bola rozpočtovaná na rok 2019 v sume 218 766 tis. eur. Uvedená rezerva sa vytvorila na zabezpečenie plynulého financovania spoločných programov S</w:t>
      </w:r>
      <w:r>
        <w:t xml:space="preserve">R </w:t>
      </w:r>
      <w:r w:rsidRPr="00030172">
        <w:t>a E</w:t>
      </w:r>
      <w:r>
        <w:t>Ú</w:t>
      </w:r>
      <w:r w:rsidRPr="00030172">
        <w:t xml:space="preserve">. V priebehu roka bola rezerva navýšená o prostriedky minulých rokov v sume 49 804 tis eur. Počas roka boli z uvedenej rezervy použité finančné prostriedky v objeme 215 349 tis. eur </w:t>
      </w:r>
      <w:r>
        <w:t xml:space="preserve">na </w:t>
      </w:r>
      <w:r w:rsidRPr="00030172">
        <w:t>rýchlejšiu realizáciu a väčší počet projektov, financovanie spoločných programov a na zefektívnenie systému finančného riadenia fondov EÚ a iných finančných nástrojov. Zostatok rezervy v celkovej sume 50 418 tis. eur</w:t>
      </w:r>
      <w:r>
        <w:t xml:space="preserve"> bol</w:t>
      </w:r>
      <w:r w:rsidRPr="00030172">
        <w:t xml:space="preserve"> v zmysle zákona o rozpočtových pravidlách viazan</w:t>
      </w:r>
      <w:r>
        <w:t>ý s predpokladaným použitím v </w:t>
      </w:r>
      <w:r w:rsidRPr="00030172">
        <w:t xml:space="preserve">nasledujúcich rokoch </w:t>
      </w:r>
    </w:p>
    <w:p w14:paraId="0A0C165B" w14:textId="77777777" w:rsidR="00733B45" w:rsidRPr="00733B45" w:rsidRDefault="00733B45" w:rsidP="00CA4572">
      <w:pPr>
        <w:spacing w:before="120" w:after="120"/>
        <w:jc w:val="both"/>
        <w:rPr>
          <w:b/>
        </w:rPr>
      </w:pPr>
      <w:r w:rsidRPr="00733B45">
        <w:rPr>
          <w:b/>
        </w:rPr>
        <w:t>NKÚ SR opakovane upozorňuje na viaceré problémy spojené s čerpaním rezerv, ktoré môžu byť použité na iné účely v súlade s rozhodnutím vlády alebo ministra financií.</w:t>
      </w:r>
    </w:p>
    <w:p w14:paraId="0CC26339" w14:textId="2DDAA95B" w:rsidR="00165F0C" w:rsidRPr="006E6350" w:rsidRDefault="00165F0C" w:rsidP="007E246F">
      <w:pPr>
        <w:pStyle w:val="Nadpis2"/>
        <w:numPr>
          <w:ilvl w:val="1"/>
          <w:numId w:val="23"/>
        </w:numPr>
      </w:pPr>
      <w:bookmarkStart w:id="37" w:name="_Toc43218072"/>
      <w:r w:rsidRPr="006E6350">
        <w:t xml:space="preserve">Príjmy </w:t>
      </w:r>
      <w:r w:rsidR="007B7098">
        <w:t xml:space="preserve">a výdavky </w:t>
      </w:r>
      <w:r w:rsidRPr="006E6350">
        <w:t>rozpočtových kapitol</w:t>
      </w:r>
      <w:bookmarkEnd w:id="37"/>
    </w:p>
    <w:p w14:paraId="18654419" w14:textId="25B19777" w:rsidR="00733B45" w:rsidRDefault="00733B45" w:rsidP="00CA4572">
      <w:pPr>
        <w:spacing w:before="120" w:after="120"/>
        <w:jc w:val="both"/>
        <w:rPr>
          <w:rFonts w:eastAsia="Calibri" w:cs="Times New Roman"/>
        </w:rPr>
      </w:pPr>
      <w:r w:rsidRPr="00F73725">
        <w:t>Celkové príjmy kap</w:t>
      </w:r>
      <w:r w:rsidR="00083233">
        <w:t>itol dosiahli 15 825 535</w:t>
      </w:r>
      <w:r w:rsidRPr="00F73725">
        <w:t xml:space="preserve"> tis. eur, čo predstavuje </w:t>
      </w:r>
      <w:r w:rsidR="00083233">
        <w:t>nárast v porovnaní s rokom 2018 o 2</w:t>
      </w:r>
      <w:r>
        <w:t xml:space="preserve">,9 % </w:t>
      </w:r>
      <w:r w:rsidR="00CE122D">
        <w:t>(voči</w:t>
      </w:r>
      <w:r>
        <w:t xml:space="preserve"> upraven</w:t>
      </w:r>
      <w:r w:rsidR="00CE122D">
        <w:t>ému</w:t>
      </w:r>
      <w:r>
        <w:t xml:space="preserve"> rozpočt</w:t>
      </w:r>
      <w:r w:rsidR="00CE122D">
        <w:t>u</w:t>
      </w:r>
      <w:r w:rsidRPr="00F73725">
        <w:t xml:space="preserve"> </w:t>
      </w:r>
      <w:r w:rsidR="00083233">
        <w:t>pokles o 0,7</w:t>
      </w:r>
      <w:r w:rsidRPr="00F73725">
        <w:t xml:space="preserve"> %</w:t>
      </w:r>
      <w:r w:rsidR="00CE122D">
        <w:t>)</w:t>
      </w:r>
      <w:r w:rsidRPr="00F73725">
        <w:t xml:space="preserve">. </w:t>
      </w:r>
      <w:r w:rsidR="00CE122D">
        <w:t>N</w:t>
      </w:r>
      <w:r w:rsidR="00CE122D" w:rsidRPr="00F73725">
        <w:t xml:space="preserve">a raste príjmov sa najviac podieľala VPS (o </w:t>
      </w:r>
      <w:r w:rsidR="00CE122D">
        <w:t>490 732 tis. eur</w:t>
      </w:r>
      <w:r w:rsidR="00CE122D" w:rsidRPr="00F73725">
        <w:t>) a</w:t>
      </w:r>
      <w:r w:rsidR="00CE122D">
        <w:t> </w:t>
      </w:r>
      <w:r w:rsidR="00CE122D" w:rsidRPr="00F73725">
        <w:t>M</w:t>
      </w:r>
      <w:r w:rsidR="00CE122D">
        <w:t xml:space="preserve">PRV </w:t>
      </w:r>
      <w:r w:rsidR="00CE122D" w:rsidRPr="00F73725">
        <w:t>SR (o </w:t>
      </w:r>
      <w:r w:rsidR="00CE122D">
        <w:t xml:space="preserve">102 682 tis. </w:t>
      </w:r>
      <w:r w:rsidR="00CE122D" w:rsidRPr="00F73725">
        <w:t xml:space="preserve">eur). </w:t>
      </w:r>
      <w:r w:rsidR="00CE122D">
        <w:t>Naopak, n</w:t>
      </w:r>
      <w:r w:rsidRPr="00F73725">
        <w:t xml:space="preserve">ajväčší </w:t>
      </w:r>
      <w:r>
        <w:t xml:space="preserve">medziročný </w:t>
      </w:r>
      <w:r w:rsidRPr="00F73725">
        <w:t>pokles zaznamenalo M</w:t>
      </w:r>
      <w:r w:rsidR="00083233">
        <w:t>DV SR</w:t>
      </w:r>
      <w:r w:rsidRPr="00F73725">
        <w:t>, kde príjmy klesli o</w:t>
      </w:r>
      <w:r w:rsidR="00083233">
        <w:t> 130 724</w:t>
      </w:r>
      <w:r>
        <w:t xml:space="preserve"> tis. eur, </w:t>
      </w:r>
      <w:r w:rsidR="00083233">
        <w:t>MF SR o 104 730</w:t>
      </w:r>
      <w:r>
        <w:t xml:space="preserve"> tis. eur a</w:t>
      </w:r>
      <w:r w:rsidR="00083233">
        <w:t> </w:t>
      </w:r>
      <w:r>
        <w:t>S</w:t>
      </w:r>
      <w:r w:rsidR="00083233">
        <w:t>ŠHR</w:t>
      </w:r>
      <w:r>
        <w:t xml:space="preserve"> o</w:t>
      </w:r>
      <w:r w:rsidR="00083233">
        <w:t> 3 344</w:t>
      </w:r>
      <w:r>
        <w:t xml:space="preserve"> tis. eur.</w:t>
      </w:r>
      <w:r w:rsidRPr="00F73725">
        <w:t xml:space="preserve"> </w:t>
      </w:r>
      <w:r w:rsidRPr="00FE4345">
        <w:rPr>
          <w:rFonts w:eastAsia="Calibri" w:cs="Times New Roman"/>
        </w:rPr>
        <w:t xml:space="preserve">Porovnanie príjmov podľa kapitol ŠR </w:t>
      </w:r>
      <w:r w:rsidR="00083233">
        <w:rPr>
          <w:rFonts w:eastAsia="Calibri" w:cs="Times New Roman"/>
        </w:rPr>
        <w:t>na hotovostnej báze za roky 2018 a 2019</w:t>
      </w:r>
      <w:r>
        <w:rPr>
          <w:rFonts w:eastAsia="Calibri" w:cs="Times New Roman"/>
        </w:rPr>
        <w:t xml:space="preserve"> obsahuje Tabuľka </w:t>
      </w:r>
      <w:r w:rsidR="006314F6">
        <w:rPr>
          <w:rFonts w:eastAsia="Calibri" w:cs="Times New Roman"/>
        </w:rPr>
        <w:t>7</w:t>
      </w:r>
      <w:r>
        <w:rPr>
          <w:rFonts w:eastAsia="Calibri" w:cs="Times New Roman"/>
        </w:rPr>
        <w:t xml:space="preserve"> v </w:t>
      </w:r>
      <w:r w:rsidR="00A76DAD">
        <w:rPr>
          <w:rFonts w:eastAsia="Calibri" w:cs="Times New Roman"/>
        </w:rPr>
        <w:t>P</w:t>
      </w:r>
      <w:r>
        <w:rPr>
          <w:rFonts w:eastAsia="Calibri" w:cs="Times New Roman"/>
        </w:rPr>
        <w:t>rílohe.</w:t>
      </w:r>
    </w:p>
    <w:p w14:paraId="7FF22402" w14:textId="64EC9631" w:rsidR="00083233" w:rsidRDefault="00083233" w:rsidP="00CA4572">
      <w:pPr>
        <w:pStyle w:val="Bezriadkovania"/>
        <w:spacing w:before="120" w:after="120"/>
        <w:jc w:val="both"/>
        <w:rPr>
          <w:rFonts w:eastAsia="Calibri"/>
        </w:rPr>
      </w:pPr>
      <w:r w:rsidRPr="00B475AF">
        <w:t>Celkové výdavky kapit</w:t>
      </w:r>
      <w:r>
        <w:t xml:space="preserve">ol </w:t>
      </w:r>
      <w:r w:rsidR="006314F6">
        <w:t>ŠR</w:t>
      </w:r>
      <w:r>
        <w:t xml:space="preserve"> dosiahli 18 027 016</w:t>
      </w:r>
      <w:r w:rsidRPr="00B475AF">
        <w:t xml:space="preserve"> tis. eur, čo predstavuje </w:t>
      </w:r>
      <w:r>
        <w:t>nárast v porovnaní s rokom 2018 o 8</w:t>
      </w:r>
      <w:r w:rsidRPr="00B475AF">
        <w:t>,</w:t>
      </w:r>
      <w:r>
        <w:t>8</w:t>
      </w:r>
      <w:r w:rsidRPr="00B475AF">
        <w:t xml:space="preserve"> % </w:t>
      </w:r>
      <w:r w:rsidR="00CE122D">
        <w:t>(oproti</w:t>
      </w:r>
      <w:r w:rsidRPr="00B475AF">
        <w:t xml:space="preserve"> </w:t>
      </w:r>
      <w:r>
        <w:t>upraven</w:t>
      </w:r>
      <w:r w:rsidR="00CE122D">
        <w:t>ému</w:t>
      </w:r>
      <w:r>
        <w:t xml:space="preserve"> rozpočt</w:t>
      </w:r>
      <w:r w:rsidR="00CE122D">
        <w:t>u</w:t>
      </w:r>
      <w:r>
        <w:t xml:space="preserve"> pokles o 1,2 %</w:t>
      </w:r>
      <w:r w:rsidR="00CE122D">
        <w:t>)</w:t>
      </w:r>
      <w:r>
        <w:t>. V roku 2019</w:t>
      </w:r>
      <w:r w:rsidRPr="00B475AF">
        <w:t xml:space="preserve"> malo najvyššie skutočné </w:t>
      </w:r>
      <w:r>
        <w:t>výdavky MV SR vo výške 2 978 726</w:t>
      </w:r>
      <w:r w:rsidRPr="00B475AF">
        <w:t xml:space="preserve"> tis. eur, čo predstavuje </w:t>
      </w:r>
      <w:r>
        <w:t>nárast</w:t>
      </w:r>
      <w:r w:rsidRPr="00B475AF">
        <w:t xml:space="preserve"> </w:t>
      </w:r>
      <w:r>
        <w:t>v porovnaní s predchádzajúcim obdobím</w:t>
      </w:r>
      <w:r w:rsidRPr="00B475AF">
        <w:t xml:space="preserve"> o</w:t>
      </w:r>
      <w:r>
        <w:t> 9,4</w:t>
      </w:r>
      <w:r w:rsidRPr="00B475AF">
        <w:t xml:space="preserve"> %. </w:t>
      </w:r>
      <w:r w:rsidR="003022B3" w:rsidRPr="00B475AF">
        <w:t>Na raste výdavkov sa najviac podieľalo M</w:t>
      </w:r>
      <w:r w:rsidR="003022B3">
        <w:t xml:space="preserve">O </w:t>
      </w:r>
      <w:r w:rsidR="003022B3" w:rsidRPr="00B475AF">
        <w:t xml:space="preserve">SR (o </w:t>
      </w:r>
      <w:r w:rsidR="003022B3">
        <w:t>510 887</w:t>
      </w:r>
      <w:r w:rsidR="003022B3" w:rsidRPr="00B475AF">
        <w:t xml:space="preserve"> tis. eur) a</w:t>
      </w:r>
      <w:r w:rsidR="003022B3">
        <w:t> </w:t>
      </w:r>
      <w:r w:rsidR="003022B3" w:rsidRPr="00B475AF">
        <w:t>M</w:t>
      </w:r>
      <w:r w:rsidR="003022B3">
        <w:t xml:space="preserve">PSVR </w:t>
      </w:r>
      <w:r w:rsidR="003022B3" w:rsidRPr="00B475AF">
        <w:t>SR (o </w:t>
      </w:r>
      <w:r w:rsidR="003022B3">
        <w:t>321 266 tis. </w:t>
      </w:r>
      <w:r w:rsidR="003022B3" w:rsidRPr="00B475AF">
        <w:t>eur).</w:t>
      </w:r>
      <w:r w:rsidR="003022B3">
        <w:t xml:space="preserve"> </w:t>
      </w:r>
      <w:r w:rsidRPr="00B475AF">
        <w:t>Na</w:t>
      </w:r>
      <w:r w:rsidR="003022B3">
        <w:t>opak, naj</w:t>
      </w:r>
      <w:r w:rsidRPr="00B475AF">
        <w:t>väčší absolútny medziročný pokles z</w:t>
      </w:r>
      <w:r>
        <w:t>aznamenal</w:t>
      </w:r>
      <w:r w:rsidR="00CE122D">
        <w:t>o</w:t>
      </w:r>
      <w:r w:rsidRPr="00B475AF">
        <w:t xml:space="preserve"> </w:t>
      </w:r>
      <w:r>
        <w:t>MDV SR</w:t>
      </w:r>
      <w:r w:rsidRPr="00B475AF">
        <w:t>, kde výdavky klesli o</w:t>
      </w:r>
      <w:r>
        <w:t> 298 706 tis. eur a VPS o 152 680</w:t>
      </w:r>
      <w:r w:rsidRPr="00B475AF">
        <w:t xml:space="preserve"> tis. eur. </w:t>
      </w:r>
      <w:r w:rsidRPr="00FE4345">
        <w:rPr>
          <w:rFonts w:eastAsia="Calibri"/>
        </w:rPr>
        <w:t xml:space="preserve">Porovnanie výdavkov podľa kapitol ŠR </w:t>
      </w:r>
      <w:r>
        <w:rPr>
          <w:rFonts w:eastAsia="Calibri"/>
        </w:rPr>
        <w:t>na hotovostnej báze za roky 201</w:t>
      </w:r>
      <w:r w:rsidR="006314F6">
        <w:rPr>
          <w:rFonts w:eastAsia="Calibri"/>
        </w:rPr>
        <w:t>8 a 2019</w:t>
      </w:r>
      <w:r>
        <w:rPr>
          <w:rFonts w:eastAsia="Calibri"/>
        </w:rPr>
        <w:t xml:space="preserve"> obsahuje Tabuľka </w:t>
      </w:r>
      <w:r w:rsidR="006314F6">
        <w:rPr>
          <w:rFonts w:eastAsia="Calibri"/>
        </w:rPr>
        <w:t>8</w:t>
      </w:r>
      <w:r>
        <w:rPr>
          <w:rFonts w:eastAsia="Calibri"/>
        </w:rPr>
        <w:t xml:space="preserve"> v </w:t>
      </w:r>
      <w:r w:rsidR="006314F6">
        <w:rPr>
          <w:rFonts w:eastAsia="Calibri"/>
        </w:rPr>
        <w:t>P</w:t>
      </w:r>
      <w:r>
        <w:rPr>
          <w:rFonts w:eastAsia="Calibri"/>
        </w:rPr>
        <w:t>rílohe.</w:t>
      </w:r>
    </w:p>
    <w:p w14:paraId="075C5206" w14:textId="3660C246" w:rsidR="0007154E" w:rsidRPr="00A554DF" w:rsidRDefault="0007154E" w:rsidP="007E246F">
      <w:pPr>
        <w:pStyle w:val="Nadpis1"/>
        <w:numPr>
          <w:ilvl w:val="0"/>
          <w:numId w:val="23"/>
        </w:numPr>
      </w:pPr>
      <w:bookmarkStart w:id="38" w:name="_Toc43218073"/>
      <w:r w:rsidRPr="0002327B">
        <w:lastRenderedPageBreak/>
        <w:t>Stanovis</w:t>
      </w:r>
      <w:r w:rsidR="00580C33" w:rsidRPr="0002327B">
        <w:t>ko</w:t>
      </w:r>
      <w:r w:rsidR="00580C33" w:rsidRPr="00A554DF">
        <w:t xml:space="preserve"> k vybraným </w:t>
      </w:r>
      <w:r w:rsidRPr="00A554DF">
        <w:t>politikám</w:t>
      </w:r>
      <w:r w:rsidR="00580C33" w:rsidRPr="00A554DF">
        <w:t xml:space="preserve"> a kapitolám ŠR</w:t>
      </w:r>
      <w:bookmarkEnd w:id="38"/>
    </w:p>
    <w:p w14:paraId="0FA3979E" w14:textId="34A01D17" w:rsidR="006974F9" w:rsidRDefault="006974F9" w:rsidP="00CA4572">
      <w:pPr>
        <w:pStyle w:val="Zarkazkladnhotextu"/>
        <w:spacing w:before="120"/>
        <w:ind w:left="0"/>
        <w:jc w:val="both"/>
      </w:pPr>
      <w:r>
        <w:t xml:space="preserve">V rámci kontroly </w:t>
      </w:r>
      <w:r w:rsidRPr="006314F6">
        <w:rPr>
          <w:i/>
        </w:rPr>
        <w:t>„Stanovisko k návrhu štátneho záverečného účtu za rok 2019“</w:t>
      </w:r>
      <w:r>
        <w:t xml:space="preserve"> boli vykonané </w:t>
      </w:r>
      <w:r w:rsidR="004573A6">
        <w:t xml:space="preserve">tzv. rýchle </w:t>
      </w:r>
      <w:r>
        <w:t>kontroly v 4 kapitolách ŠR</w:t>
      </w:r>
      <w:r w:rsidR="00F427C9">
        <w:t xml:space="preserve"> – MV SR, MŠVVŠ SR, MZ SR a MD</w:t>
      </w:r>
      <w:r w:rsidR="001630E5">
        <w:t>V</w:t>
      </w:r>
      <w:r w:rsidR="00F427C9">
        <w:t xml:space="preserve"> SR</w:t>
      </w:r>
      <w:r>
        <w:t xml:space="preserve">. </w:t>
      </w:r>
      <w:r w:rsidR="004573A6">
        <w:t>Tie</w:t>
      </w:r>
      <w:r>
        <w:t xml:space="preserve"> boli zamerané na kontrolu úplnosti návrhov ZÚ kapitol, rozpočtového hospodárenia, programovej štruktúry, čerpanie </w:t>
      </w:r>
      <w:r w:rsidR="00B42819">
        <w:t xml:space="preserve">fondov </w:t>
      </w:r>
      <w:r>
        <w:t>EÚ</w:t>
      </w:r>
      <w:r w:rsidR="006314F6">
        <w:t>,</w:t>
      </w:r>
      <w:r>
        <w:t> </w:t>
      </w:r>
      <w:r w:rsidR="00B42819">
        <w:t xml:space="preserve">na </w:t>
      </w:r>
      <w:r>
        <w:t>hodnotenie vývoja vo vybraných oblastiach</w:t>
      </w:r>
      <w:r w:rsidR="006314F6">
        <w:t xml:space="preserve"> a identifikované príklady potenciálneho nehospodárneho nakladania s verejnými zdrojmi</w:t>
      </w:r>
      <w:r>
        <w:t xml:space="preserve">. </w:t>
      </w:r>
    </w:p>
    <w:p w14:paraId="11FC3296" w14:textId="0A6DB92E" w:rsidR="006974F9" w:rsidRDefault="006974F9" w:rsidP="00CA4572">
      <w:pPr>
        <w:spacing w:before="120" w:after="120"/>
        <w:ind w:right="-6"/>
        <w:jc w:val="both"/>
        <w:rPr>
          <w:lang w:eastAsia="cs-CZ"/>
        </w:rPr>
      </w:pPr>
      <w:r w:rsidRPr="00DA43CA">
        <w:rPr>
          <w:lang w:eastAsia="cs-CZ"/>
        </w:rPr>
        <w:t>V nadväznosti na zákon o niektorých mimoriadnych opatreniach vo finančnej oblasti</w:t>
      </w:r>
      <w:r w:rsidR="00B42819">
        <w:rPr>
          <w:lang w:eastAsia="cs-CZ"/>
        </w:rPr>
        <w:t>,</w:t>
      </w:r>
      <w:r w:rsidRPr="00DA43CA">
        <w:rPr>
          <w:lang w:eastAsia="cs-CZ"/>
        </w:rPr>
        <w:t xml:space="preserve"> v súvislosti so šírením </w:t>
      </w:r>
      <w:r w:rsidR="006314F6">
        <w:rPr>
          <w:lang w:eastAsia="cs-CZ"/>
        </w:rPr>
        <w:t>koronavírusu</w:t>
      </w:r>
      <w:r>
        <w:rPr>
          <w:lang w:eastAsia="cs-CZ"/>
        </w:rPr>
        <w:t xml:space="preserve"> COVID-19,</w:t>
      </w:r>
      <w:r w:rsidRPr="00DA43CA">
        <w:rPr>
          <w:lang w:eastAsia="cs-CZ"/>
        </w:rPr>
        <w:t xml:space="preserve"> MF SR pre rok 2019 vydalo novú Smernicu na vypracovanie </w:t>
      </w:r>
      <w:r>
        <w:rPr>
          <w:lang w:eastAsia="cs-CZ"/>
        </w:rPr>
        <w:t xml:space="preserve">ZÚ </w:t>
      </w:r>
      <w:r w:rsidRPr="00DA43CA">
        <w:rPr>
          <w:lang w:eastAsia="cs-CZ"/>
        </w:rPr>
        <w:t xml:space="preserve">kapitoly </w:t>
      </w:r>
      <w:r>
        <w:rPr>
          <w:lang w:eastAsia="cs-CZ"/>
        </w:rPr>
        <w:t xml:space="preserve">ŠR </w:t>
      </w:r>
      <w:r w:rsidRPr="00DA43CA">
        <w:rPr>
          <w:lang w:eastAsia="cs-CZ"/>
        </w:rPr>
        <w:t>a štátneho fondu, kde bol predlžený termín na predloženie ZÚ do 26. júna 2020.</w:t>
      </w:r>
      <w:r>
        <w:t xml:space="preserve"> Z toho dôvodu bol skontrolovaný len ZÚ MV SR, ktorý bol vypracovaný 21.</w:t>
      </w:r>
      <w:r w:rsidR="006314F6">
        <w:t xml:space="preserve"> </w:t>
      </w:r>
      <w:r>
        <w:t>4.</w:t>
      </w:r>
      <w:r w:rsidR="006314F6">
        <w:t xml:space="preserve"> </w:t>
      </w:r>
      <w:r>
        <w:t xml:space="preserve">2020. Nedostatky neboli zistené. Ostatné kapitoly predložili len </w:t>
      </w:r>
      <w:r w:rsidRPr="00DA43CA">
        <w:rPr>
          <w:lang w:eastAsia="cs-CZ"/>
        </w:rPr>
        <w:t xml:space="preserve">čiastkové pracovné </w:t>
      </w:r>
      <w:r>
        <w:rPr>
          <w:lang w:eastAsia="cs-CZ"/>
        </w:rPr>
        <w:t>verzie, ktoré neboli posudzov</w:t>
      </w:r>
      <w:r w:rsidR="00B85CBE">
        <w:rPr>
          <w:lang w:eastAsia="cs-CZ"/>
        </w:rPr>
        <w:t>ané.</w:t>
      </w:r>
    </w:p>
    <w:p w14:paraId="17E2E07C" w14:textId="322EAC25" w:rsidR="006974F9" w:rsidRDefault="006974F9" w:rsidP="00CA4572">
      <w:pPr>
        <w:pStyle w:val="Zarkazkladnhotextu"/>
        <w:spacing w:before="120"/>
        <w:ind w:left="0"/>
        <w:jc w:val="both"/>
      </w:pPr>
      <w:r>
        <w:rPr>
          <w:lang w:eastAsia="cs-CZ"/>
        </w:rPr>
        <w:t xml:space="preserve">V rámci rozpočtového hospodárenia bolo kontrolované plnenie </w:t>
      </w:r>
      <w:r>
        <w:t>záväzných ukazovateľov, vedenie</w:t>
      </w:r>
      <w:r w:rsidRPr="00C23F10">
        <w:t xml:space="preserve"> operatívnej evidencie o rozpočtových opatreniach a ich zákonnosti</w:t>
      </w:r>
      <w:r>
        <w:t xml:space="preserve">, </w:t>
      </w:r>
      <w:r w:rsidRPr="00C23F10">
        <w:t>dodržiavani</w:t>
      </w:r>
      <w:r w:rsidR="00B42819">
        <w:t>e</w:t>
      </w:r>
      <w:r w:rsidRPr="00C23F10">
        <w:t xml:space="preserve"> zákonov upravujúcich rozpočtové hospodárenie a nakladanie s majetkom </w:t>
      </w:r>
      <w:r>
        <w:t xml:space="preserve">štátu a </w:t>
      </w:r>
      <w:r w:rsidRPr="00C23F10">
        <w:t>p</w:t>
      </w:r>
      <w:r>
        <w:t>lnenie</w:t>
      </w:r>
      <w:r w:rsidRPr="00C23F10">
        <w:t xml:space="preserve"> vzťahov </w:t>
      </w:r>
      <w:r>
        <w:t xml:space="preserve">ŠR </w:t>
      </w:r>
      <w:r w:rsidRPr="00C23F10">
        <w:t>k rozpočtom obcí a VÚC (prenesený výkon štátnej správy</w:t>
      </w:r>
      <w:r>
        <w:t xml:space="preserve">). Kontrolou </w:t>
      </w:r>
      <w:r w:rsidR="00B440F1">
        <w:t>na vybraných rezortoch neboli zistené žiadne závažné formálne nedostatky</w:t>
      </w:r>
      <w:r>
        <w:rPr>
          <w:rFonts w:cs="Times New Roman"/>
          <w:color w:val="000000"/>
        </w:rPr>
        <w:t xml:space="preserve">. Zistenia v rámci </w:t>
      </w:r>
      <w:r>
        <w:t xml:space="preserve">programovej štruktúry, čerpania </w:t>
      </w:r>
      <w:r w:rsidR="00B42819">
        <w:t xml:space="preserve">fondov </w:t>
      </w:r>
      <w:r>
        <w:t>EÚ</w:t>
      </w:r>
      <w:r w:rsidR="006314F6">
        <w:t>,</w:t>
      </w:r>
      <w:r>
        <w:t xml:space="preserve"> hodnotenia vývoja vo vybraných oblastiach </w:t>
      </w:r>
      <w:r w:rsidR="006314F6">
        <w:t xml:space="preserve">a potvrdené príklady nehospodárneho nakladania s verejnými zdrojmi </w:t>
      </w:r>
      <w:r>
        <w:t>sú uvedené v</w:t>
      </w:r>
      <w:r w:rsidR="00B85CBE">
        <w:t> nasledujúcich kapitolách</w:t>
      </w:r>
      <w:r>
        <w:t>.</w:t>
      </w:r>
    </w:p>
    <w:p w14:paraId="0FC20D81" w14:textId="5575D664" w:rsidR="0062190C" w:rsidRDefault="0062190C" w:rsidP="007E246F">
      <w:pPr>
        <w:pStyle w:val="Nadpis2"/>
        <w:numPr>
          <w:ilvl w:val="1"/>
          <w:numId w:val="23"/>
        </w:numPr>
      </w:pPr>
      <w:bookmarkStart w:id="39" w:name="_Toc43218074"/>
      <w:r w:rsidRPr="003E5EA4">
        <w:t xml:space="preserve">Ministerstvo </w:t>
      </w:r>
      <w:r w:rsidR="00F958A4">
        <w:t>vnútra</w:t>
      </w:r>
      <w:r w:rsidR="00AC4666">
        <w:t xml:space="preserve"> SR</w:t>
      </w:r>
      <w:bookmarkEnd w:id="39"/>
    </w:p>
    <w:p w14:paraId="4EF45B8A" w14:textId="5F80CF87" w:rsidR="00B65251" w:rsidRPr="00B65251" w:rsidRDefault="00F958A4" w:rsidP="008E2BB2">
      <w:pPr>
        <w:pStyle w:val="Zarkazkladnhotextu"/>
        <w:spacing w:before="120"/>
        <w:ind w:left="0"/>
        <w:jc w:val="both"/>
      </w:pPr>
      <w:r>
        <w:t xml:space="preserve">Rýchla kontrola v rezorte vnútra sa zamerala hlavne na plnenie cieľov v programovom rozpočtovaní, </w:t>
      </w:r>
      <w:r w:rsidR="00B42819">
        <w:t xml:space="preserve">na </w:t>
      </w:r>
      <w:r>
        <w:t>dosiahnutie cieľov pri budovaní klientskych centier a na situáciu v oblasti systemizácie policajtov. Na dôležitosť vybudovania klientskych centier poukázala už kontrola Programu ESO</w:t>
      </w:r>
      <w:r w:rsidR="008146C2">
        <w:t>, ktorú NKÚ SR</w:t>
      </w:r>
      <w:r>
        <w:t xml:space="preserve"> vykona</w:t>
      </w:r>
      <w:r w:rsidR="008146C2">
        <w:t>l</w:t>
      </w:r>
      <w:r>
        <w:t xml:space="preserve"> v roku 2017. </w:t>
      </w:r>
      <w:r w:rsidR="008146C2">
        <w:t>Zriadenie klientskych centier vtedy hodnotilo pozitívne</w:t>
      </w:r>
      <w:r>
        <w:t xml:space="preserve"> </w:t>
      </w:r>
      <w:r w:rsidR="00A12499">
        <w:t>91,8 % respondentov z radov občanov</w:t>
      </w:r>
      <w:r>
        <w:t>. V</w:t>
      </w:r>
      <w:r w:rsidR="008146C2">
        <w:t xml:space="preserve"> tohtoročnej </w:t>
      </w:r>
      <w:r>
        <w:t>rýchlej kontrole sa NKÚ SR pozrel na reálnosť dostavania chýbajúcich klientskych centier. Podľa medzinárodného porovnania</w:t>
      </w:r>
      <w:r w:rsidR="00B42819">
        <w:t>,</w:t>
      </w:r>
      <w:r>
        <w:t xml:space="preserve"> v rámci EÚ má Slovensko významne vyšší počet policajtov na počet obyvateľov</w:t>
      </w:r>
      <w:r>
        <w:rPr>
          <w:rStyle w:val="Odkaznapoznmkupodiarou"/>
        </w:rPr>
        <w:footnoteReference w:id="10"/>
      </w:r>
      <w:r>
        <w:t xml:space="preserve"> a súčasne najvyššiu nedôveru verejnosti k policajnému zboru</w:t>
      </w:r>
      <w:r>
        <w:rPr>
          <w:rStyle w:val="Odkaznapoznmkupodiarou"/>
          <w:rFonts w:cs="Times New Roman"/>
          <w:color w:val="000000"/>
        </w:rPr>
        <w:footnoteReference w:id="11"/>
      </w:r>
      <w:r>
        <w:rPr>
          <w:rFonts w:cs="Times New Roman"/>
          <w:color w:val="000000"/>
        </w:rPr>
        <w:t>. Na základe týchto indikátorov bolo preverené aj plnenie ukazovateľov pri systemizácii policajtov.</w:t>
      </w:r>
      <w:bookmarkStart w:id="40" w:name="_Toc42768870"/>
      <w:bookmarkStart w:id="41" w:name="_Toc42768874"/>
      <w:bookmarkEnd w:id="40"/>
      <w:bookmarkEnd w:id="41"/>
    </w:p>
    <w:p w14:paraId="244ABABD" w14:textId="5BDEE896" w:rsidR="00F958A4" w:rsidRPr="001E1EC4" w:rsidRDefault="00F958A4" w:rsidP="007E246F">
      <w:pPr>
        <w:pStyle w:val="Nadpis3"/>
        <w:numPr>
          <w:ilvl w:val="2"/>
          <w:numId w:val="23"/>
        </w:numPr>
        <w:rPr>
          <w:rFonts w:cs="Arial"/>
        </w:rPr>
      </w:pPr>
      <w:bookmarkStart w:id="42" w:name="_Toc43218075"/>
      <w:r w:rsidRPr="001E1EC4">
        <w:t>Vývoj v </w:t>
      </w:r>
      <w:r w:rsidRPr="000003DF">
        <w:t>oblasti</w:t>
      </w:r>
      <w:r w:rsidRPr="001E1EC4">
        <w:t xml:space="preserve"> realizácie klientskych centier</w:t>
      </w:r>
      <w:bookmarkEnd w:id="42"/>
    </w:p>
    <w:p w14:paraId="61EA9B82" w14:textId="77777777" w:rsidR="00F958A4" w:rsidRPr="00955F3D" w:rsidRDefault="00F958A4" w:rsidP="00F958A4">
      <w:pPr>
        <w:spacing w:before="120" w:after="120"/>
        <w:jc w:val="both"/>
        <w:rPr>
          <w:rFonts w:eastAsia="Calibri"/>
        </w:rPr>
      </w:pPr>
      <w:r w:rsidRPr="00955F3D">
        <w:rPr>
          <w:rFonts w:eastAsia="Calibri"/>
        </w:rPr>
        <w:t xml:space="preserve">MV SR v súčinnosti s ostatnými </w:t>
      </w:r>
      <w:r>
        <w:rPr>
          <w:rFonts w:eastAsia="Calibri"/>
        </w:rPr>
        <w:t>ústrednými orgánmi štátnej správy</w:t>
      </w:r>
      <w:r w:rsidRPr="00955F3D">
        <w:rPr>
          <w:rFonts w:eastAsia="Calibri"/>
        </w:rPr>
        <w:t xml:space="preserve"> v zmysle P</w:t>
      </w:r>
      <w:r>
        <w:rPr>
          <w:rFonts w:eastAsia="Calibri"/>
        </w:rPr>
        <w:t>rogramového vyhlásenia vlády</w:t>
      </w:r>
      <w:r w:rsidRPr="00955F3D">
        <w:rPr>
          <w:rFonts w:eastAsia="Calibri"/>
        </w:rPr>
        <w:t xml:space="preserve"> 2012 realizuje zámery a ciele Programu ESO. Program ESO je pre svoju komplexnosť a náročnosť rozdelený do viacerých etáp. Podľa vyjadrenia </w:t>
      </w:r>
      <w:r>
        <w:rPr>
          <w:rFonts w:eastAsia="Calibri"/>
        </w:rPr>
        <w:t>MV SR mali/</w:t>
      </w:r>
      <w:r w:rsidRPr="00955F3D">
        <w:rPr>
          <w:rFonts w:eastAsia="Calibri"/>
        </w:rPr>
        <w:t>majú byť jeho jednotlivé opatrenia postupne implementované do roku 2020 nasledovne:</w:t>
      </w:r>
    </w:p>
    <w:p w14:paraId="005CA292" w14:textId="77777777" w:rsidR="00F958A4" w:rsidRPr="001E39B6" w:rsidRDefault="00F958A4" w:rsidP="00F958A4">
      <w:pPr>
        <w:pStyle w:val="Odsekzoznamu"/>
        <w:numPr>
          <w:ilvl w:val="0"/>
          <w:numId w:val="6"/>
        </w:numPr>
        <w:ind w:firstLine="0"/>
        <w:jc w:val="both"/>
      </w:pPr>
      <w:r w:rsidRPr="001E39B6">
        <w:t xml:space="preserve">integrácia špecializovanej miestnej štátnej </w:t>
      </w:r>
      <w:r>
        <w:t>správy -  do polovice roka 2014</w:t>
      </w:r>
    </w:p>
    <w:p w14:paraId="7CD5746E" w14:textId="77777777" w:rsidR="00F958A4" w:rsidRPr="002F1AD7" w:rsidRDefault="00F958A4" w:rsidP="00F958A4">
      <w:pPr>
        <w:pStyle w:val="Odsekzoznamu"/>
        <w:numPr>
          <w:ilvl w:val="0"/>
          <w:numId w:val="6"/>
        </w:numPr>
        <w:ind w:firstLine="0"/>
        <w:jc w:val="both"/>
      </w:pPr>
      <w:r w:rsidRPr="002F1AD7">
        <w:t>sprevádzkovanie KC – 2014/2015</w:t>
      </w:r>
    </w:p>
    <w:p w14:paraId="23E0A569" w14:textId="77777777" w:rsidR="00F958A4" w:rsidRPr="001E39B6" w:rsidRDefault="00F958A4" w:rsidP="00F958A4">
      <w:pPr>
        <w:pStyle w:val="Odsekzoznamu"/>
        <w:numPr>
          <w:ilvl w:val="0"/>
          <w:numId w:val="6"/>
        </w:numPr>
        <w:ind w:firstLine="0"/>
        <w:jc w:val="both"/>
      </w:pPr>
      <w:r w:rsidRPr="001E39B6">
        <w:t>optimalizácia výkonu štátnej správy, optimalizácia procesov a štruktúr ústredných orgánov štátnej správy, optimalizácia procesov a výkonu samosprávy – 2014</w:t>
      </w:r>
      <w:r>
        <w:t xml:space="preserve"> </w:t>
      </w:r>
      <w:r w:rsidRPr="001E39B6">
        <w:t>-</w:t>
      </w:r>
      <w:r>
        <w:t xml:space="preserve"> </w:t>
      </w:r>
      <w:r w:rsidRPr="001E39B6">
        <w:t>2020.</w:t>
      </w:r>
    </w:p>
    <w:p w14:paraId="7C368256" w14:textId="77777777" w:rsidR="00F958A4" w:rsidRPr="00955F3D" w:rsidRDefault="00F958A4" w:rsidP="00F958A4">
      <w:pPr>
        <w:spacing w:before="120" w:after="120"/>
        <w:jc w:val="both"/>
        <w:rPr>
          <w:rFonts w:eastAsia="Calibri"/>
        </w:rPr>
      </w:pPr>
      <w:r>
        <w:rPr>
          <w:rFonts w:eastAsia="Calibri"/>
        </w:rPr>
        <w:t>Od začiatku budovania klientskych centier v roku 2013 boli n</w:t>
      </w:r>
      <w:r w:rsidRPr="00955F3D">
        <w:rPr>
          <w:rFonts w:eastAsia="Calibri"/>
        </w:rPr>
        <w:t xml:space="preserve">ajvyššie </w:t>
      </w:r>
      <w:r>
        <w:rPr>
          <w:rFonts w:eastAsia="Calibri"/>
        </w:rPr>
        <w:t xml:space="preserve">náklady </w:t>
      </w:r>
      <w:r w:rsidRPr="00955F3D">
        <w:rPr>
          <w:rFonts w:eastAsia="Calibri"/>
        </w:rPr>
        <w:t xml:space="preserve">vynaložené na realizáciu </w:t>
      </w:r>
      <w:r>
        <w:rPr>
          <w:rFonts w:eastAsia="Calibri"/>
        </w:rPr>
        <w:t>klientskeho centra v</w:t>
      </w:r>
      <w:r w:rsidRPr="00955F3D">
        <w:rPr>
          <w:rFonts w:eastAsia="Calibri"/>
        </w:rPr>
        <w:t xml:space="preserve"> Bratislave (9,9 mil</w:t>
      </w:r>
      <w:r>
        <w:rPr>
          <w:rFonts w:eastAsia="Calibri"/>
        </w:rPr>
        <w:t xml:space="preserve">. eur; 30 % </w:t>
      </w:r>
      <w:r w:rsidRPr="00A60137">
        <w:rPr>
          <w:rFonts w:eastAsia="Calibri"/>
        </w:rPr>
        <w:t>celkových nákladov na všetky klientske centrá), Žiline (8,4 mil. eur; 25 % celkových nákladov na všetky klientske centrá) a vo Zvolene</w:t>
      </w:r>
      <w:r w:rsidRPr="00955F3D">
        <w:rPr>
          <w:rFonts w:eastAsia="Calibri"/>
        </w:rPr>
        <w:t xml:space="preserve"> (2,7 mil. eur). MV SR vynaložilo v súvislosti s realizáciou 62 </w:t>
      </w:r>
      <w:r>
        <w:rPr>
          <w:rFonts w:eastAsia="Calibri"/>
        </w:rPr>
        <w:t>klientskych centier</w:t>
      </w:r>
      <w:r w:rsidRPr="00955F3D">
        <w:rPr>
          <w:rFonts w:eastAsia="Calibri"/>
        </w:rPr>
        <w:t xml:space="preserve"> v SR celkom 33,05 mil. eur. 79 % celkových nákladov tvorili kapitálové výdavky a 21 % bežné výdavky.</w:t>
      </w:r>
    </w:p>
    <w:p w14:paraId="3F540A75" w14:textId="7B28D7C4" w:rsidR="001E1EC4" w:rsidRDefault="00F958A4" w:rsidP="00F312AA">
      <w:pPr>
        <w:spacing w:before="120" w:after="120"/>
        <w:jc w:val="both"/>
        <w:rPr>
          <w:b/>
          <w:color w:val="4F81BD" w:themeColor="accent1"/>
        </w:rPr>
      </w:pPr>
      <w:r w:rsidRPr="00955F3D">
        <w:rPr>
          <w:rFonts w:eastAsia="Calibri"/>
        </w:rPr>
        <w:t>K</w:t>
      </w:r>
      <w:r>
        <w:rPr>
          <w:rFonts w:eastAsia="Calibri"/>
        </w:rPr>
        <w:t xml:space="preserve">u koncu roka 2019 </w:t>
      </w:r>
      <w:r w:rsidRPr="00955F3D">
        <w:rPr>
          <w:rFonts w:eastAsia="Calibri"/>
        </w:rPr>
        <w:t xml:space="preserve">bolo uvedených do prevádzky </w:t>
      </w:r>
      <w:r>
        <w:rPr>
          <w:rFonts w:eastAsia="Calibri"/>
        </w:rPr>
        <w:t>59</w:t>
      </w:r>
      <w:r w:rsidRPr="00955F3D">
        <w:rPr>
          <w:rFonts w:eastAsia="Calibri"/>
        </w:rPr>
        <w:t xml:space="preserve"> z celkom 79 plánovaných klientskych centier</w:t>
      </w:r>
      <w:r>
        <w:rPr>
          <w:rFonts w:eastAsia="Calibri"/>
        </w:rPr>
        <w:t xml:space="preserve"> (k 30. 4. 2020 ich bolo 62)</w:t>
      </w:r>
      <w:r w:rsidRPr="00955F3D">
        <w:rPr>
          <w:rFonts w:eastAsia="Calibri"/>
        </w:rPr>
        <w:t xml:space="preserve">. </w:t>
      </w:r>
      <w:r w:rsidRPr="00063A17">
        <w:rPr>
          <w:rFonts w:eastAsia="Calibri"/>
          <w:b/>
        </w:rPr>
        <w:t xml:space="preserve">Podľa vyjadrenia </w:t>
      </w:r>
      <w:r w:rsidR="00030FAE">
        <w:rPr>
          <w:rFonts w:eastAsia="Calibri"/>
          <w:b/>
        </w:rPr>
        <w:t>MV SR</w:t>
      </w:r>
      <w:r w:rsidRPr="00063A17">
        <w:rPr>
          <w:rFonts w:eastAsia="Calibri"/>
          <w:b/>
        </w:rPr>
        <w:t xml:space="preserve"> sa do konca roka 2020 už nepodarí </w:t>
      </w:r>
      <w:r>
        <w:rPr>
          <w:rFonts w:eastAsia="Calibri"/>
          <w:b/>
        </w:rPr>
        <w:t xml:space="preserve">zostávajúcich </w:t>
      </w:r>
      <w:r w:rsidRPr="00063A17">
        <w:rPr>
          <w:rFonts w:eastAsia="Calibri"/>
          <w:b/>
        </w:rPr>
        <w:t>1</w:t>
      </w:r>
      <w:r w:rsidR="00030FAE">
        <w:rPr>
          <w:rFonts w:eastAsia="Calibri"/>
          <w:b/>
        </w:rPr>
        <w:t>6</w:t>
      </w:r>
      <w:r w:rsidRPr="00063A17">
        <w:rPr>
          <w:rFonts w:eastAsia="Calibri"/>
          <w:b/>
        </w:rPr>
        <w:t xml:space="preserve"> KC otvoriť</w:t>
      </w:r>
      <w:r>
        <w:rPr>
          <w:rFonts w:eastAsia="Calibri"/>
          <w:b/>
        </w:rPr>
        <w:t xml:space="preserve"> (</w:t>
      </w:r>
      <w:r w:rsidR="00030FAE">
        <w:rPr>
          <w:rFonts w:eastAsia="Calibri"/>
          <w:b/>
        </w:rPr>
        <w:t>v pláne je otvorenie len</w:t>
      </w:r>
      <w:r w:rsidRPr="00063A17">
        <w:rPr>
          <w:rFonts w:eastAsia="Calibri"/>
          <w:b/>
        </w:rPr>
        <w:t xml:space="preserve"> KC Prievidza</w:t>
      </w:r>
      <w:r>
        <w:rPr>
          <w:rFonts w:eastAsia="Calibri"/>
          <w:b/>
        </w:rPr>
        <w:t>)</w:t>
      </w:r>
      <w:r w:rsidRPr="00063A17">
        <w:rPr>
          <w:rFonts w:eastAsia="Calibri"/>
          <w:b/>
        </w:rPr>
        <w:t>, a to hlavne z dôvodov, že MV SR</w:t>
      </w:r>
      <w:r>
        <w:rPr>
          <w:rFonts w:eastAsia="Calibri"/>
          <w:b/>
        </w:rPr>
        <w:t xml:space="preserve"> buď</w:t>
      </w:r>
      <w:r w:rsidRPr="00063A17">
        <w:rPr>
          <w:rFonts w:eastAsia="Calibri"/>
          <w:b/>
        </w:rPr>
        <w:t xml:space="preserve"> nie je správcom vhodnej budovy, nenašlo vhodnú alternatívu alebo má obmedzené finančné zdroje.</w:t>
      </w:r>
    </w:p>
    <w:p w14:paraId="0B42EF84" w14:textId="3FFBF0DC" w:rsidR="00F958A4" w:rsidRPr="001E1EC4" w:rsidRDefault="00F958A4" w:rsidP="007E246F">
      <w:pPr>
        <w:pStyle w:val="Nadpis3"/>
        <w:numPr>
          <w:ilvl w:val="2"/>
          <w:numId w:val="23"/>
        </w:numPr>
      </w:pPr>
      <w:bookmarkStart w:id="43" w:name="_Toc43218076"/>
      <w:r w:rsidRPr="001E1EC4">
        <w:lastRenderedPageBreak/>
        <w:t>Systemizácia policajtov v štátnej správe</w:t>
      </w:r>
      <w:bookmarkEnd w:id="43"/>
    </w:p>
    <w:p w14:paraId="21EB51F4" w14:textId="5F2D6353" w:rsidR="00F958A4" w:rsidRDefault="00F958A4" w:rsidP="00F958A4">
      <w:pPr>
        <w:spacing w:before="120" w:after="120"/>
        <w:jc w:val="both"/>
      </w:pPr>
      <w:r w:rsidRPr="00063A17">
        <w:rPr>
          <w:b/>
        </w:rPr>
        <w:t>NKÚ SR konštatuje, že systemizácia policajtov nie je naplnená a ich skutočný počet každoročne klesá</w:t>
      </w:r>
      <w:r w:rsidR="00CD2D36">
        <w:rPr>
          <w:b/>
        </w:rPr>
        <w:t xml:space="preserve"> </w:t>
      </w:r>
      <w:r w:rsidR="00CD2D36" w:rsidRPr="00CD2D36">
        <w:t>(Graf 1</w:t>
      </w:r>
      <w:r w:rsidR="00417AF6">
        <w:t>5</w:t>
      </w:r>
      <w:r w:rsidR="00CD2D36" w:rsidRPr="00CD2D36">
        <w:t>)</w:t>
      </w:r>
      <w:r w:rsidRPr="00CD2D36">
        <w:t>.</w:t>
      </w:r>
      <w:r>
        <w:t xml:space="preserve"> </w:t>
      </w:r>
      <w:r w:rsidRPr="00493D48">
        <w:t>Podľa štatistických ukazovateľov</w:t>
      </w:r>
      <w:r w:rsidRPr="0023320A">
        <w:rPr>
          <w:rStyle w:val="Odkaznapoznmkupodiarou"/>
          <w:rFonts w:eastAsia="Calibri"/>
        </w:rPr>
        <w:footnoteReference w:id="12"/>
      </w:r>
      <w:r w:rsidRPr="00493D48">
        <w:t xml:space="preserve"> </w:t>
      </w:r>
      <w:r>
        <w:t xml:space="preserve">v roku 2019 </w:t>
      </w:r>
      <w:r w:rsidRPr="00493D48">
        <w:t xml:space="preserve">pracovalo v rezorte 21 676 policajtov, čo </w:t>
      </w:r>
      <w:r>
        <w:t>bolo o 1 371 menej</w:t>
      </w:r>
      <w:r w:rsidRPr="00493D48">
        <w:t xml:space="preserve"> oproti schvál</w:t>
      </w:r>
      <w:r>
        <w:t>e</w:t>
      </w:r>
      <w:r w:rsidRPr="00493D48">
        <w:t>n</w:t>
      </w:r>
      <w:r>
        <w:t>é</w:t>
      </w:r>
      <w:r w:rsidRPr="00493D48">
        <w:t>mu limitu rozpočtu s finančným krytím.</w:t>
      </w:r>
      <w:r>
        <w:t xml:space="preserve"> </w:t>
      </w:r>
      <w:r w:rsidRPr="00173AC3">
        <w:rPr>
          <w:b/>
        </w:rPr>
        <w:t>NKÚ SR navrhuje zreálniť plánovaný stav policajtov a zároveň odporúča nevyužívať prostriedky určené na ich systemizáciu na úhradu miezd štátnych a verejných zamestnancov prostredníctvom realizovania rozpočtových opatrení.</w:t>
      </w:r>
      <w:r w:rsidRPr="00A9538B">
        <w:t xml:space="preserve"> </w:t>
      </w:r>
      <w:r>
        <w:t xml:space="preserve">Kontrolou podprogramov </w:t>
      </w:r>
      <w:r w:rsidR="00B42819">
        <w:rPr>
          <w:rFonts w:eastAsia="Calibri" w:cs="Times New Roman"/>
        </w:rPr>
        <w:t xml:space="preserve">– </w:t>
      </w:r>
      <w:r>
        <w:t>Ochrana verejného poriadku a bezpečnosti, Okresné úrady a Centrálna podpora</w:t>
      </w:r>
      <w:r w:rsidR="00B42819">
        <w:t>,</w:t>
      </w:r>
      <w:r>
        <w:t xml:space="preserve"> bolo zistené, že počet zamestnancov sa v rámci nich za 6 rokov prakticky nezmenil.</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958A4" w:rsidRPr="00493D48" w14:paraId="197BC81B" w14:textId="77777777" w:rsidTr="00236427">
        <w:trPr>
          <w:trHeight w:val="100"/>
        </w:trPr>
        <w:tc>
          <w:tcPr>
            <w:tcW w:w="5000" w:type="pct"/>
            <w:tcBorders>
              <w:top w:val="single" w:sz="4" w:space="0" w:color="auto"/>
              <w:bottom w:val="single" w:sz="4" w:space="0" w:color="auto"/>
            </w:tcBorders>
            <w:shd w:val="clear" w:color="auto" w:fill="0070C0"/>
          </w:tcPr>
          <w:p w14:paraId="5BB3BD8E" w14:textId="5192D41B" w:rsidR="00F958A4" w:rsidRPr="00493D48" w:rsidRDefault="00CD2D36" w:rsidP="00417AF6">
            <w:pPr>
              <w:pStyle w:val="Bezriadkovania"/>
              <w:rPr>
                <w:b/>
                <w:color w:val="FFFFFF" w:themeColor="background1"/>
              </w:rPr>
            </w:pPr>
            <w:r>
              <w:rPr>
                <w:b/>
                <w:color w:val="FFFFFF" w:themeColor="background1"/>
              </w:rPr>
              <w:t>Graf 1</w:t>
            </w:r>
            <w:r w:rsidR="00417AF6">
              <w:rPr>
                <w:b/>
                <w:color w:val="FFFFFF" w:themeColor="background1"/>
              </w:rPr>
              <w:t>5</w:t>
            </w:r>
            <w:r>
              <w:rPr>
                <w:b/>
                <w:color w:val="FFFFFF" w:themeColor="background1"/>
              </w:rPr>
              <w:t xml:space="preserve">: </w:t>
            </w:r>
            <w:r w:rsidR="00F958A4" w:rsidRPr="00493D48">
              <w:rPr>
                <w:b/>
                <w:color w:val="FFFFFF" w:themeColor="background1"/>
              </w:rPr>
              <w:t xml:space="preserve">Vývoj </w:t>
            </w:r>
            <w:r w:rsidR="00F958A4">
              <w:rPr>
                <w:b/>
                <w:color w:val="FFFFFF" w:themeColor="background1"/>
              </w:rPr>
              <w:t xml:space="preserve">skutočného </w:t>
            </w:r>
            <w:r w:rsidR="00F958A4" w:rsidRPr="00493D48">
              <w:rPr>
                <w:b/>
                <w:color w:val="FFFFFF" w:themeColor="background1"/>
              </w:rPr>
              <w:t xml:space="preserve">počtu zamestnancov </w:t>
            </w:r>
            <w:r w:rsidR="00F958A4">
              <w:rPr>
                <w:b/>
                <w:color w:val="FFFFFF" w:themeColor="background1"/>
              </w:rPr>
              <w:t xml:space="preserve">vo vybraných podprogramoch </w:t>
            </w:r>
            <w:r>
              <w:rPr>
                <w:b/>
                <w:color w:val="FFFFFF" w:themeColor="background1"/>
              </w:rPr>
              <w:t xml:space="preserve">v rokoch </w:t>
            </w:r>
            <w:r w:rsidR="00F958A4" w:rsidRPr="00493D48">
              <w:rPr>
                <w:b/>
                <w:color w:val="FFFFFF" w:themeColor="background1"/>
              </w:rPr>
              <w:t xml:space="preserve">2014 </w:t>
            </w:r>
            <w:r w:rsidR="00F958A4">
              <w:rPr>
                <w:b/>
                <w:color w:val="FFFFFF" w:themeColor="background1"/>
              </w:rPr>
              <w:t>–</w:t>
            </w:r>
            <w:r w:rsidR="00F958A4" w:rsidRPr="00493D48">
              <w:rPr>
                <w:b/>
                <w:color w:val="FFFFFF" w:themeColor="background1"/>
              </w:rPr>
              <w:t xml:space="preserve"> 2019</w:t>
            </w:r>
          </w:p>
        </w:tc>
      </w:tr>
      <w:tr w:rsidR="00F958A4" w:rsidRPr="00493D48" w14:paraId="0A4522D9" w14:textId="77777777" w:rsidTr="00D92DD6">
        <w:tblPrEx>
          <w:tblCellMar>
            <w:left w:w="70" w:type="dxa"/>
            <w:right w:w="70" w:type="dxa"/>
          </w:tblCellMar>
        </w:tblPrEx>
        <w:trPr>
          <w:trHeight w:val="3092"/>
        </w:trPr>
        <w:tc>
          <w:tcPr>
            <w:tcW w:w="5000" w:type="pct"/>
            <w:tcBorders>
              <w:top w:val="single" w:sz="4" w:space="0" w:color="auto"/>
              <w:bottom w:val="single" w:sz="4" w:space="0" w:color="auto"/>
            </w:tcBorders>
          </w:tcPr>
          <w:p w14:paraId="3CB86D47" w14:textId="77777777" w:rsidR="00F958A4" w:rsidRPr="00493D48" w:rsidRDefault="00F958A4" w:rsidP="00236427">
            <w:pPr>
              <w:pStyle w:val="Bezriadkovania"/>
            </w:pPr>
            <w:r>
              <w:rPr>
                <w:noProof/>
              </w:rPr>
              <w:drawing>
                <wp:inline distT="0" distB="0" distL="0" distR="0" wp14:anchorId="5C80181A" wp14:editId="494807B2">
                  <wp:extent cx="5941060" cy="1885315"/>
                  <wp:effectExtent l="0" t="0" r="2540" b="63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1956A172" w14:textId="77777777" w:rsidR="00F958A4" w:rsidRPr="00173AC3" w:rsidRDefault="00F958A4" w:rsidP="00F958A4">
      <w:pPr>
        <w:rPr>
          <w:i/>
          <w:sz w:val="18"/>
          <w:szCs w:val="18"/>
        </w:rPr>
      </w:pPr>
      <w:r w:rsidRPr="00173AC3">
        <w:rPr>
          <w:i/>
          <w:sz w:val="18"/>
          <w:szCs w:val="18"/>
        </w:rPr>
        <w:t>Zdroj: MV SR; spracovanie NKÚ SR</w:t>
      </w:r>
    </w:p>
    <w:p w14:paraId="71B5C581" w14:textId="404DE2D4" w:rsidR="00E86116" w:rsidRDefault="00586CAF" w:rsidP="00E86116">
      <w:pPr>
        <w:pStyle w:val="Bezriadkovania"/>
        <w:spacing w:before="120" w:after="120"/>
        <w:jc w:val="both"/>
      </w:pPr>
      <w:r w:rsidRPr="002026BD">
        <w:rPr>
          <w:b/>
        </w:rPr>
        <w:t>Program ESO doteraz nepriniesol výraznú úsporu v počte zamestnancov.</w:t>
      </w:r>
      <w:r>
        <w:rPr>
          <w:b/>
        </w:rPr>
        <w:t xml:space="preserve"> </w:t>
      </w:r>
      <w:r w:rsidR="00E86116" w:rsidRPr="00493D48">
        <w:t>V roku 201</w:t>
      </w:r>
      <w:r w:rsidR="00E86116">
        <w:t>9</w:t>
      </w:r>
      <w:r w:rsidR="00E86116" w:rsidRPr="00493D48">
        <w:t xml:space="preserve"> pracovalo v rezorte </w:t>
      </w:r>
      <w:r w:rsidR="00E86116">
        <w:t xml:space="preserve">MV SR </w:t>
      </w:r>
      <w:r w:rsidR="00E86116" w:rsidRPr="00493D48">
        <w:t>48</w:t>
      </w:r>
      <w:r w:rsidR="00E86116">
        <w:t> </w:t>
      </w:r>
      <w:r w:rsidR="00E86116" w:rsidRPr="00493D48">
        <w:t>834</w:t>
      </w:r>
      <w:r w:rsidR="00E86116">
        <w:t xml:space="preserve"> zamestnancov</w:t>
      </w:r>
      <w:r w:rsidR="00E86116" w:rsidRPr="00493D48">
        <w:t>, čo je o</w:t>
      </w:r>
      <w:r w:rsidR="00E86116">
        <w:t> 0,4 % (199 zamestnancov) menej ako v roku 2014</w:t>
      </w:r>
      <w:r w:rsidR="00E86116" w:rsidRPr="00493D48">
        <w:t xml:space="preserve">. </w:t>
      </w:r>
      <w:r w:rsidR="00E86116">
        <w:t>Počet policajtov klesal</w:t>
      </w:r>
      <w:r w:rsidR="00E86116" w:rsidRPr="00493D48">
        <w:t xml:space="preserve">, čo </w:t>
      </w:r>
      <w:r w:rsidR="00E86116">
        <w:t xml:space="preserve">bolo </w:t>
      </w:r>
      <w:r w:rsidR="00E86116" w:rsidRPr="00493D48">
        <w:t>v roz</w:t>
      </w:r>
      <w:r w:rsidR="00E86116">
        <w:t xml:space="preserve">pore s cieľom a plánmi rezortu </w:t>
      </w:r>
      <w:r w:rsidR="00E86116" w:rsidRPr="00493D48">
        <w:t>splniť uzneseni</w:t>
      </w:r>
      <w:r w:rsidR="00E86116">
        <w:t>a</w:t>
      </w:r>
      <w:r w:rsidR="00E86116" w:rsidRPr="00493D48">
        <w:t xml:space="preserve"> vlády o</w:t>
      </w:r>
      <w:r w:rsidR="00E86116">
        <w:t xml:space="preserve"> ich </w:t>
      </w:r>
      <w:r w:rsidR="00E86116" w:rsidRPr="00493D48">
        <w:t xml:space="preserve">navýšení. </w:t>
      </w:r>
      <w:r w:rsidR="00E86116">
        <w:t>P</w:t>
      </w:r>
      <w:r w:rsidR="00E86116" w:rsidRPr="00CD2504">
        <w:t xml:space="preserve">odľa </w:t>
      </w:r>
      <w:r w:rsidR="00E86116">
        <w:t xml:space="preserve">medzinárodného porovnania </w:t>
      </w:r>
      <w:r w:rsidR="00E86116" w:rsidRPr="00CD2504">
        <w:t>je na Slovensku v pomere k počtu obyvateľov o 20 % viac p</w:t>
      </w:r>
      <w:r w:rsidR="00E86116">
        <w:t>olicajtov ako je priemer v EÚ 28</w:t>
      </w:r>
      <w:r w:rsidR="00E86116">
        <w:rPr>
          <w:rStyle w:val="Odkaznapoznmkupodiarou"/>
          <w:bCs/>
        </w:rPr>
        <w:footnoteReference w:id="13"/>
      </w:r>
      <w:r w:rsidR="00E86116">
        <w:t>, a tento rozdiel je ešte väčší v porovnaní s krajinami EÚ 15. V</w:t>
      </w:r>
      <w:r w:rsidR="00E86116" w:rsidRPr="00724690">
        <w:t xml:space="preserve"> prepočte na 100 tis. obyvateľov </w:t>
      </w:r>
      <w:r w:rsidR="00E86116">
        <w:t xml:space="preserve">má SR </w:t>
      </w:r>
      <w:r w:rsidR="00E86116" w:rsidRPr="00724690">
        <w:t>405 policajtov</w:t>
      </w:r>
      <w:r w:rsidR="00E86116">
        <w:t>,</w:t>
      </w:r>
      <w:r w:rsidR="00E86116" w:rsidRPr="00724690">
        <w:t xml:space="preserve"> </w:t>
      </w:r>
      <w:r w:rsidR="00E86116">
        <w:t>v </w:t>
      </w:r>
      <w:r w:rsidR="00E86116" w:rsidRPr="00724690">
        <w:t>krajinách V3 je ich počet 349, v krajinách EÚ</w:t>
      </w:r>
      <w:r w:rsidR="00E86116">
        <w:t xml:space="preserve"> </w:t>
      </w:r>
      <w:r w:rsidR="00E86116" w:rsidRPr="00724690">
        <w:t>15 je ich 298.</w:t>
      </w:r>
      <w:r w:rsidR="00E86116">
        <w:t xml:space="preserve"> Nedôvera verejnosti k polícii je pritom najvyššia v rámci EÚ 28, a tento stav sa dlhodobo nemení. Nedôvera k polícii má pritom významný vplyv na efektívnosť práce </w:t>
      </w:r>
      <w:r w:rsidR="00E86116" w:rsidRPr="00374777">
        <w:t>policajného zboru</w:t>
      </w:r>
      <w:r w:rsidR="00E86116">
        <w:t xml:space="preserve"> </w:t>
      </w:r>
      <w:r w:rsidR="00E86116" w:rsidRPr="00374777">
        <w:t>a predstavuje problém pre legitimitu demokratického zriadenia</w:t>
      </w:r>
      <w:r w:rsidR="00E86116">
        <w:t xml:space="preserve"> štátu.</w:t>
      </w:r>
    </w:p>
    <w:p w14:paraId="70DF751B" w14:textId="77777777" w:rsidR="00F958A4" w:rsidRPr="00CD2504" w:rsidRDefault="00F958A4" w:rsidP="00F958A4">
      <w:pPr>
        <w:spacing w:before="120" w:after="120"/>
        <w:jc w:val="both"/>
        <w:rPr>
          <w:bCs/>
        </w:rPr>
      </w:pPr>
      <w:r w:rsidRPr="002026BD">
        <w:rPr>
          <w:b/>
        </w:rPr>
        <w:t xml:space="preserve">NKÚ SR navrhuje zrealizovať personálny audit v policajnom zbore a vykonať analýzu fungovania polície s </w:t>
      </w:r>
      <w:r>
        <w:rPr>
          <w:b/>
        </w:rPr>
        <w:t> </w:t>
      </w:r>
      <w:r w:rsidRPr="002026BD">
        <w:rPr>
          <w:b/>
        </w:rPr>
        <w:t>cieľom zvýšenia jej efektivity a zlepšenia vzťahu verejnosti k polícii.</w:t>
      </w:r>
      <w:r w:rsidRPr="00393CE4">
        <w:rPr>
          <w:rStyle w:val="Odkaznapoznmkupodiarou"/>
        </w:rPr>
        <w:footnoteReference w:id="14"/>
      </w:r>
    </w:p>
    <w:p w14:paraId="04538A14" w14:textId="3B2FE2DC" w:rsidR="0062190C" w:rsidRDefault="0062190C" w:rsidP="007E246F">
      <w:pPr>
        <w:pStyle w:val="Nadpis2"/>
        <w:numPr>
          <w:ilvl w:val="1"/>
          <w:numId w:val="23"/>
        </w:numPr>
      </w:pPr>
      <w:bookmarkStart w:id="44" w:name="_Toc43218077"/>
      <w:r w:rsidRPr="003E5EA4">
        <w:t>Ministerstvo</w:t>
      </w:r>
      <w:r w:rsidR="00F958A4">
        <w:t xml:space="preserve"> školstva, vedy, výskumu a športu</w:t>
      </w:r>
      <w:r w:rsidR="00AC4666">
        <w:t xml:space="preserve"> </w:t>
      </w:r>
      <w:r w:rsidRPr="003E5EA4">
        <w:t>SR</w:t>
      </w:r>
      <w:bookmarkEnd w:id="44"/>
    </w:p>
    <w:p w14:paraId="4D832D86" w14:textId="36718C4E" w:rsidR="00407144" w:rsidRPr="007E246F" w:rsidRDefault="00F958A4" w:rsidP="007E246F">
      <w:pPr>
        <w:spacing w:after="120"/>
        <w:jc w:val="both"/>
      </w:pPr>
      <w:r>
        <w:t>Predmetom rýchlej kontroly v rezorte školstva bol príklad nehospodárneho nakladania s verejnými zdrojmi pri zavádzaní riešenia EDUNET SK a oblasť zabezpečovania učebníc pre základné a stredné školy, ktorá dlhodobo vykazuje neuspokojivé výsledky.</w:t>
      </w:r>
      <w:bookmarkStart w:id="45" w:name="_Toc42768878"/>
      <w:bookmarkStart w:id="46" w:name="_Toc42768879"/>
      <w:bookmarkEnd w:id="45"/>
      <w:bookmarkEnd w:id="46"/>
    </w:p>
    <w:p w14:paraId="7A375BC4" w14:textId="2482EB22" w:rsidR="00F958A4" w:rsidRPr="00A13819" w:rsidRDefault="00F958A4" w:rsidP="007E246F">
      <w:pPr>
        <w:pStyle w:val="Nadpis3"/>
        <w:numPr>
          <w:ilvl w:val="2"/>
          <w:numId w:val="23"/>
        </w:numPr>
      </w:pPr>
      <w:bookmarkStart w:id="47" w:name="_Toc43218078"/>
      <w:r w:rsidRPr="00A13819">
        <w:t xml:space="preserve">Projekt </w:t>
      </w:r>
      <w:r w:rsidRPr="00407144">
        <w:t>Infovek</w:t>
      </w:r>
      <w:r>
        <w:t xml:space="preserve"> 2</w:t>
      </w:r>
      <w:bookmarkEnd w:id="47"/>
    </w:p>
    <w:p w14:paraId="38C86F9B" w14:textId="74DB6B68" w:rsidR="00F958A4" w:rsidRDefault="00F958A4" w:rsidP="00F958A4">
      <w:pPr>
        <w:spacing w:before="120" w:after="120"/>
        <w:jc w:val="both"/>
      </w:pPr>
      <w:r>
        <w:t>MŠVVŠ</w:t>
      </w:r>
      <w:r w:rsidR="00D3246F">
        <w:t xml:space="preserve"> SR</w:t>
      </w:r>
      <w:r>
        <w:t xml:space="preserve"> centralizovane zabezpečuje školám možnosť pripojenia na internet. Táto služba bola realizovaná prostredníctvom projektu „Infovek 2“ na základe Zmluvy o</w:t>
      </w:r>
      <w:r w:rsidR="00B42819">
        <w:t> </w:t>
      </w:r>
      <w:r>
        <w:t>dielo</w:t>
      </w:r>
      <w:r w:rsidR="00B42819">
        <w:t>,</w:t>
      </w:r>
      <w:r>
        <w:t xml:space="preserve"> uzatvorenej k 2. 12. 2010 s dodávateľom Slovak Telecom, a.s. Projekt Infovek 2, ktorého zmluvné trvanie uplynulo 27. 9. 2015, mal byť nahradený komplexnejším riešením pod názvom EDUNET SK. Zmluva s dodávateľom nového riešenia – s firmou SWAN, a.s.</w:t>
      </w:r>
      <w:r w:rsidR="00B42819">
        <w:t>,</w:t>
      </w:r>
      <w:r>
        <w:t xml:space="preserve"> nadobudla účinnosť až 5. 10. 2018 a prvé školy boli do EDUNET-u zapojené až v októbri 2019. </w:t>
      </w:r>
      <w:r w:rsidRPr="00A13B1D">
        <w:rPr>
          <w:b/>
        </w:rPr>
        <w:t>Zavádzanie EDUNET SK teda prišlo  s niekoľkoročným meškaním</w:t>
      </w:r>
      <w:r>
        <w:t xml:space="preserve"> a centralizované pripojenie škôl na internet bolo - a z veľkej časti stále je - zabezpečované predlžovaním zmluvného vzťahu s pôvodným poskytovateľom služby. Tento stav viedol, okrem iného</w:t>
      </w:r>
      <w:r w:rsidR="00B42819">
        <w:t>,</w:t>
      </w:r>
      <w:r>
        <w:t xml:space="preserve"> k </w:t>
      </w:r>
      <w:r w:rsidRPr="00A13B1D">
        <w:rPr>
          <w:b/>
        </w:rPr>
        <w:t>udeleniu dvoch pokút od ÚVO v súhrnnej výške viac ako 1 mil. eur</w:t>
      </w:r>
      <w:r>
        <w:t>.</w:t>
      </w:r>
    </w:p>
    <w:p w14:paraId="7C6E5B75" w14:textId="6BE58966" w:rsidR="00F958A4" w:rsidRDefault="00A020C4" w:rsidP="00F958A4">
      <w:pPr>
        <w:spacing w:before="120" w:after="120"/>
        <w:jc w:val="both"/>
      </w:pPr>
      <w:r>
        <w:rPr>
          <w:noProof/>
          <w:lang w:eastAsia="sk-SK"/>
        </w:rPr>
        <w:lastRenderedPageBreak/>
        <w:drawing>
          <wp:anchor distT="0" distB="0" distL="114300" distR="114300" simplePos="0" relativeHeight="251662336" behindDoc="0" locked="0" layoutInCell="1" allowOverlap="1" wp14:anchorId="3885DC85" wp14:editId="3E687E23">
            <wp:simplePos x="0" y="0"/>
            <wp:positionH relativeFrom="column">
              <wp:posOffset>264914</wp:posOffset>
            </wp:positionH>
            <wp:positionV relativeFrom="paragraph">
              <wp:posOffset>5681875</wp:posOffset>
            </wp:positionV>
            <wp:extent cx="4434840" cy="2632668"/>
            <wp:effectExtent l="0" t="0" r="381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7588" cy="2640236"/>
                    </a:xfrm>
                    <a:prstGeom prst="rect">
                      <a:avLst/>
                    </a:prstGeom>
                    <a:noFill/>
                  </pic:spPr>
                </pic:pic>
              </a:graphicData>
            </a:graphic>
            <wp14:sizeRelH relativeFrom="page">
              <wp14:pctWidth>0</wp14:pctWidth>
            </wp14:sizeRelH>
            <wp14:sizeRelV relativeFrom="page">
              <wp14:pctHeight>0</wp14:pctHeight>
            </wp14:sizeRelV>
          </wp:anchor>
        </w:drawing>
      </w:r>
      <w:r w:rsidR="00940633">
        <w:rPr>
          <w:noProof/>
          <w:lang w:eastAsia="sk-SK"/>
        </w:rPr>
        <mc:AlternateContent>
          <mc:Choice Requires="wpg">
            <w:drawing>
              <wp:anchor distT="0" distB="0" distL="114300" distR="114300" simplePos="0" relativeHeight="251660288" behindDoc="0" locked="0" layoutInCell="1" allowOverlap="1" wp14:anchorId="4DE6BABD" wp14:editId="01741F3D">
                <wp:simplePos x="0" y="0"/>
                <wp:positionH relativeFrom="margin">
                  <wp:posOffset>-16510</wp:posOffset>
                </wp:positionH>
                <wp:positionV relativeFrom="paragraph">
                  <wp:posOffset>1893570</wp:posOffset>
                </wp:positionV>
                <wp:extent cx="5942965" cy="6850380"/>
                <wp:effectExtent l="0" t="0" r="19685" b="26670"/>
                <wp:wrapTopAndBottom/>
                <wp:docPr id="319" name="Skupina 319"/>
                <wp:cNvGraphicFramePr/>
                <a:graphic xmlns:a="http://schemas.openxmlformats.org/drawingml/2006/main">
                  <a:graphicData uri="http://schemas.microsoft.com/office/word/2010/wordprocessingGroup">
                    <wpg:wgp>
                      <wpg:cNvGrpSpPr/>
                      <wpg:grpSpPr>
                        <a:xfrm>
                          <a:off x="0" y="0"/>
                          <a:ext cx="5942965" cy="6850380"/>
                          <a:chOff x="0" y="0"/>
                          <a:chExt cx="5942965" cy="6955971"/>
                        </a:xfrm>
                      </wpg:grpSpPr>
                      <wpg:grpSp>
                        <wpg:cNvPr id="318" name="Skupina 318"/>
                        <wpg:cNvGrpSpPr/>
                        <wpg:grpSpPr>
                          <a:xfrm>
                            <a:off x="0" y="0"/>
                            <a:ext cx="5942965" cy="6955971"/>
                            <a:chOff x="0" y="0"/>
                            <a:chExt cx="5942965" cy="6955971"/>
                          </a:xfrm>
                        </wpg:grpSpPr>
                        <wps:wsp>
                          <wps:cNvPr id="30" name="Obdĺžnik 30"/>
                          <wps:cNvSpPr/>
                          <wps:spPr>
                            <a:xfrm>
                              <a:off x="0" y="0"/>
                              <a:ext cx="5942965" cy="6955971"/>
                            </a:xfrm>
                            <a:prstGeom prst="rect">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7" name="Skupina 16"/>
                          <wpg:cNvGrpSpPr/>
                          <wpg:grpSpPr>
                            <a:xfrm>
                              <a:off x="10886" y="43543"/>
                              <a:ext cx="5816600" cy="3977640"/>
                              <a:chOff x="0" y="0"/>
                              <a:chExt cx="9225122" cy="4425906"/>
                            </a:xfrm>
                          </wpg:grpSpPr>
                          <wps:wsp>
                            <wps:cNvPr id="288" name="Obdĺžnik 288"/>
                            <wps:cNvSpPr/>
                            <wps:spPr>
                              <a:xfrm>
                                <a:off x="0" y="0"/>
                                <a:ext cx="9225122" cy="442590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89" name="Skupina 289"/>
                            <wpg:cNvGrpSpPr/>
                            <wpg:grpSpPr>
                              <a:xfrm>
                                <a:off x="308961" y="3061771"/>
                                <a:ext cx="8748774" cy="1033047"/>
                                <a:chOff x="308961" y="3061771"/>
                                <a:chExt cx="8748774" cy="1033047"/>
                              </a:xfrm>
                            </wpg:grpSpPr>
                            <wpg:grpSp>
                              <wpg:cNvPr id="290" name="Skupina 290"/>
                              <wpg:cNvGrpSpPr/>
                              <wpg:grpSpPr>
                                <a:xfrm>
                                  <a:off x="308961" y="3067864"/>
                                  <a:ext cx="1297215" cy="1026954"/>
                                  <a:chOff x="308961" y="3067864"/>
                                  <a:chExt cx="1885305" cy="665019"/>
                                </a:xfrm>
                              </wpg:grpSpPr>
                              <wpg:grpSp>
                                <wpg:cNvPr id="291" name="Skupina 291"/>
                                <wpg:cNvGrpSpPr/>
                                <wpg:grpSpPr>
                                  <a:xfrm>
                                    <a:off x="318936" y="3067864"/>
                                    <a:ext cx="1875328" cy="665019"/>
                                    <a:chOff x="318936" y="3067864"/>
                                    <a:chExt cx="1875328" cy="665019"/>
                                  </a:xfrm>
                                </wpg:grpSpPr>
                                <wps:wsp>
                                  <wps:cNvPr id="292" name="Zaoblený obdĺžnik 292"/>
                                  <wps:cNvSpPr/>
                                  <wps:spPr>
                                    <a:xfrm>
                                      <a:off x="479764" y="3067865"/>
                                      <a:ext cx="1714500" cy="665018"/>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 name="Zaoblený obdĺžnik 293"/>
                                  <wps:cNvSpPr/>
                                  <wps:spPr>
                                    <a:xfrm>
                                      <a:off x="318936" y="3067864"/>
                                      <a:ext cx="1714500" cy="665018"/>
                                    </a:xfrm>
                                    <a:prstGeom prst="roundRect">
                                      <a:avLst/>
                                    </a:prstGeom>
                                    <a:gradFill flip="none" rotWithShape="1">
                                      <a:gsLst>
                                        <a:gs pos="0">
                                          <a:schemeClr val="accent1">
                                            <a:lumMod val="40000"/>
                                            <a:lumOff val="60000"/>
                                          </a:schemeClr>
                                        </a:gs>
                                        <a:gs pos="64000">
                                          <a:schemeClr val="accent5">
                                            <a:lumMod val="75000"/>
                                          </a:schemeClr>
                                        </a:gs>
                                        <a:gs pos="100000">
                                          <a:schemeClr val="accent5">
                                            <a:lumMod val="7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94" name="Zaoblený obdĺžnik 294"/>
                                <wps:cNvSpPr/>
                                <wps:spPr>
                                  <a:xfrm>
                                    <a:off x="308961" y="3067865"/>
                                    <a:ext cx="1885305" cy="665018"/>
                                  </a:xfrm>
                                  <a:prstGeom prst="roundRect">
                                    <a:avLst/>
                                  </a:prstGeom>
                                  <a:gradFill>
                                    <a:gsLst>
                                      <a:gs pos="0">
                                        <a:schemeClr val="accent1">
                                          <a:lumMod val="75000"/>
                                        </a:schemeClr>
                                      </a:gs>
                                      <a:gs pos="50000">
                                        <a:schemeClr val="accent1">
                                          <a:lumMod val="75000"/>
                                        </a:schemeClr>
                                      </a:gs>
                                      <a:gs pos="100000">
                                        <a:schemeClr val="accent1">
                                          <a:lumMod val="40000"/>
                                          <a:lumOff val="60000"/>
                                        </a:scheme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48D47D" w14:textId="77777777" w:rsidR="00723069" w:rsidRDefault="00723069" w:rsidP="00F958A4">
                                      <w:pPr>
                                        <w:pStyle w:val="Normlnywebov"/>
                                        <w:spacing w:before="0" w:beforeAutospacing="0" w:after="0" w:afterAutospacing="0"/>
                                        <w:jc w:val="center"/>
                                      </w:pPr>
                                      <w:r>
                                        <w:rPr>
                                          <w:rFonts w:ascii="Arial Narrow" w:hAnsi="Arial Narrow" w:cstheme="minorBidi"/>
                                          <w:color w:val="FFFFFF" w:themeColor="background1"/>
                                          <w:kern w:val="24"/>
                                          <w:sz w:val="18"/>
                                          <w:szCs w:val="18"/>
                                        </w:rPr>
                                        <w:t>Zmluva o dielo s ST</w:t>
                                      </w:r>
                                    </w:p>
                                    <w:p w14:paraId="6B0C8A56" w14:textId="77777777" w:rsidR="00723069" w:rsidRDefault="00723069" w:rsidP="00F958A4">
                                      <w:pPr>
                                        <w:pStyle w:val="Normlnywebov"/>
                                        <w:spacing w:before="0" w:beforeAutospacing="0" w:after="0" w:afterAutospacing="0"/>
                                        <w:jc w:val="center"/>
                                      </w:pPr>
                                      <w:r>
                                        <w:rPr>
                                          <w:rFonts w:ascii="Arial Narrow" w:hAnsi="Arial Narrow" w:cstheme="minorBidi"/>
                                          <w:color w:val="FFFFFF" w:themeColor="background1"/>
                                          <w:kern w:val="24"/>
                                          <w:sz w:val="18"/>
                                          <w:szCs w:val="18"/>
                                        </w:rPr>
                                        <w:t>(12/2010 – 9/2015)</w:t>
                                      </w:r>
                                    </w:p>
                                  </w:txbxContent>
                                </wps:txbx>
                                <wps:bodyPr rtlCol="0" anchor="ctr"/>
                              </wps:wsp>
                            </wpg:grpSp>
                            <wps:wsp>
                              <wps:cNvPr id="295" name="Zaoblený obdĺžnik 295"/>
                              <wps:cNvSpPr/>
                              <wps:spPr>
                                <a:xfrm>
                                  <a:off x="1543376" y="3061771"/>
                                  <a:ext cx="1448493" cy="1025603"/>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3F7A8" w14:textId="77777777" w:rsidR="00723069" w:rsidRDefault="00723069" w:rsidP="00F958A4">
                                    <w:pPr>
                                      <w:pStyle w:val="Normlnywebov"/>
                                      <w:spacing w:before="0" w:beforeAutospacing="0" w:after="0" w:afterAutospacing="0"/>
                                      <w:jc w:val="center"/>
                                    </w:pPr>
                                    <w:r>
                                      <w:rPr>
                                        <w:rFonts w:ascii="Arial Narrow" w:hAnsi="Arial Narrow" w:cstheme="minorBidi"/>
                                        <w:color w:val="FFFFFF" w:themeColor="background1"/>
                                        <w:kern w:val="24"/>
                                        <w:sz w:val="18"/>
                                        <w:szCs w:val="18"/>
                                      </w:rPr>
                                      <w:t>Zmluva s ST (9/2015 na 12 mesiacov )</w:t>
                                    </w:r>
                                  </w:p>
                                </w:txbxContent>
                              </wps:txbx>
                              <wps:bodyPr rtlCol="0" anchor="ctr"/>
                            </wps:wsp>
                            <wpg:grpSp>
                              <wpg:cNvPr id="296" name="Skupina 296"/>
                              <wpg:cNvGrpSpPr/>
                              <wpg:grpSpPr>
                                <a:xfrm>
                                  <a:off x="2858958" y="3064073"/>
                                  <a:ext cx="6198777" cy="1022361"/>
                                  <a:chOff x="2858958" y="3064073"/>
                                  <a:chExt cx="4431256" cy="665019"/>
                                </a:xfrm>
                              </wpg:grpSpPr>
                              <wps:wsp>
                                <wps:cNvPr id="297" name="Zaoblený obdĺžnik 297"/>
                                <wps:cNvSpPr/>
                                <wps:spPr>
                                  <a:xfrm rot="10800000">
                                    <a:off x="3760296" y="3064073"/>
                                    <a:ext cx="3529918" cy="665018"/>
                                  </a:xfrm>
                                  <a:prstGeom prst="roundRect">
                                    <a:avLst/>
                                  </a:prstGeom>
                                  <a:gradFill flip="none" rotWithShape="1">
                                    <a:gsLst>
                                      <a:gs pos="0">
                                        <a:schemeClr val="accent1">
                                          <a:lumMod val="75000"/>
                                        </a:schemeClr>
                                      </a:gs>
                                      <a:gs pos="50000">
                                        <a:schemeClr val="accent1">
                                          <a:lumMod val="75000"/>
                                        </a:schemeClr>
                                      </a:gs>
                                      <a:gs pos="100000">
                                        <a:schemeClr val="accent1">
                                          <a:lumMod val="40000"/>
                                          <a:lumOff val="6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8" name="Zaoblený obdĺžnik 298"/>
                                <wps:cNvSpPr/>
                                <wps:spPr>
                                  <a:xfrm>
                                    <a:off x="2858958" y="3064507"/>
                                    <a:ext cx="2471602" cy="6645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0CFF6" w14:textId="77777777" w:rsidR="00723069" w:rsidRDefault="00723069" w:rsidP="00F958A4">
                                      <w:pPr>
                                        <w:pStyle w:val="Normlnywebov"/>
                                        <w:spacing w:before="0" w:beforeAutospacing="0" w:after="0" w:afterAutospacing="0"/>
                                        <w:jc w:val="center"/>
                                      </w:pPr>
                                      <w:r>
                                        <w:rPr>
                                          <w:rFonts w:ascii="Arial Narrow" w:hAnsi="Arial Narrow" w:cstheme="minorBidi"/>
                                          <w:color w:val="FFFFFF" w:themeColor="background1"/>
                                          <w:kern w:val="24"/>
                                          <w:sz w:val="18"/>
                                          <w:szCs w:val="18"/>
                                        </w:rPr>
                                        <w:t>Dodatok k Zmluve o poskytovaní verejných služieb s ST</w:t>
                                      </w:r>
                                    </w:p>
                                    <w:p w14:paraId="0496C160" w14:textId="77777777" w:rsidR="00723069" w:rsidRDefault="00723069" w:rsidP="00F958A4">
                                      <w:pPr>
                                        <w:pStyle w:val="Normlnywebov"/>
                                        <w:spacing w:before="0" w:beforeAutospacing="0" w:after="0" w:afterAutospacing="0"/>
                                        <w:jc w:val="center"/>
                                      </w:pPr>
                                      <w:r>
                                        <w:rPr>
                                          <w:rFonts w:ascii="Arial Narrow" w:hAnsi="Arial Narrow" w:cstheme="minorBidi"/>
                                          <w:color w:val="FFFFFF" w:themeColor="background1"/>
                                          <w:kern w:val="24"/>
                                          <w:sz w:val="18"/>
                                          <w:szCs w:val="18"/>
                                        </w:rPr>
                                        <w:t>(9/2015 – do ukončenia implementácie  projektu EDUNET SK )</w:t>
                                      </w:r>
                                    </w:p>
                                  </w:txbxContent>
                                </wps:txbx>
                                <wps:bodyPr rtlCol="0" anchor="ctr"/>
                              </wps:wsp>
                            </wpg:grpSp>
                          </wpg:grpSp>
                          <wpg:grpSp>
                            <wpg:cNvPr id="299" name="Skupina 299"/>
                            <wpg:cNvGrpSpPr/>
                            <wpg:grpSpPr>
                              <a:xfrm>
                                <a:off x="5170573" y="1045939"/>
                                <a:ext cx="3872928" cy="516714"/>
                                <a:chOff x="5170573" y="1045939"/>
                                <a:chExt cx="4431263" cy="665879"/>
                              </a:xfrm>
                            </wpg:grpSpPr>
                            <wps:wsp>
                              <wps:cNvPr id="300" name="Zaoblený obdĺžnik 300"/>
                              <wps:cNvSpPr/>
                              <wps:spPr>
                                <a:xfrm rot="10800000">
                                  <a:off x="6071918" y="1045940"/>
                                  <a:ext cx="3529918" cy="665018"/>
                                </a:xfrm>
                                <a:prstGeom prst="roundRect">
                                  <a:avLst/>
                                </a:prstGeom>
                                <a:gradFill flip="none" rotWithShape="1">
                                  <a:gsLst>
                                    <a:gs pos="0">
                                      <a:schemeClr val="accent1">
                                        <a:lumMod val="40000"/>
                                        <a:lumOff val="60000"/>
                                      </a:schemeClr>
                                    </a:gs>
                                    <a:gs pos="22000">
                                      <a:srgbClr val="92D050"/>
                                    </a:gs>
                                    <a:gs pos="100000">
                                      <a:srgbClr val="92D05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1" name="Zaoblený obdĺžnik 301"/>
                              <wps:cNvSpPr/>
                              <wps:spPr>
                                <a:xfrm>
                                  <a:off x="5170573" y="1045939"/>
                                  <a:ext cx="3379465" cy="665879"/>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52B69" w14:textId="77777777" w:rsidR="00723069" w:rsidRDefault="00723069" w:rsidP="00F958A4">
                                    <w:pPr>
                                      <w:pStyle w:val="Normlnywebov"/>
                                      <w:spacing w:before="0" w:beforeAutospacing="0" w:after="0" w:afterAutospacing="0"/>
                                      <w:jc w:val="center"/>
                                    </w:pPr>
                                    <w:r>
                                      <w:rPr>
                                        <w:rFonts w:ascii="Arial Narrow" w:hAnsi="Arial Narrow" w:cstheme="minorBidi"/>
                                        <w:color w:val="632423" w:themeColor="accent2" w:themeShade="80"/>
                                        <w:kern w:val="24"/>
                                        <w:sz w:val="18"/>
                                        <w:szCs w:val="18"/>
                                      </w:rPr>
                                      <w:t xml:space="preserve">Rámcová zmluva so SWAN </w:t>
                                    </w:r>
                                  </w:p>
                                  <w:p w14:paraId="5DDF2313" w14:textId="77777777" w:rsidR="00723069" w:rsidRDefault="00723069" w:rsidP="00F958A4">
                                    <w:pPr>
                                      <w:pStyle w:val="Normlnywebov"/>
                                      <w:spacing w:before="0" w:beforeAutospacing="0" w:after="0" w:afterAutospacing="0"/>
                                      <w:jc w:val="center"/>
                                    </w:pPr>
                                    <w:r>
                                      <w:rPr>
                                        <w:rFonts w:ascii="Arial Narrow" w:hAnsi="Arial Narrow" w:cstheme="minorBidi"/>
                                        <w:color w:val="632423" w:themeColor="accent2" w:themeShade="80"/>
                                        <w:kern w:val="24"/>
                                        <w:sz w:val="18"/>
                                        <w:szCs w:val="18"/>
                                      </w:rPr>
                                      <w:t>(10/2018 – 10/2022)</w:t>
                                    </w:r>
                                  </w:p>
                                </w:txbxContent>
                              </wps:txbx>
                              <wps:bodyPr rtlCol="0" anchor="ctr"/>
                            </wps:wsp>
                          </wpg:grpSp>
                          <wpg:grpSp>
                            <wpg:cNvPr id="302" name="Skupina 302"/>
                            <wpg:cNvGrpSpPr/>
                            <wpg:grpSpPr>
                              <a:xfrm>
                                <a:off x="6514070" y="1603332"/>
                                <a:ext cx="2529432" cy="517755"/>
                                <a:chOff x="6514070" y="1603332"/>
                                <a:chExt cx="4431254" cy="667216"/>
                              </a:xfrm>
                            </wpg:grpSpPr>
                            <wps:wsp>
                              <wps:cNvPr id="303" name="Zaoblený obdĺžnik 303"/>
                              <wps:cNvSpPr/>
                              <wps:spPr>
                                <a:xfrm rot="10800000">
                                  <a:off x="7415406" y="1603332"/>
                                  <a:ext cx="3529918" cy="665018"/>
                                </a:xfrm>
                                <a:prstGeom prst="roundRect">
                                  <a:avLst/>
                                </a:prstGeom>
                                <a:gradFill flip="none" rotWithShape="1">
                                  <a:gsLst>
                                    <a:gs pos="0">
                                      <a:schemeClr val="accent1">
                                        <a:lumMod val="40000"/>
                                        <a:lumOff val="60000"/>
                                      </a:schemeClr>
                                    </a:gs>
                                    <a:gs pos="8000">
                                      <a:srgbClr val="92D050"/>
                                    </a:gs>
                                    <a:gs pos="100000">
                                      <a:srgbClr val="92D05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4" name="Zaoblený obdĺžnik 304"/>
                              <wps:cNvSpPr/>
                              <wps:spPr>
                                <a:xfrm>
                                  <a:off x="6514070" y="1604673"/>
                                  <a:ext cx="4020276" cy="66587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17820" w14:textId="77777777" w:rsidR="00723069" w:rsidRDefault="00723069" w:rsidP="00F958A4">
                                    <w:pPr>
                                      <w:pStyle w:val="Normlnywebov"/>
                                      <w:spacing w:before="0" w:beforeAutospacing="0" w:after="0" w:afterAutospacing="0"/>
                                      <w:jc w:val="center"/>
                                    </w:pPr>
                                    <w:r>
                                      <w:rPr>
                                        <w:rFonts w:ascii="Arial Narrow" w:hAnsi="Arial Narrow" w:cstheme="minorBidi"/>
                                        <w:color w:val="632423" w:themeColor="accent2" w:themeShade="80"/>
                                        <w:kern w:val="24"/>
                                        <w:sz w:val="18"/>
                                        <w:szCs w:val="18"/>
                                      </w:rPr>
                                      <w:t>reálne zapájanie škôl do EDUNETu (od 10/2019)</w:t>
                                    </w:r>
                                  </w:p>
                                </w:txbxContent>
                              </wps:txbx>
                              <wps:bodyPr rtlCol="0" anchor="ctr"/>
                            </wps:wsp>
                          </wpg:grpSp>
                          <wpg:grpSp>
                            <wpg:cNvPr id="305" name="Skupina 305"/>
                            <wpg:cNvGrpSpPr/>
                            <wpg:grpSpPr>
                              <a:xfrm>
                                <a:off x="426485" y="2167749"/>
                                <a:ext cx="8382424" cy="888023"/>
                                <a:chOff x="426485" y="2167749"/>
                                <a:chExt cx="8382424" cy="888023"/>
                              </a:xfrm>
                            </wpg:grpSpPr>
                            <wps:wsp>
                              <wps:cNvPr id="306" name="Šípka doprava 306"/>
                              <wps:cNvSpPr/>
                              <wps:spPr>
                                <a:xfrm>
                                  <a:off x="426485" y="2167749"/>
                                  <a:ext cx="8382424" cy="888023"/>
                                </a:xfrm>
                                <a:prstGeom prst="rightArrow">
                                  <a:avLst>
                                    <a:gd name="adj1" fmla="val 75743"/>
                                    <a:gd name="adj2" fmla="val 8564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07" name="Skupina 307"/>
                              <wpg:cNvGrpSpPr/>
                              <wpg:grpSpPr>
                                <a:xfrm>
                                  <a:off x="593883" y="2343594"/>
                                  <a:ext cx="7482254" cy="536331"/>
                                  <a:chOff x="593883" y="2343594"/>
                                  <a:chExt cx="7482254" cy="536331"/>
                                </a:xfrm>
                              </wpg:grpSpPr>
                              <wps:wsp>
                                <wps:cNvPr id="308" name="Zaoblený obdĺžnik 308"/>
                                <wps:cNvSpPr/>
                                <wps:spPr>
                                  <a:xfrm>
                                    <a:off x="593883" y="2343594"/>
                                    <a:ext cx="1195754" cy="536331"/>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7A56DD" w14:textId="77777777" w:rsidR="00723069" w:rsidRDefault="00723069" w:rsidP="00F958A4">
                                      <w:pPr>
                                        <w:pStyle w:val="Normlnywebov"/>
                                        <w:spacing w:before="0" w:beforeAutospacing="0" w:after="0" w:afterAutospacing="0"/>
                                        <w:jc w:val="center"/>
                                      </w:pPr>
                                      <w:r>
                                        <w:rPr>
                                          <w:rFonts w:ascii="Arial Narrow" w:hAnsi="Arial Narrow" w:cstheme="minorBidi"/>
                                          <w:color w:val="002060"/>
                                          <w:kern w:val="24"/>
                                          <w:sz w:val="22"/>
                                          <w:szCs w:val="22"/>
                                        </w:rPr>
                                        <w:t>2015</w:t>
                                      </w:r>
                                    </w:p>
                                  </w:txbxContent>
                                </wps:txbx>
                                <wps:bodyPr rtlCol="0" anchor="ctr"/>
                              </wps:wsp>
                              <wps:wsp>
                                <wps:cNvPr id="309" name="Zaoblený obdĺžnik 309"/>
                                <wps:cNvSpPr/>
                                <wps:spPr>
                                  <a:xfrm>
                                    <a:off x="1851183" y="2343594"/>
                                    <a:ext cx="1195754" cy="536331"/>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3440F" w14:textId="77777777" w:rsidR="00723069" w:rsidRDefault="00723069" w:rsidP="00F958A4">
                                      <w:pPr>
                                        <w:pStyle w:val="Normlnywebov"/>
                                        <w:spacing w:before="0" w:beforeAutospacing="0" w:after="0" w:afterAutospacing="0"/>
                                        <w:jc w:val="center"/>
                                      </w:pPr>
                                      <w:r>
                                        <w:rPr>
                                          <w:rFonts w:ascii="Arial Narrow" w:hAnsi="Arial Narrow" w:cstheme="minorBidi"/>
                                          <w:color w:val="002060"/>
                                          <w:kern w:val="24"/>
                                          <w:sz w:val="22"/>
                                          <w:szCs w:val="22"/>
                                        </w:rPr>
                                        <w:t>2016</w:t>
                                      </w:r>
                                    </w:p>
                                  </w:txbxContent>
                                </wps:txbx>
                                <wps:bodyPr rtlCol="0" anchor="ctr"/>
                              </wps:wsp>
                              <wps:wsp>
                                <wps:cNvPr id="310" name="Zaoblený obdĺžnik 310"/>
                                <wps:cNvSpPr/>
                                <wps:spPr>
                                  <a:xfrm>
                                    <a:off x="3108483" y="2343594"/>
                                    <a:ext cx="1195754" cy="536331"/>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36E33F" w14:textId="77777777" w:rsidR="00723069" w:rsidRDefault="00723069" w:rsidP="00F958A4">
                                      <w:pPr>
                                        <w:pStyle w:val="Normlnywebov"/>
                                        <w:spacing w:before="0" w:beforeAutospacing="0" w:after="0" w:afterAutospacing="0"/>
                                        <w:jc w:val="center"/>
                                      </w:pPr>
                                      <w:r>
                                        <w:rPr>
                                          <w:rFonts w:ascii="Arial Narrow" w:hAnsi="Arial Narrow" w:cstheme="minorBidi"/>
                                          <w:color w:val="002060"/>
                                          <w:kern w:val="24"/>
                                          <w:sz w:val="22"/>
                                          <w:szCs w:val="22"/>
                                        </w:rPr>
                                        <w:t>2017</w:t>
                                      </w:r>
                                    </w:p>
                                  </w:txbxContent>
                                </wps:txbx>
                                <wps:bodyPr rtlCol="0" anchor="ctr"/>
                              </wps:wsp>
                              <wps:wsp>
                                <wps:cNvPr id="311" name="Zaoblený obdĺžnik 311"/>
                                <wps:cNvSpPr/>
                                <wps:spPr>
                                  <a:xfrm>
                                    <a:off x="4365783" y="2343594"/>
                                    <a:ext cx="1195754" cy="536331"/>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89BAA" w14:textId="77777777" w:rsidR="00723069" w:rsidRDefault="00723069" w:rsidP="00F958A4">
                                      <w:pPr>
                                        <w:pStyle w:val="Normlnywebov"/>
                                        <w:spacing w:before="0" w:beforeAutospacing="0" w:after="0" w:afterAutospacing="0"/>
                                        <w:jc w:val="center"/>
                                      </w:pPr>
                                      <w:r>
                                        <w:rPr>
                                          <w:rFonts w:ascii="Arial Narrow" w:hAnsi="Arial Narrow" w:cstheme="minorBidi"/>
                                          <w:color w:val="002060"/>
                                          <w:kern w:val="24"/>
                                          <w:sz w:val="22"/>
                                          <w:szCs w:val="22"/>
                                        </w:rPr>
                                        <w:t>2018</w:t>
                                      </w:r>
                                    </w:p>
                                  </w:txbxContent>
                                </wps:txbx>
                                <wps:bodyPr rtlCol="0" anchor="ctr"/>
                              </wps:wsp>
                              <wps:wsp>
                                <wps:cNvPr id="312" name="Zaoblený obdĺžnik 312"/>
                                <wps:cNvSpPr/>
                                <wps:spPr>
                                  <a:xfrm>
                                    <a:off x="5623083" y="2343594"/>
                                    <a:ext cx="1195754" cy="536331"/>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88FF1" w14:textId="77777777" w:rsidR="00723069" w:rsidRDefault="00723069" w:rsidP="00F958A4">
                                      <w:pPr>
                                        <w:pStyle w:val="Normlnywebov"/>
                                        <w:spacing w:before="0" w:beforeAutospacing="0" w:after="0" w:afterAutospacing="0"/>
                                        <w:jc w:val="center"/>
                                      </w:pPr>
                                      <w:r>
                                        <w:rPr>
                                          <w:rFonts w:ascii="Arial Narrow" w:hAnsi="Arial Narrow" w:cstheme="minorBidi"/>
                                          <w:color w:val="002060"/>
                                          <w:kern w:val="24"/>
                                          <w:sz w:val="22"/>
                                          <w:szCs w:val="22"/>
                                        </w:rPr>
                                        <w:t>2019</w:t>
                                      </w:r>
                                    </w:p>
                                  </w:txbxContent>
                                </wps:txbx>
                                <wps:bodyPr rtlCol="0" anchor="ctr"/>
                              </wps:wsp>
                              <wps:wsp>
                                <wps:cNvPr id="313" name="Zaoblený obdĺžnik 313"/>
                                <wps:cNvSpPr/>
                                <wps:spPr>
                                  <a:xfrm>
                                    <a:off x="6880383" y="2343594"/>
                                    <a:ext cx="1195754" cy="536331"/>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F6D975" w14:textId="77777777" w:rsidR="00723069" w:rsidRDefault="00723069" w:rsidP="00F958A4">
                                      <w:pPr>
                                        <w:pStyle w:val="Normlnywebov"/>
                                        <w:spacing w:before="0" w:beforeAutospacing="0" w:after="0" w:afterAutospacing="0"/>
                                        <w:jc w:val="center"/>
                                      </w:pPr>
                                      <w:r>
                                        <w:rPr>
                                          <w:rFonts w:ascii="Arial Narrow" w:hAnsi="Arial Narrow" w:cstheme="minorBidi"/>
                                          <w:color w:val="002060"/>
                                          <w:kern w:val="24"/>
                                          <w:sz w:val="22"/>
                                          <w:szCs w:val="22"/>
                                        </w:rPr>
                                        <w:t>2020</w:t>
                                      </w:r>
                                    </w:p>
                                  </w:txbxContent>
                                </wps:txbx>
                                <wps:bodyPr rtlCol="0" anchor="ctr"/>
                              </wps:wsp>
                            </wpg:grpSp>
                          </wpg:grpSp>
                          <wps:wsp>
                            <wps:cNvPr id="314" name="Šípka nadol 314"/>
                            <wps:cNvSpPr/>
                            <wps:spPr>
                              <a:xfrm>
                                <a:off x="4592419" y="14130"/>
                                <a:ext cx="1365927" cy="1011015"/>
                              </a:xfrm>
                              <a:prstGeom prst="downArrow">
                                <a:avLst>
                                  <a:gd name="adj1" fmla="val 71895"/>
                                  <a:gd name="adj2" fmla="val 37378"/>
                                </a:avLst>
                              </a:prstGeom>
                              <a:solidFill>
                                <a:srgbClr val="FF97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12D39" w14:textId="77777777" w:rsidR="00723069" w:rsidRPr="00EF12AB" w:rsidRDefault="00723069" w:rsidP="00F958A4">
                                  <w:pPr>
                                    <w:pStyle w:val="Normlnywebov"/>
                                    <w:spacing w:before="0" w:beforeAutospacing="0" w:after="0" w:afterAutospacing="0"/>
                                    <w:jc w:val="center"/>
                                    <w:rPr>
                                      <w:sz w:val="22"/>
                                    </w:rPr>
                                  </w:pPr>
                                  <w:r w:rsidRPr="00EF12AB">
                                    <w:rPr>
                                      <w:rFonts w:ascii="Arial Narrow" w:hAnsi="Arial Narrow" w:cstheme="minorBidi"/>
                                      <w:color w:val="C00000"/>
                                      <w:kern w:val="24"/>
                                      <w:sz w:val="18"/>
                                      <w:szCs w:val="20"/>
                                    </w:rPr>
                                    <w:t>pokuta 790,7 tis. (9/2018)</w:t>
                                  </w:r>
                                </w:p>
                              </w:txbxContent>
                            </wps:txbx>
                            <wps:bodyPr rtlCol="0" anchor="ctr"/>
                          </wps:wsp>
                          <wps:wsp>
                            <wps:cNvPr id="315" name="Šípka nadol 315"/>
                            <wps:cNvSpPr/>
                            <wps:spPr>
                              <a:xfrm>
                                <a:off x="6013490" y="14130"/>
                                <a:ext cx="1439120" cy="1011014"/>
                              </a:xfrm>
                              <a:prstGeom prst="downArrow">
                                <a:avLst>
                                  <a:gd name="adj1" fmla="val 71895"/>
                                  <a:gd name="adj2" fmla="val 35719"/>
                                </a:avLst>
                              </a:prstGeom>
                              <a:solidFill>
                                <a:srgbClr val="FF97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30EE1A" w14:textId="77777777" w:rsidR="00723069" w:rsidRPr="00EF12AB" w:rsidRDefault="00723069" w:rsidP="00F958A4">
                                  <w:pPr>
                                    <w:pStyle w:val="Normlnywebov"/>
                                    <w:spacing w:before="0" w:beforeAutospacing="0" w:after="0" w:afterAutospacing="0"/>
                                    <w:jc w:val="center"/>
                                    <w:rPr>
                                      <w:sz w:val="22"/>
                                    </w:rPr>
                                  </w:pPr>
                                  <w:r w:rsidRPr="00EF12AB">
                                    <w:rPr>
                                      <w:rFonts w:ascii="Arial Narrow" w:hAnsi="Arial Narrow" w:cstheme="minorBidi"/>
                                      <w:color w:val="C00000"/>
                                      <w:kern w:val="24"/>
                                      <w:sz w:val="18"/>
                                      <w:szCs w:val="20"/>
                                    </w:rPr>
                                    <w:t>pokuta 250,9 tis.</w:t>
                                  </w:r>
                                </w:p>
                                <w:p w14:paraId="3D2B21CE" w14:textId="77777777" w:rsidR="00723069" w:rsidRPr="00EF12AB" w:rsidRDefault="00723069" w:rsidP="00F958A4">
                                  <w:pPr>
                                    <w:pStyle w:val="Normlnywebov"/>
                                    <w:spacing w:before="0" w:beforeAutospacing="0" w:after="0" w:afterAutospacing="0"/>
                                    <w:jc w:val="center"/>
                                    <w:rPr>
                                      <w:sz w:val="22"/>
                                    </w:rPr>
                                  </w:pPr>
                                  <w:r w:rsidRPr="00EF12AB">
                                    <w:rPr>
                                      <w:rFonts w:ascii="Arial Narrow" w:hAnsi="Arial Narrow" w:cstheme="minorBidi"/>
                                      <w:color w:val="C00000"/>
                                      <w:kern w:val="24"/>
                                      <w:sz w:val="18"/>
                                      <w:szCs w:val="20"/>
                                    </w:rPr>
                                    <w:t>(9/2018)</w:t>
                                  </w:r>
                                </w:p>
                              </w:txbxContent>
                            </wps:txbx>
                            <wps:bodyPr rtlCol="0" anchor="ctr"/>
                          </wps:wsp>
                        </wpg:grpSp>
                      </wpg:grpSp>
                      <wps:wsp>
                        <wps:cNvPr id="14" name="Zaoblený obdĺžnik 14"/>
                        <wps:cNvSpPr/>
                        <wps:spPr>
                          <a:xfrm>
                            <a:off x="130629" y="65314"/>
                            <a:ext cx="2394857" cy="160020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BCA4D1" w14:textId="77777777" w:rsidR="00723069" w:rsidRPr="005716AB" w:rsidRDefault="00723069" w:rsidP="00F958A4">
                              <w:pPr>
                                <w:jc w:val="both"/>
                                <w:rPr>
                                  <w:b/>
                                  <w:color w:val="000000" w:themeColor="text1"/>
                                  <w:sz w:val="20"/>
                                </w:rPr>
                              </w:pPr>
                              <w:r w:rsidRPr="005716AB">
                                <w:rPr>
                                  <w:b/>
                                  <w:color w:val="000000" w:themeColor="text1"/>
                                  <w:sz w:val="20"/>
                                </w:rPr>
                                <w:t>Schéma</w:t>
                              </w:r>
                              <w:r>
                                <w:rPr>
                                  <w:b/>
                                  <w:color w:val="000000" w:themeColor="text1"/>
                                  <w:sz w:val="20"/>
                                </w:rPr>
                                <w:t xml:space="preserve"> 1</w:t>
                              </w:r>
                              <w:r w:rsidRPr="005716AB">
                                <w:rPr>
                                  <w:b/>
                                  <w:color w:val="000000" w:themeColor="text1"/>
                                  <w:sz w:val="20"/>
                                </w:rPr>
                                <w:t xml:space="preserve">: </w:t>
                              </w:r>
                            </w:p>
                            <w:p w14:paraId="720BBC9D" w14:textId="77777777" w:rsidR="00723069" w:rsidRPr="005716AB" w:rsidRDefault="00723069" w:rsidP="00F958A4">
                              <w:pPr>
                                <w:ind w:firstLine="284"/>
                                <w:jc w:val="both"/>
                                <w:rPr>
                                  <w:b/>
                                  <w:color w:val="000000" w:themeColor="text1"/>
                                  <w:sz w:val="20"/>
                                </w:rPr>
                              </w:pPr>
                              <w:r w:rsidRPr="005716AB">
                                <w:rPr>
                                  <w:b/>
                                  <w:color w:val="000000" w:themeColor="text1"/>
                                  <w:sz w:val="20"/>
                                </w:rPr>
                                <w:t>Časová os prechodu na EDUNET SK</w:t>
                              </w:r>
                            </w:p>
                            <w:p w14:paraId="474FD94E" w14:textId="77777777" w:rsidR="00723069" w:rsidRPr="005716AB" w:rsidRDefault="00723069" w:rsidP="00F958A4">
                              <w:pPr>
                                <w:jc w:val="both"/>
                                <w:rPr>
                                  <w:b/>
                                  <w:color w:val="000000" w:themeColor="text1"/>
                                  <w:sz w:val="20"/>
                                </w:rPr>
                              </w:pPr>
                            </w:p>
                            <w:p w14:paraId="5D50725B" w14:textId="08A99F9C" w:rsidR="00723069" w:rsidRDefault="00723069" w:rsidP="00F958A4">
                              <w:pPr>
                                <w:ind w:left="705" w:hanging="705"/>
                                <w:jc w:val="both"/>
                                <w:rPr>
                                  <w:b/>
                                  <w:color w:val="000000" w:themeColor="text1"/>
                                  <w:sz w:val="20"/>
                                </w:rPr>
                              </w:pPr>
                              <w:r w:rsidRPr="00CD2D36">
                                <w:rPr>
                                  <w:b/>
                                  <w:color w:val="000000" w:themeColor="text1"/>
                                  <w:sz w:val="20"/>
                                </w:rPr>
                                <w:t>Graf</w:t>
                              </w:r>
                              <w:r>
                                <w:rPr>
                                  <w:b/>
                                  <w:color w:val="000000" w:themeColor="text1"/>
                                  <w:sz w:val="20"/>
                                </w:rPr>
                                <w:t xml:space="preserve"> 16</w:t>
                              </w:r>
                              <w:r w:rsidRPr="005716AB">
                                <w:rPr>
                                  <w:b/>
                                  <w:color w:val="000000" w:themeColor="text1"/>
                                  <w:sz w:val="20"/>
                                </w:rPr>
                                <w:t>:</w:t>
                              </w:r>
                              <w:r w:rsidRPr="005716AB">
                                <w:rPr>
                                  <w:b/>
                                  <w:color w:val="000000" w:themeColor="text1"/>
                                  <w:sz w:val="20"/>
                                </w:rPr>
                                <w:tab/>
                              </w:r>
                            </w:p>
                            <w:p w14:paraId="723FF1E9" w14:textId="77777777" w:rsidR="00723069" w:rsidRPr="005716AB" w:rsidRDefault="00723069" w:rsidP="00F958A4">
                              <w:pPr>
                                <w:ind w:left="284"/>
                                <w:jc w:val="both"/>
                                <w:rPr>
                                  <w:b/>
                                  <w:color w:val="000000" w:themeColor="text1"/>
                                  <w:sz w:val="20"/>
                                </w:rPr>
                              </w:pPr>
                              <w:r w:rsidRPr="005716AB">
                                <w:rPr>
                                  <w:b/>
                                  <w:color w:val="000000" w:themeColor="text1"/>
                                  <w:sz w:val="20"/>
                                </w:rPr>
                                <w:t>Vývoj počtu zapojených škôl a platieb v súvislosti s projektami Infovek 2 a EDUNET v rokoch 2015 - 2019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Obdĺžnik 16"/>
                        <wps:cNvSpPr/>
                        <wps:spPr>
                          <a:xfrm>
                            <a:off x="0" y="6629400"/>
                            <a:ext cx="239268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06438" w14:textId="77777777" w:rsidR="00723069" w:rsidRPr="00A2381F" w:rsidRDefault="00723069" w:rsidP="00F958A4">
                              <w:pPr>
                                <w:jc w:val="center"/>
                                <w:rPr>
                                  <w:color w:val="000000" w:themeColor="text1"/>
                                  <w:sz w:val="20"/>
                                </w:rPr>
                              </w:pPr>
                              <w:r w:rsidRPr="00A2381F">
                                <w:rPr>
                                  <w:i/>
                                  <w:color w:val="000000" w:themeColor="text1"/>
                                  <w:sz w:val="18"/>
                                </w:rPr>
                                <w:t>Zdroj: MŠVVaŠ</w:t>
                              </w:r>
                              <w:r>
                                <w:rPr>
                                  <w:i/>
                                  <w:color w:val="000000" w:themeColor="text1"/>
                                  <w:sz w:val="18"/>
                                </w:rPr>
                                <w:t xml:space="preserve"> SR</w:t>
                              </w:r>
                              <w:r w:rsidRPr="00A2381F">
                                <w:rPr>
                                  <w:i/>
                                  <w:color w:val="000000" w:themeColor="text1"/>
                                  <w:sz w:val="18"/>
                                </w:rPr>
                                <w:t>; vlastné spracovanie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DE6BABD" id="Skupina 319" o:spid="_x0000_s1026" style="position:absolute;left:0;text-align:left;margin-left:-1.3pt;margin-top:149.1pt;width:467.95pt;height:539.4pt;z-index:251660288;mso-position-horizontal-relative:margin;mso-height-relative:margin" coordsize="59429,69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NvIwsAADNdAAAOAAAAZHJzL2Uyb0RvYy54bWzsXNuO27gZvi/QdxB834xI6mjEWQySTlAg&#10;3QSbLQL0TiPLh0aWVEkznvRp+gJ9gQK7N9t9r34kRUqWR7bltT2ziXIxsU4U+Yv/9/0n8uV3D6vY&#10;uI/yYpkmkxF5YY6MKAnT6TKZT0Z/+/HmT97IKMogmQZxmkST0ZeoGH336o9/eLnOxhFNF2k8jXID&#10;jSTFeJ1NRouyzMZXV0W4iFZB8SLNogQXZ2m+Ckoc5vOraR6s0foqvqKm6Vyt03ya5WkYFQXOvpEX&#10;R69E+7NZFJbvZ7MiKo14MkLfSvE3F39v+d+rVy+D8TwPssUyrLoRHNGLVbBM8FLd1JugDIy7fLnV&#10;1GoZ5mmRzsoXYbq6SmezZRiJMWA0xGyN5m2e3mViLPPxep5pMUG0LTkd3Wz4/f2H3FhOJyNG/JGR&#10;BCt8pI+f77JlEhj8FAS0zuZj3Pc2zz5mH/LqxFwe8TE/zPIV/x+jMR6EaL9o0UYPpRHipO1b1Hfs&#10;kRHimuPZJvMq4YcLfKGt58LFnx990rdt3yW8V1fqxVe8f7o7+kD3W48PU7E9Pu8846t7GYxPPj4o&#10;SlHPheK3zYWPiyCLxBQr+DdWsoKqSFG9v53+77+//pwsPxtMfLB1Jm7UM6EYF5gUx02DWkz6Ywbj&#10;LC/Kt1G6MviPySiHCgvNCu7fFaX87uoW/tYijZfTm2UciwMOG9HrODfuAyh8EIZRUhLxeHy3+ms6&#10;lectE//4lw/GOM2nn7jdUafRGwFAvCUx0TZeEifGejLybWqLhjeu6cdki+WDmqqNu9B6nKBZLkkp&#10;O/Gr/BJHokfJD9EMGgmlofIF3YMqFsE0kq+yOzsf8wZ5yzNISbctpdLqrxKYFHN1P380ElCqHzZ3&#10;dUw+rJ8Qb06TUj+8WiZp/lgDMT5V9WZ5vxKSFA2X0m06/YI5mqcSyIssvFlimrwLivJDkAO5MXHB&#10;RuV7/JnFKb5TWv0aGYs0/9dj5/n9UCJcHRlrMMFkVPzzLsijkRH/JYF6+cSyOHWIA8t2KQ7y5pXb&#10;5pXkbvU6xdwj4L0sFD/5/WWsfs7ydPUJpHXN34pLQRLi3ZNRWObq4HUpGQq0F0bX1+I20EUWlO+S&#10;j1nIG+dS5Wrw48OnIM8qXSmBtt+nSqWDcUtl5L38ySS9vivT2VLoUy3XSt6AFwmeAlTbOEo9V4GD&#10;4gniHAGjxPQ8Z2SADixmW0yqo6YLjzhQR0kXzHddB59AKOw+OPUptQml8knLorZvit5phGnTxQXg&#10;lHqaehp4ys9iSFz8QN4jAXXvcH8XgCrnJEdxqf8DPp4ZHwe84zxyIN5t2cXUO8YuZqbnO6AFIB4z&#10;HeJKMxbcWhm6nmt5rmtJ5CImY6bltjCvq4naWu5qpBP+KtN5C+V9gO+mtUxxSuBVL29gs8uu51hy&#10;TGrUhPouJZVjQEzq+HZ1h0b6ribqURPPs5mpvAvHNqXj0n/Q+DztQQubpKcLxIjnM0lu+NSPDNpz&#10;bUZBCsIb0v1tOAtdLTTH/GgbnWO+BM/54F0pv78H6W0cJb/8ZKS1B0FxvQ/jWa4P4lcaAzHarbnj&#10;Egt2b0OMglG1CLa5L71Lpj/8Zo9CGv5Nj8Ll5jfvHN6tbWp51PRPOK9x62tgOuHfnMITqA3rpiHN&#10;vwQ3rCpT9iJzn+2Z+8LEPdja6wIAjZtnmfuIhAln2pjFSzhCCWJ2cF7S8tOyXAi/Qvke8wLeOJ/M&#10;88LIUnhJO11CfmNTXXo74POi+S44A9A2fkbrmnSCpf/aRz03GybciT5hy0ADLah4mcDXQ+gOeFWE&#10;QRxNuSwxUYNxuYwjjkoSP9Q3EEIbAOPUoYMDAKN2EaV7dvZ4G/XBcjuJU9hEh4PHhqn5CHFu2Uun&#10;IM7mxNXT/ih86KbTTX2VQa9OINiO/B3a8D4g2G75KEh7FB8QGJEwtAkT/N4KnQdk4BKYnQoZyofb&#10;B0Av1y4VX3yeIAEHZydICPP4YJAgiLoxV3sp2w4p4p6e5cOs4V4KXDPbMYUNg5moUj4qEq+C9aex&#10;r7e1q1tvG4F1GVcf7OuTRNq5Uoi8YOX/9tKNziQccoBqDqvgMT8ltK9XWIF6tufb8KBlNMUy3VYE&#10;2SE+oikIVVeTlzLEXoS1peMKnW3UTrZlMYJ53/AwReRHa0BtKfBoEle9C9gKOv7e4WSLqNFuGJAZ&#10;FM00HE6r7C0QwRRfqUuwzKa+T5qxi1PaDmd2PLpx5Ns1LAb/QyeKpQN23tTlAabFhXBEJ6U6cKRf&#10;eqqNprZZRa9VxIJaLgG2KCy1bE/YKxpLzxWtG6wJbRDsCG0IcsS3OM/k19aEDgAfaWnXhCszFo+n&#10;qP3tlA1O9bcybOKaNiwLbmUQ07J9JlqpczbMcxHUrsjQJg6Cci0jo7OJlpHhVHa249ie++RGBuNR&#10;9R2+Br8uxLkrd91tZDimS4QNoeSqsvsKK37XRsZRoYA6kkpR11gpaj6/1cVMPn1j2irHsGmtNKMV&#10;Ox+BfuvAzBCPFDmIJ4PEHgB4EXuAmTr5+ag9wK/vVfmGI9EJfFrHmetbuiR0G/ZOYQ90asMQNjgz&#10;0etsV495fhC5M25CSmpSIQR+qj+5OzZB2AA8x0kIoS3GRCs1uVN4uhZOihACprNrV/lnHUHobKJF&#10;7ihpqFL9qHV48nI0hjDebnLXH6+7MK2b3F0LkUUU3XXK9Vsmdx7al5nLTmgauP2rKVN+Lr4+Ssn2&#10;aHy//GIL9yynHX21TGpSnluoCpxQ78QR+qS+fqcCDdx+Zm7Xk+X03K5TXDW3V1mtXukBizoWwkuc&#10;gkC4qKps+e0e86hFK1b2PM+kVfpAU3tXCzWzd7Sh53htzVwsN4BiQ6Xnv/77l/9knwNjmmZ5cI+1&#10;XLIMfndaoGG+d41fWe/7Rr9tvS/ni/I6z9O14D+xNoG/bz6tbJFg+g94ILNVjGUcWI9juLarlgU0&#10;74E9Vt/j2Y4lZiOkXrWIXyoryZvfAINWudDtXEW9Nu4aqvROllrvARCdOUOGQPKWwV/luHqBAsJ3&#10;nieDeZRh0QmKbsBJtb2P+mssHqlAwWYOY+2MYVcLNSh0tPG0oLA70I/y6n6O/R4xEuLb7rYYtQhq&#10;/Tx31YBe0Le5zk/H59AljQhDsa6QwJkth4rLexYTXCCrzkydMuiIflX5g10B7wZ9Es8mZBfYDFrS&#10;XcArM3bf3OJWnSSrCmKeoZaQPWkhXO8TI2aoQLEGLalKh4phCfgBS8C1lugyp15G5iW4hOzJpOB6&#10;Hy2xmGO7g5YMWqL2teijJdq2f35aovM4j1tcRNeKdGchGhaX7VB4Mjvcu8HiGiwuHv6qaJb/1Fyi&#10;jfvnpyV7cnXkgFxdQ0scxDrZoCUDlxzDJbV130NN6jC4WJPb2G/gIqaYTnypgHgSTNMYW5vpJMZB&#10;7ILaP2rxHdJ4sYBF5F5YdeiQwETzqV5tQIiJLQ12Jrym6TrpFQ3HlgKiyc2I+UY0nLnMVcX4h0TD&#10;mxm0mxsfq+2rPg/h8DPHwWoPoIcmXaYMjO/FIctr2hqjg3cHaYxjEmbxXUQ6NMZiPuFbacn1OVxj&#10;VCKnY3HZWTTGRiFqNekHjXmGG75pC632BnpozJNyD+bzriqrngQEynGo5B/Hrtir5h/KfOS7Ff8g&#10;74Ea4t38g61FT7EVyvbiCp1d2Uy66FzMkHRp7EwpTYRzk412EZTqfIXbJ5bPa/PEC9i2KCSt8KWx&#10;qaDaivHANJWkZwfIArXlgLEBKdTBJr2CoBkhRC8+6ODnfTu16m2PhnXaJ968QK7T1g7NV6zlz2yT&#10;VGFfYGdukTrH7hx8F3G+9XfzWHi99V7nr/4PAAD//wMAUEsDBBQABgAIAAAAIQBMD9uU4gAAAAsB&#10;AAAPAAAAZHJzL2Rvd25yZXYueG1sTI/LasMwEEX3hf6DmEJ3ifygebiWQwhtV6HQpFC6m1gT28Qa&#10;GUuxnb+vumqXwz3ceybfTKYVA/WusawgnkcgiEurG64UfB5fZysQziNrbC2Tghs52BT3dzlm2o78&#10;QcPBVyKUsMtQQe19l0npypoMurntiEN2tr1BH86+krrHMZSbViZRtJAGGw4LNXa0q6m8HK5GwduI&#10;4zaNX4b95by7fR+f3r/2MSn1+DBtn0F4mvwfDL/6QR2K4HSyV9ZOtApmySKQCpL1KgERgHWapiBO&#10;gUyXywhkkcv/PxQ/AAAA//8DAFBLAQItABQABgAIAAAAIQC2gziS/gAAAOEBAAATAAAAAAAAAAAA&#10;AAAAAAAAAABbQ29udGVudF9UeXBlc10ueG1sUEsBAi0AFAAGAAgAAAAhADj9If/WAAAAlAEAAAsA&#10;AAAAAAAAAAAAAAAALwEAAF9yZWxzLy5yZWxzUEsBAi0AFAAGAAgAAAAhANsEI28jCwAAM10AAA4A&#10;AAAAAAAAAAAAAAAALgIAAGRycy9lMm9Eb2MueG1sUEsBAi0AFAAGAAgAAAAhAEwP25TiAAAACwEA&#10;AA8AAAAAAAAAAAAAAAAAfQ0AAGRycy9kb3ducmV2LnhtbFBLBQYAAAAABAAEAPMAAACMDgAAAAA=&#10;">
                <v:group id="Skupina 318" o:spid="_x0000_s1027" style="position:absolute;width:59429;height:69559" coordsize="59429,6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Obdĺžnik 30" o:spid="_x0000_s1028" style="position:absolute;width:59429;height:69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4jwAAAANsAAAAPAAAAZHJzL2Rvd25yZXYueG1sRE/Pa8Iw&#10;FL4P/B/CG3hb01kYozaKCIK7iLOC12fz1oQ1L6XJtPavXw6DHT++39V6dJ240RCsZwWvWQ6CuPHa&#10;cqvgXO9e3kGEiKyx80wKHhRgvZo9VVhqf+dPup1iK1IIhxIVmBj7UsrQGHIYMt8TJ+7LDw5jgkMr&#10;9YD3FO46ucjzN+nQcmow2NPWUPN9+nEKdra208EU+mPKr3sy12N/qVul5s/jZgki0hj/xX/uvVZQ&#10;pPXpS/oBcvULAAD//wMAUEsBAi0AFAAGAAgAAAAhANvh9svuAAAAhQEAABMAAAAAAAAAAAAAAAAA&#10;AAAAAFtDb250ZW50X1R5cGVzXS54bWxQSwECLQAUAAYACAAAACEAWvQsW78AAAAVAQAACwAAAAAA&#10;AAAAAAAAAAAfAQAAX3JlbHMvLnJlbHNQSwECLQAUAAYACAAAACEAHN/+I8AAAADbAAAADwAAAAAA&#10;AAAAAAAAAAAHAgAAZHJzL2Rvd25yZXYueG1sUEsFBgAAAAADAAMAtwAAAPQCAAAAAA==&#10;" fillcolor="#b8cce4 [1300]" strokecolor="black [3213]"/>
                  <v:group id="Skupina 16" o:spid="_x0000_s1029" style="position:absolute;left:108;top:435;width:58166;height:39776" coordsize="92251,4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Obdĺžnik 288" o:spid="_x0000_s1030" style="position:absolute;width:92251;height:44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fMhwQAAANwAAAAPAAAAZHJzL2Rvd25yZXYueG1sRE/LasJA&#10;FN0X/IfhCt3ViYGIxoxiC0I2Xfj4gGvm5oGZOzEzTdJ+fWchuDycd7afTCsG6l1jWcFyEYEgLqxu&#10;uFJwvRw/1iCcR9bYWiYFv+Rgv5u9ZZhqO/KJhrOvRAhhl6KC2vsuldIVNRl0C9sRB660vUEfYF9J&#10;3eMYwk0r4yhaSYMNh4YaO/qqqbiff4yC4nQ7DPmgj/z3ncRJ+diMn5NX6n0+HbYgPE3+JX66c60g&#10;Xoe14Uw4AnL3DwAA//8DAFBLAQItABQABgAIAAAAIQDb4fbL7gAAAIUBAAATAAAAAAAAAAAAAAAA&#10;AAAAAABbQ29udGVudF9UeXBlc10ueG1sUEsBAi0AFAAGAAgAAAAhAFr0LFu/AAAAFQEAAAsAAAAA&#10;AAAAAAAAAAAAHwEAAF9yZWxzLy5yZWxzUEsBAi0AFAAGAAgAAAAhAAjl8yHBAAAA3AAAAA8AAAAA&#10;AAAAAAAAAAAABwIAAGRycy9kb3ducmV2LnhtbFBLBQYAAAAAAwADALcAAAD1AgAAAAA=&#10;" fillcolor="#b8cce4 [1300]" stroked="f" strokeweight="2pt"/>
                    <v:group id="Skupina 289" o:spid="_x0000_s1031" style="position:absolute;left:3089;top:30617;width:87488;height:10331" coordorigin="3089,30617" coordsize="87487,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group id="Skupina 290" o:spid="_x0000_s1032" style="position:absolute;left:3089;top:30678;width:12972;height:10270" coordorigin="3089,30678" coordsize="18853,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Skupina 291" o:spid="_x0000_s1033" style="position:absolute;left:3189;top:30678;width:18753;height:6650" coordorigin="3189,30678" coordsize="18753,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roundrect id="Zaoblený obdĺžnik 292" o:spid="_x0000_s1034" style="position:absolute;left:4797;top:30678;width:17145;height:6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0QxAAAANwAAAAPAAAAZHJzL2Rvd25yZXYueG1sRI9BS8NA&#10;FITvgv9heQVvdtMcpMZui4gFr01V6O01+8wG896G3U2b+uu7guBxmJlvmNVm4l6dKMTOi4HFvABF&#10;0njbSWvgfb+9X4KKCcVi74UMXCjCZn17s8LK+rPs6FSnVmWIxAoNuJSGSuvYOGKMcz+QZO/LB8aU&#10;ZWi1DXjOcO51WRQPmrGTvOBwoBdHzXc9soHPg/6p+XW7T+PxyGHk3eHy4Yy5m03PT6ASTek//Nd+&#10;swbKxxJ+z+QjoNdXAAAA//8DAFBLAQItABQABgAIAAAAIQDb4fbL7gAAAIUBAAATAAAAAAAAAAAA&#10;AAAAAAAAAABbQ29udGVudF9UeXBlc10ueG1sUEsBAi0AFAAGAAgAAAAhAFr0LFu/AAAAFQEAAAsA&#10;AAAAAAAAAAAAAAAAHwEAAF9yZWxzLy5yZWxzUEsBAi0AFAAGAAgAAAAhAOVmzRDEAAAA3AAAAA8A&#10;AAAAAAAAAAAAAAAABwIAAGRycy9kb3ducmV2LnhtbFBLBQYAAAAAAwADALcAAAD4AgAAAAA=&#10;" fillcolor="#31849b [2408]" stroked="f" strokeweight="2pt"/>
                          <v:roundrect id="Zaoblený obdĺžnik 293" o:spid="_x0000_s1035" style="position:absolute;left:3189;top:30678;width:17145;height:6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DdmxQAAANwAAAAPAAAAZHJzL2Rvd25yZXYueG1sRI/NasJA&#10;FIX3hb7DcAvumkktxBozSikUdGEhplDdXTPXJJi5k2ZGjW/vFIQuD9/54WSLwbTiTL1rLCt4iWIQ&#10;xKXVDVcKvovP5zcQziNrbC2Tgis5WMwfHzJMtb1wTueNr0QoYZeigtr7LpXSlTUZdJHtiAM72N6g&#10;D7KvpO7xEspNK8dxnEiDDYeFGjv6qKk8bk5GwYRPX8XvdtftV0WS/+BhbZdLrdToaXifgfA0+H/z&#10;PR04jKev8HcmHAE5vwEAAP//AwBQSwECLQAUAAYACAAAACEA2+H2y+4AAACFAQAAEwAAAAAAAAAA&#10;AAAAAAAAAAAAW0NvbnRlbnRfVHlwZXNdLnhtbFBLAQItABQABgAIAAAAIQBa9CxbvwAAABUBAAAL&#10;AAAAAAAAAAAAAAAAAB8BAABfcmVscy8ucmVsc1BLAQItABQABgAIAAAAIQD4oDdmxQAAANwAAAAP&#10;AAAAAAAAAAAAAAAAAAcCAABkcnMvZG93bnJldi54bWxQSwUGAAAAAAMAAwC3AAAA+QIAAAAA&#10;" fillcolor="#b8cce4 [1300]" stroked="f" strokeweight="2pt">
                            <v:fill color2="#31849b [2408]" rotate="t" angle="90" colors="0 #b9cde5;41943f #31859c;1 #31859c" focus="100%" type="gradient"/>
                          </v:roundrect>
                        </v:group>
                        <v:roundrect id="Zaoblený obdĺžnik 294" o:spid="_x0000_s1036" style="position:absolute;left:3089;top:30678;width:18853;height:6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62xQAAANwAAAAPAAAAZHJzL2Rvd25yZXYueG1sRI/dasJA&#10;FITvBd9hOYJ3uqmIP6mrSKFFKIKNol4esqdJaPZsmt0m8e1dQejlMDPfMKtNZ0rRUO0KywpexhEI&#10;4tTqgjMFp+P7aAHCeWSNpWVScCMHm3W/t8JY25a/qEl8JgKEXYwKcu+rWEqX5mTQjW1FHLxvWxv0&#10;QdaZ1DW2AW5KOYmimTRYcFjIsaK3nNKf5M8oONvfDzffy+hwuSZthjvTbD/PSg0H3fYVhKfO/4ef&#10;7Z1WMFlO4XEmHAG5vgMAAP//AwBQSwECLQAUAAYACAAAACEA2+H2y+4AAACFAQAAEwAAAAAAAAAA&#10;AAAAAAAAAAAAW0NvbnRlbnRfVHlwZXNdLnhtbFBLAQItABQABgAIAAAAIQBa9CxbvwAAABUBAAAL&#10;AAAAAAAAAAAAAAAAAB8BAABfcmVscy8ucmVsc1BLAQItABQABgAIAAAAIQDy2/62xQAAANwAAAAP&#10;AAAAAAAAAAAAAAAAAAcCAABkcnMvZG93bnJldi54bWxQSwUGAAAAAAMAAwC3AAAA+QIAAAAA&#10;" fillcolor="#365f91 [2404]" stroked="f" strokeweight="2pt">
                          <v:fill color2="#b8cce4 [1300]" angle="270" colors="0 #376092;.5 #376092;1 #b9cde5" focus="100%" type="gradient"/>
                          <v:textbox>
                            <w:txbxContent>
                              <w:p w14:paraId="1E48D47D" w14:textId="77777777" w:rsidR="00723069" w:rsidRDefault="00723069" w:rsidP="00F958A4">
                                <w:pPr>
                                  <w:pStyle w:val="Normlnywebov"/>
                                  <w:spacing w:before="0" w:beforeAutospacing="0" w:after="0" w:afterAutospacing="0"/>
                                  <w:jc w:val="center"/>
                                </w:pPr>
                                <w:r>
                                  <w:rPr>
                                    <w:rFonts w:ascii="Arial Narrow" w:hAnsi="Arial Narrow" w:cstheme="minorBidi"/>
                                    <w:color w:val="FFFFFF" w:themeColor="background1"/>
                                    <w:kern w:val="24"/>
                                    <w:sz w:val="18"/>
                                    <w:szCs w:val="18"/>
                                  </w:rPr>
                                  <w:t>Zmluva o dielo s ST</w:t>
                                </w:r>
                              </w:p>
                              <w:p w14:paraId="6B0C8A56" w14:textId="77777777" w:rsidR="00723069" w:rsidRDefault="00723069" w:rsidP="00F958A4">
                                <w:pPr>
                                  <w:pStyle w:val="Normlnywebov"/>
                                  <w:spacing w:before="0" w:beforeAutospacing="0" w:after="0" w:afterAutospacing="0"/>
                                  <w:jc w:val="center"/>
                                </w:pPr>
                                <w:r>
                                  <w:rPr>
                                    <w:rFonts w:ascii="Arial Narrow" w:hAnsi="Arial Narrow" w:cstheme="minorBidi"/>
                                    <w:color w:val="FFFFFF" w:themeColor="background1"/>
                                    <w:kern w:val="24"/>
                                    <w:sz w:val="18"/>
                                    <w:szCs w:val="18"/>
                                  </w:rPr>
                                  <w:t>(12/2010 – 9/2015)</w:t>
                                </w:r>
                              </w:p>
                            </w:txbxContent>
                          </v:textbox>
                        </v:roundrect>
                      </v:group>
                      <v:roundrect id="Zaoblený obdĺžnik 295" o:spid="_x0000_s1037" style="position:absolute;left:15433;top:30617;width:14485;height:10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0pyxAAAANwAAAAPAAAAZHJzL2Rvd25yZXYueG1sRI9Ba8JA&#10;FITvhf6H5RV6001TFI3ZiCiFgidtwesz+0yC2bfp7iam/fVuodDjMDPfMPl6NK0YyPnGsoKXaQKC&#10;uLS64UrB58fbZAHCB2SNrWVS8E0e1sXjQ46Ztjc+0HAMlYgQ9hkqqEPoMil9WZNBP7UdcfQu1hkM&#10;UbpKaoe3CDetTJNkLg02HBdq7GhbU3k99kbBEM5fvd2/atqcGpekS7/rf0qlnp/GzQpEoDH8h//a&#10;71pBupzB75l4BGRxBwAA//8DAFBLAQItABQABgAIAAAAIQDb4fbL7gAAAIUBAAATAAAAAAAAAAAA&#10;AAAAAAAAAABbQ29udGVudF9UeXBlc10ueG1sUEsBAi0AFAAGAAgAAAAhAFr0LFu/AAAAFQEAAAsA&#10;AAAAAAAAAAAAAAAAHwEAAF9yZWxzLy5yZWxzUEsBAi0AFAAGAAgAAAAhAKRXSnLEAAAA3AAAAA8A&#10;AAAAAAAAAAAAAAAABwIAAGRycy9kb3ducmV2LnhtbFBLBQYAAAAAAwADALcAAAD4AgAAAAA=&#10;" fillcolor="#365f91 [2404]" stroked="f" strokeweight="2pt">
                        <v:textbox>
                          <w:txbxContent>
                            <w:p w14:paraId="5B23F7A8" w14:textId="77777777" w:rsidR="00723069" w:rsidRDefault="00723069" w:rsidP="00F958A4">
                              <w:pPr>
                                <w:pStyle w:val="Normlnywebov"/>
                                <w:spacing w:before="0" w:beforeAutospacing="0" w:after="0" w:afterAutospacing="0"/>
                                <w:jc w:val="center"/>
                              </w:pPr>
                              <w:r>
                                <w:rPr>
                                  <w:rFonts w:ascii="Arial Narrow" w:hAnsi="Arial Narrow" w:cstheme="minorBidi"/>
                                  <w:color w:val="FFFFFF" w:themeColor="background1"/>
                                  <w:kern w:val="24"/>
                                  <w:sz w:val="18"/>
                                  <w:szCs w:val="18"/>
                                </w:rPr>
                                <w:t>Zmluva s ST (9/2015 na 12 mesiacov )</w:t>
                              </w:r>
                            </w:p>
                          </w:txbxContent>
                        </v:textbox>
                      </v:roundrect>
                      <v:group id="Skupina 296" o:spid="_x0000_s1038" style="position:absolute;left:28589;top:30640;width:61988;height:10224" coordorigin="28589,30640" coordsize="44312,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oundrect id="Zaoblený obdĺžnik 297" o:spid="_x0000_s1039" style="position:absolute;left:37602;top:30640;width:35300;height:6650;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5NxQAAANwAAAAPAAAAZHJzL2Rvd25yZXYueG1sRI9BawIx&#10;FITvgv8hvIK3mq1CW1ejSKkiFEGt4vWxeW7W3bwsm6jb/vpGKHgcZuYbZjJrbSWu1PjCsYKXfgKC&#10;OHO64FzB/nvx/A7CB2SNlWNS8EMeZtNuZ4Kpdjfe0nUXchEh7FNUYEKoUyl9Zsii77uaOHon11gM&#10;UTa51A3eItxWcpAkr9JiwXHBYE0fhrJyd7EK1r/nfR2GZdZuNl/rQ7H85KMpleo9tfMxiEBteIT/&#10;2yutYDB6g/uZeATk9A8AAP//AwBQSwECLQAUAAYACAAAACEA2+H2y+4AAACFAQAAEwAAAAAAAAAA&#10;AAAAAAAAAAAAW0NvbnRlbnRfVHlwZXNdLnhtbFBLAQItABQABgAIAAAAIQBa9CxbvwAAABUBAAAL&#10;AAAAAAAAAAAAAAAAAB8BAABfcmVscy8ucmVsc1BLAQItABQABgAIAAAAIQAmfZ5NxQAAANwAAAAP&#10;AAAAAAAAAAAAAAAAAAcCAABkcnMvZG93bnJldi54bWxQSwUGAAAAAAMAAwC3AAAA+QIAAAAA&#10;" fillcolor="#365f91 [2404]" stroked="f" strokeweight="2pt">
                          <v:fill color2="#b8cce4 [1300]" rotate="t" angle="270" colors="0 #376092;.5 #376092;1 #b9cde5" focus="100%" type="gradient"/>
                        </v:roundrect>
                        <v:roundrect id="Zaoblený obdĺžnik 298" o:spid="_x0000_s1040" style="position:absolute;left:28589;top:30645;width:24716;height:66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XswQAAANwAAAAPAAAAZHJzL2Rvd25yZXYueG1sRE/Pa8Iw&#10;FL4L/g/hCbtpagdj1qalbAwGO80Ndn02z7bYvNQkrd3++uUgePz4fuflbHoxkfOdZQXbTQKCuLa6&#10;40bB99fb+hmED8gae8uk4Jc8lMVykWOm7ZU/aTqERsQQ9hkqaEMYMil93ZJBv7EDceRO1hkMEbpG&#10;aofXGG56mSbJkzTYcWxocaCXlurzYTQKpnC8jPbjUVP107kk3fnX8a9W6mE1V3sQgeZwF9/c71pB&#10;uotr45l4BGTxDwAA//8DAFBLAQItABQABgAIAAAAIQDb4fbL7gAAAIUBAAATAAAAAAAAAAAAAAAA&#10;AAAAAABbQ29udGVudF9UeXBlc10ueG1sUEsBAi0AFAAGAAgAAAAhAFr0LFu/AAAAFQEAAAsAAAAA&#10;AAAAAAAAAAAAHwEAAF9yZWxzLy5yZWxzUEsBAi0AFAAGAAgAAAAhAEpW5ezBAAAA3AAAAA8AAAAA&#10;AAAAAAAAAAAABwIAAGRycy9kb3ducmV2LnhtbFBLBQYAAAAAAwADALcAAAD1AgAAAAA=&#10;" fillcolor="#365f91 [2404]" stroked="f" strokeweight="2pt">
                          <v:textbox>
                            <w:txbxContent>
                              <w:p w14:paraId="0DE0CFF6" w14:textId="77777777" w:rsidR="00723069" w:rsidRDefault="00723069" w:rsidP="00F958A4">
                                <w:pPr>
                                  <w:pStyle w:val="Normlnywebov"/>
                                  <w:spacing w:before="0" w:beforeAutospacing="0" w:after="0" w:afterAutospacing="0"/>
                                  <w:jc w:val="center"/>
                                </w:pPr>
                                <w:r>
                                  <w:rPr>
                                    <w:rFonts w:ascii="Arial Narrow" w:hAnsi="Arial Narrow" w:cstheme="minorBidi"/>
                                    <w:color w:val="FFFFFF" w:themeColor="background1"/>
                                    <w:kern w:val="24"/>
                                    <w:sz w:val="18"/>
                                    <w:szCs w:val="18"/>
                                  </w:rPr>
                                  <w:t>Dodatok k Zmluve o poskytovaní verejných služieb s ST</w:t>
                                </w:r>
                              </w:p>
                              <w:p w14:paraId="0496C160" w14:textId="77777777" w:rsidR="00723069" w:rsidRDefault="00723069" w:rsidP="00F958A4">
                                <w:pPr>
                                  <w:pStyle w:val="Normlnywebov"/>
                                  <w:spacing w:before="0" w:beforeAutospacing="0" w:after="0" w:afterAutospacing="0"/>
                                  <w:jc w:val="center"/>
                                </w:pPr>
                                <w:r>
                                  <w:rPr>
                                    <w:rFonts w:ascii="Arial Narrow" w:hAnsi="Arial Narrow" w:cstheme="minorBidi"/>
                                    <w:color w:val="FFFFFF" w:themeColor="background1"/>
                                    <w:kern w:val="24"/>
                                    <w:sz w:val="18"/>
                                    <w:szCs w:val="18"/>
                                  </w:rPr>
                                  <w:t>(9/2015 – do ukončenia implementácie  projektu EDUNET SK )</w:t>
                                </w:r>
                              </w:p>
                            </w:txbxContent>
                          </v:textbox>
                        </v:roundrect>
                      </v:group>
                    </v:group>
                    <v:group id="Skupina 299" o:spid="_x0000_s1041" style="position:absolute;left:51705;top:10459;width:38730;height:5167" coordorigin="51705,10459" coordsize="4431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oundrect id="Zaoblený obdĺžnik 300" o:spid="_x0000_s1042" style="position:absolute;left:60719;top:10459;width:35299;height:6650;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powQAAANwAAAAPAAAAZHJzL2Rvd25yZXYueG1sRE/Pa8Iw&#10;FL4L/g/hCbvZVDdKqUYZMtlOG1a386N5tmXJS22ytvvvl8PA48f3e7ufrBED9b51rGCVpCCIK6db&#10;rhVczsdlDsIHZI3GMSn4JQ/73Xy2xUK7kU80lKEWMYR9gQqaELpCSl81ZNEnriOO3NX1FkOEfS11&#10;j2MMt0au0zSTFluODQ12dGio+i5/rIIXPK67W/6VmQwPbnp9+nz/YKPUw2J63oAINIW7+N/9phU8&#10;pnF+PBOPgNz9AQAA//8DAFBLAQItABQABgAIAAAAIQDb4fbL7gAAAIUBAAATAAAAAAAAAAAAAAAA&#10;AAAAAABbQ29udGVudF9UeXBlc10ueG1sUEsBAi0AFAAGAAgAAAAhAFr0LFu/AAAAFQEAAAsAAAAA&#10;AAAAAAAAAAAAHwEAAF9yZWxzLy5yZWxzUEsBAi0AFAAGAAgAAAAhAAmJemjBAAAA3AAAAA8AAAAA&#10;AAAAAAAAAAAABwIAAGRycy9kb3ducmV2LnhtbFBLBQYAAAAAAwADALcAAAD1AgAAAAA=&#10;" fillcolor="#b8cce4 [1300]" stroked="f" strokeweight="2pt">
                        <v:fill color2="#92d050" rotate="t" angle="90" colors="0 #b9cde5;14418f #92d050;1 #92d050" focus="100%" type="gradient"/>
                      </v:roundrect>
                      <v:roundrect id="Zaoblený obdĺžnik 301" o:spid="_x0000_s1043" style="position:absolute;left:51705;top:10459;width:33795;height:66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rTxAAAANwAAAAPAAAAZHJzL2Rvd25yZXYueG1sRI9BawIx&#10;FITvgv8hPKE3zaq06NYoKgj24KHqweNz87pZ3bwsm6i7/fWmUPA4zMw3zGzR2FLcqfaFYwXDQQKC&#10;OHO64FzB8bDpT0D4gKyxdEwKWvKwmHc7M0y1e/A33fchFxHCPkUFJoQqldJnhiz6gauIo/fjaosh&#10;yjqXusZHhNtSjpLkQ1osOC4YrGhtKLvub1bBquVmPJW/5tLuNit35u3XO56Ueus1y08QgZrwCv+3&#10;t1rBOBnC35l4BOT8CQAA//8DAFBLAQItABQABgAIAAAAIQDb4fbL7gAAAIUBAAATAAAAAAAAAAAA&#10;AAAAAAAAAABbQ29udGVudF9UeXBlc10ueG1sUEsBAi0AFAAGAAgAAAAhAFr0LFu/AAAAFQEAAAsA&#10;AAAAAAAAAAAAAAAAHwEAAF9yZWxzLy5yZWxzUEsBAi0AFAAGAAgAAAAhAHGMitPEAAAA3AAAAA8A&#10;AAAAAAAAAAAAAAAABwIAAGRycy9kb3ducmV2LnhtbFBLBQYAAAAAAwADALcAAAD4AgAAAAA=&#10;" fillcolor="#92d050" stroked="f" strokeweight="2pt">
                        <v:textbox>
                          <w:txbxContent>
                            <w:p w14:paraId="26852B69" w14:textId="77777777" w:rsidR="00723069" w:rsidRDefault="00723069" w:rsidP="00F958A4">
                              <w:pPr>
                                <w:pStyle w:val="Normlnywebov"/>
                                <w:spacing w:before="0" w:beforeAutospacing="0" w:after="0" w:afterAutospacing="0"/>
                                <w:jc w:val="center"/>
                              </w:pPr>
                              <w:r>
                                <w:rPr>
                                  <w:rFonts w:ascii="Arial Narrow" w:hAnsi="Arial Narrow" w:cstheme="minorBidi"/>
                                  <w:color w:val="632423" w:themeColor="accent2" w:themeShade="80"/>
                                  <w:kern w:val="24"/>
                                  <w:sz w:val="18"/>
                                  <w:szCs w:val="18"/>
                                </w:rPr>
                                <w:t xml:space="preserve">Rámcová zmluva so SWAN </w:t>
                              </w:r>
                            </w:p>
                            <w:p w14:paraId="5DDF2313" w14:textId="77777777" w:rsidR="00723069" w:rsidRDefault="00723069" w:rsidP="00F958A4">
                              <w:pPr>
                                <w:pStyle w:val="Normlnywebov"/>
                                <w:spacing w:before="0" w:beforeAutospacing="0" w:after="0" w:afterAutospacing="0"/>
                                <w:jc w:val="center"/>
                              </w:pPr>
                              <w:r>
                                <w:rPr>
                                  <w:rFonts w:ascii="Arial Narrow" w:hAnsi="Arial Narrow" w:cstheme="minorBidi"/>
                                  <w:color w:val="632423" w:themeColor="accent2" w:themeShade="80"/>
                                  <w:kern w:val="24"/>
                                  <w:sz w:val="18"/>
                                  <w:szCs w:val="18"/>
                                </w:rPr>
                                <w:t>(10/2018 – 10/2022)</w:t>
                              </w:r>
                            </w:p>
                          </w:txbxContent>
                        </v:textbox>
                      </v:roundrect>
                    </v:group>
                    <v:group id="Skupina 302" o:spid="_x0000_s1044" style="position:absolute;left:65140;top:16033;width:25295;height:5177" coordorigin="65140,16033" coordsize="44312,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roundrect id="Zaoblený obdĺžnik 303" o:spid="_x0000_s1045" style="position:absolute;left:74154;top:16033;width:35299;height:6650;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QfxAAAANwAAAAPAAAAZHJzL2Rvd25yZXYueG1sRI9Ba8JA&#10;FITvQv/D8gq9mY2xhBBdRcTQnlq0redH9pkEd9/G7FbTf98tCD0OM/MNs1yP1ogrDb5zrGCWpCCI&#10;a6c7bhR8flTTAoQPyBqNY1LwQx7Wq4fJEkvtbryn6yE0IkLYl6igDaEvpfR1SxZ94nri6J3cYDFE&#10;OTRSD3iLcGtklqa5tNhxXGixp21L9fnwbRXssMr6S3HMTY5bN748f729s1Hq6XHcLEAEGsN/+N5+&#10;1Qrm6Rz+zsQjIFe/AAAA//8DAFBLAQItABQABgAIAAAAIQDb4fbL7gAAAIUBAAATAAAAAAAAAAAA&#10;AAAAAAAAAABbQ29udGVudF9UeXBlc10ueG1sUEsBAi0AFAAGAAgAAAAhAFr0LFu/AAAAFQEAAAsA&#10;AAAAAAAAAAAAAAAAHwEAAF9yZWxzLy5yZWxzUEsBAi0AFAAGAAgAAAAhAPlb5B/EAAAA3AAAAA8A&#10;AAAAAAAAAAAAAAAABwIAAGRycy9kb3ducmV2LnhtbFBLBQYAAAAAAwADALcAAAD4AgAAAAA=&#10;" fillcolor="#b8cce4 [1300]" stroked="f" strokeweight="2pt">
                        <v:fill color2="#92d050" rotate="t" angle="90" colors="0 #b9cde5;5243f #92d050;1 #92d050" focus="100%" type="gradient"/>
                      </v:roundrect>
                      <v:roundrect id="Zaoblený obdĺžnik 304" o:spid="_x0000_s1046" style="position:absolute;left:65140;top:16046;width:40203;height:66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LxQAAANwAAAAPAAAAZHJzL2Rvd25yZXYueG1sRI/NbsIw&#10;EITvSH0HaytxA6elVJBiUKmEBAcO/Bw4LvE2DsTrKDaQ9OkxElKPo5n5RjOZNbYUV6p94VjBWz8B&#10;QZw5XXCuYL9b9EYgfEDWWDomBS15mE1fOhNMtbvxhq7bkIsIYZ+iAhNClUrpM0MWfd9VxNH7dbXF&#10;EGWdS13jLcJtKd+T5FNaLDguGKzox1B23l6sgnnLzWAs/8ypXS/m7sjL1RAPSnVfm+8vEIGa8B9+&#10;tpdawSD5gMeZeATk9A4AAP//AwBQSwECLQAUAAYACAAAACEA2+H2y+4AAACFAQAAEwAAAAAAAAAA&#10;AAAAAAAAAAAAW0NvbnRlbnRfVHlwZXNdLnhtbFBLAQItABQABgAIAAAAIQBa9CxbvwAAABUBAAAL&#10;AAAAAAAAAAAAAAAAAB8BAABfcmVscy8ucmVsc1BLAQItABQABgAIAAAAIQBh+ylLxQAAANwAAAAP&#10;AAAAAAAAAAAAAAAAAAcCAABkcnMvZG93bnJldi54bWxQSwUGAAAAAAMAAwC3AAAA+QIAAAAA&#10;" fillcolor="#92d050" stroked="f" strokeweight="2pt">
                        <v:textbox>
                          <w:txbxContent>
                            <w:p w14:paraId="54517820" w14:textId="77777777" w:rsidR="00723069" w:rsidRDefault="00723069" w:rsidP="00F958A4">
                              <w:pPr>
                                <w:pStyle w:val="Normlnywebov"/>
                                <w:spacing w:before="0" w:beforeAutospacing="0" w:after="0" w:afterAutospacing="0"/>
                                <w:jc w:val="center"/>
                              </w:pPr>
                              <w:r>
                                <w:rPr>
                                  <w:rFonts w:ascii="Arial Narrow" w:hAnsi="Arial Narrow" w:cstheme="minorBidi"/>
                                  <w:color w:val="632423" w:themeColor="accent2" w:themeShade="80"/>
                                  <w:kern w:val="24"/>
                                  <w:sz w:val="18"/>
                                  <w:szCs w:val="18"/>
                                </w:rPr>
                                <w:t xml:space="preserve">reálne zapájanie škôl do </w:t>
                              </w:r>
                              <w:proofErr w:type="spellStart"/>
                              <w:r>
                                <w:rPr>
                                  <w:rFonts w:ascii="Arial Narrow" w:hAnsi="Arial Narrow" w:cstheme="minorBidi"/>
                                  <w:color w:val="632423" w:themeColor="accent2" w:themeShade="80"/>
                                  <w:kern w:val="24"/>
                                  <w:sz w:val="18"/>
                                  <w:szCs w:val="18"/>
                                </w:rPr>
                                <w:t>EDUNETu</w:t>
                              </w:r>
                              <w:proofErr w:type="spellEnd"/>
                              <w:r>
                                <w:rPr>
                                  <w:rFonts w:ascii="Arial Narrow" w:hAnsi="Arial Narrow" w:cstheme="minorBidi"/>
                                  <w:color w:val="632423" w:themeColor="accent2" w:themeShade="80"/>
                                  <w:kern w:val="24"/>
                                  <w:sz w:val="18"/>
                                  <w:szCs w:val="18"/>
                                </w:rPr>
                                <w:t xml:space="preserve"> (od 10/2019)</w:t>
                              </w:r>
                            </w:p>
                          </w:txbxContent>
                        </v:textbox>
                      </v:roundrect>
                    </v:group>
                    <v:group id="Skupina 305" o:spid="_x0000_s1047" style="position:absolute;left:4264;top:21677;width:83825;height:8880" coordorigin="4264,21677" coordsize="8382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ípka doprava 306" o:spid="_x0000_s1048" type="#_x0000_t13" style="position:absolute;left:4264;top:21677;width:83825;height:8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khcwgAAANwAAAAPAAAAZHJzL2Rvd25yZXYueG1sRI9PawIx&#10;FMTvBb9DeIK3mlip6GoUsQo9lfoHvD42z93g5mVJoq7fvikUehxm5jfMYtW5RtwpROtZw2ioQBCX&#10;3liuNJyOu9cpiJiQDTaeScOTIqyWvZcFFsY/eE/3Q6pEhnAsUEOdUltIGcuaHMahb4mzd/HBYcoy&#10;VNIEfGS4a+SbUhPp0HJeqLGlTU3l9XBzGrbhi9Ceb9/2PT0vasozXH8YrQf9bj0HkahL/+G/9qfR&#10;MFYT+D2Tj4Bc/gAAAP//AwBQSwECLQAUAAYACAAAACEA2+H2y+4AAACFAQAAEwAAAAAAAAAAAAAA&#10;AAAAAAAAW0NvbnRlbnRfVHlwZXNdLnhtbFBLAQItABQABgAIAAAAIQBa9CxbvwAAABUBAAALAAAA&#10;AAAAAAAAAAAAAB8BAABfcmVscy8ucmVsc1BLAQItABQABgAIAAAAIQB8fkhcwgAAANwAAAAPAAAA&#10;AAAAAAAAAAAAAAcCAABkcnMvZG93bnJldi54bWxQSwUGAAAAAAMAAwC3AAAA9gIAAAAA&#10;" adj="19640,2620" fillcolor="white [3212]" stroked="f" strokeweight="2pt"/>
                      <v:group id="Skupina 307" o:spid="_x0000_s1049" style="position:absolute;left:5938;top:23435;width:74823;height:5364" coordorigin="5938,23435" coordsize="74822,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roundrect id="Zaoblený obdĺžnik 308" o:spid="_x0000_s1050" style="position:absolute;left:5938;top:23435;width:11958;height:5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SI+xAAAANwAAAAPAAAAZHJzL2Rvd25yZXYueG1sRE/LasJA&#10;FN0X/IfhCt2EOjEp0kZHEUFsu2gxKa6vmZsHZu6EzKjp33cWhS4P573ajKYTNxpca1nBfBaDIC6t&#10;brlW8F3sn15AOI+ssbNMCn7IwWY9eVhhpu2dj3TLfS1CCLsMFTTe95mUrmzIoJvZnjhwlR0M+gCH&#10;WuoB7yHcdDKJ44U02HJoaLCnXUPlJb8aBeeqOCTPVRX5w5h+vJ6Sz+v7V6TU43TcLkF4Gv2/+M/9&#10;phWkcVgbzoQjINe/AAAA//8DAFBLAQItABQABgAIAAAAIQDb4fbL7gAAAIUBAAATAAAAAAAAAAAA&#10;AAAAAAAAAABbQ29udGVudF9UeXBlc10ueG1sUEsBAi0AFAAGAAgAAAAhAFr0LFu/AAAAFQEAAAsA&#10;AAAAAAAAAAAAAAAAHwEAAF9yZWxzLy5yZWxzUEsBAi0AFAAGAAgAAAAhAHgNIj7EAAAA3AAAAA8A&#10;AAAAAAAAAAAAAAAABwIAAGRycy9kb3ducmV2LnhtbFBLBQYAAAAAAwADALcAAAD4AgAAAAA=&#10;" fillcolor="#95b3d7 [1940]" stroked="f" strokeweight="2pt">
                          <v:textbox>
                            <w:txbxContent>
                              <w:p w14:paraId="547A56DD" w14:textId="77777777" w:rsidR="00723069" w:rsidRDefault="00723069" w:rsidP="00F958A4">
                                <w:pPr>
                                  <w:pStyle w:val="Normlnywebov"/>
                                  <w:spacing w:before="0" w:beforeAutospacing="0" w:after="0" w:afterAutospacing="0"/>
                                  <w:jc w:val="center"/>
                                </w:pPr>
                                <w:r>
                                  <w:rPr>
                                    <w:rFonts w:ascii="Arial Narrow" w:hAnsi="Arial Narrow" w:cstheme="minorBidi"/>
                                    <w:color w:val="002060"/>
                                    <w:kern w:val="24"/>
                                    <w:sz w:val="22"/>
                                    <w:szCs w:val="22"/>
                                  </w:rPr>
                                  <w:t>2015</w:t>
                                </w:r>
                              </w:p>
                            </w:txbxContent>
                          </v:textbox>
                        </v:roundrect>
                        <v:roundrect id="Zaoblený obdĺžnik 309" o:spid="_x0000_s1051" style="position:absolute;left:18511;top:23435;width:11958;height:5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elxwAAANwAAAAPAAAAZHJzL2Rvd25yZXYueG1sRI9Pa8JA&#10;FMTvBb/D8gQv0mwai9TUVaQg1h5ajOL5NfvyB7NvQ3aj6bd3C4Ueh5n5DbNcD6YRV+pcbVnBUxSD&#10;IM6trrlUcDpuH19AOI+ssbFMCn7IwXo1elhiqu2ND3TNfCkChF2KCirv21RKl1dk0EW2JQ5eYTuD&#10;PsiulLrDW4CbRiZxPJcGaw4LFbb0VlF+yXqj4Ls47pLnopj63TD7WJyTz37/NVVqMh42ryA8Df4/&#10;/Nd+1wpm8QJ+z4QjIFd3AAAA//8DAFBLAQItABQABgAIAAAAIQDb4fbL7gAAAIUBAAATAAAAAAAA&#10;AAAAAAAAAAAAAABbQ29udGVudF9UeXBlc10ueG1sUEsBAi0AFAAGAAgAAAAhAFr0LFu/AAAAFQEA&#10;AAsAAAAAAAAAAAAAAAAAHwEAAF9yZWxzLy5yZWxzUEsBAi0AFAAGAAgAAAAhABdBh6XHAAAA3AAA&#10;AA8AAAAAAAAAAAAAAAAABwIAAGRycy9kb3ducmV2LnhtbFBLBQYAAAAAAwADALcAAAD7AgAAAAA=&#10;" fillcolor="#95b3d7 [1940]" stroked="f" strokeweight="2pt">
                          <v:textbox>
                            <w:txbxContent>
                              <w:p w14:paraId="7463440F" w14:textId="77777777" w:rsidR="00723069" w:rsidRDefault="00723069" w:rsidP="00F958A4">
                                <w:pPr>
                                  <w:pStyle w:val="Normlnywebov"/>
                                  <w:spacing w:before="0" w:beforeAutospacing="0" w:after="0" w:afterAutospacing="0"/>
                                  <w:jc w:val="center"/>
                                </w:pPr>
                                <w:r>
                                  <w:rPr>
                                    <w:rFonts w:ascii="Arial Narrow" w:hAnsi="Arial Narrow" w:cstheme="minorBidi"/>
                                    <w:color w:val="002060"/>
                                    <w:kern w:val="24"/>
                                    <w:sz w:val="22"/>
                                    <w:szCs w:val="22"/>
                                  </w:rPr>
                                  <w:t>2016</w:t>
                                </w:r>
                              </w:p>
                            </w:txbxContent>
                          </v:textbox>
                        </v:roundrect>
                        <v:roundrect id="Zaoblený obdĺžnik 310" o:spid="_x0000_s1052" style="position:absolute;left:31084;top:23435;width:11958;height:5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jlwgAAANwAAAAPAAAAZHJzL2Rvd25yZXYueG1sRE/LisIw&#10;FN0L/kO4ghvR1CqDdowyCKLOwsEHru80tw+muSlN1Pr3k4Xg8nDei1VrKnGnxpWWFYxHEQji1OqS&#10;cwWX82Y4A+E8ssbKMil4koPVsttZYKLtg490P/lchBB2CSoovK8TKV1akEE3sjVx4DLbGPQBNrnU&#10;DT5CuKlkHEUf0mDJoaHAmtYFpX+nm1Hwm5238TTLBn7bTr7n1/hw2/8MlOr32q9PEJ5a/xa/3Dut&#10;YDIO88OZcATk8h8AAP//AwBQSwECLQAUAAYACAAAACEA2+H2y+4AAACFAQAAEwAAAAAAAAAAAAAA&#10;AAAAAAAAW0NvbnRlbnRfVHlwZXNdLnhtbFBLAQItABQABgAIAAAAIQBa9CxbvwAAABUBAAALAAAA&#10;AAAAAAAAAAAAAB8BAABfcmVscy8ucmVsc1BLAQItABQABgAIAAAAIQADorjlwgAAANwAAAAPAAAA&#10;AAAAAAAAAAAAAAcCAABkcnMvZG93bnJldi54bWxQSwUGAAAAAAMAAwC3AAAA9gIAAAAA&#10;" fillcolor="#95b3d7 [1940]" stroked="f" strokeweight="2pt">
                          <v:textbox>
                            <w:txbxContent>
                              <w:p w14:paraId="1F36E33F" w14:textId="77777777" w:rsidR="00723069" w:rsidRDefault="00723069" w:rsidP="00F958A4">
                                <w:pPr>
                                  <w:pStyle w:val="Normlnywebov"/>
                                  <w:spacing w:before="0" w:beforeAutospacing="0" w:after="0" w:afterAutospacing="0"/>
                                  <w:jc w:val="center"/>
                                </w:pPr>
                                <w:r>
                                  <w:rPr>
                                    <w:rFonts w:ascii="Arial Narrow" w:hAnsi="Arial Narrow" w:cstheme="minorBidi"/>
                                    <w:color w:val="002060"/>
                                    <w:kern w:val="24"/>
                                    <w:sz w:val="22"/>
                                    <w:szCs w:val="22"/>
                                  </w:rPr>
                                  <w:t>2017</w:t>
                                </w:r>
                              </w:p>
                            </w:txbxContent>
                          </v:textbox>
                        </v:roundrect>
                        <v:roundrect id="Zaoblený obdĺžnik 311" o:spid="_x0000_s1053" style="position:absolute;left:43657;top:23435;width:11958;height:5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h1+xwAAANwAAAAPAAAAZHJzL2Rvd25yZXYueG1sRI9Pa8JA&#10;FMTvQr/D8gq9SLNJlNKmriJCsXpQqqXn1+zLH5p9G7IbTb+9Kwgeh5n5DTNbDKYRJ+pcbVlBEsUg&#10;iHOray4VfB8/nl9BOI+ssbFMCv7JwWL+MJphpu2Zv+h08KUIEHYZKqi8bzMpXV6RQRfZljh4he0M&#10;+iC7UuoOzwFuGpnG8Ys0WHNYqLClVUX536E3Cn6L4zqdFsXYr4fJ9u0n3fWb/Vipp8dh+Q7C0+Dv&#10;4Vv7UyuYJAlcz4QjIOcXAAAA//8DAFBLAQItABQABgAIAAAAIQDb4fbL7gAAAIUBAAATAAAAAAAA&#10;AAAAAAAAAAAAAABbQ29udGVudF9UeXBlc10ueG1sUEsBAi0AFAAGAAgAAAAhAFr0LFu/AAAAFQEA&#10;AAsAAAAAAAAAAAAAAAAAHwEAAF9yZWxzLy5yZWxzUEsBAi0AFAAGAAgAAAAhAGzuHX7HAAAA3AAA&#10;AA8AAAAAAAAAAAAAAAAABwIAAGRycy9kb3ducmV2LnhtbFBLBQYAAAAAAwADALcAAAD7AgAAAAA=&#10;" fillcolor="#95b3d7 [1940]" stroked="f" strokeweight="2pt">
                          <v:textbox>
                            <w:txbxContent>
                              <w:p w14:paraId="17B89BAA" w14:textId="77777777" w:rsidR="00723069" w:rsidRDefault="00723069" w:rsidP="00F958A4">
                                <w:pPr>
                                  <w:pStyle w:val="Normlnywebov"/>
                                  <w:spacing w:before="0" w:beforeAutospacing="0" w:after="0" w:afterAutospacing="0"/>
                                  <w:jc w:val="center"/>
                                </w:pPr>
                                <w:r>
                                  <w:rPr>
                                    <w:rFonts w:ascii="Arial Narrow" w:hAnsi="Arial Narrow" w:cstheme="minorBidi"/>
                                    <w:color w:val="002060"/>
                                    <w:kern w:val="24"/>
                                    <w:sz w:val="22"/>
                                    <w:szCs w:val="22"/>
                                  </w:rPr>
                                  <w:t>2018</w:t>
                                </w:r>
                              </w:p>
                            </w:txbxContent>
                          </v:textbox>
                        </v:roundrect>
                        <v:roundrect id="Zaoblený obdĺžnik 312" o:spid="_x0000_s1054" style="position:absolute;left:56230;top:23435;width:11958;height:5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MJxwAAANwAAAAPAAAAZHJzL2Rvd25yZXYueG1sRI9Pa8JA&#10;FMTvQr/D8gpeRDfGUjTNKqUg1h5aGsXzM/vyh2bfhuxG02/vFgoeh5n5DZNuBtOIC3WutqxgPotA&#10;EOdW11wqOB620yUI55E1NpZJwS852KwfRikm2l75my6ZL0WAsEtQQeV9m0jp8ooMupltiYNX2M6g&#10;D7Irpe7wGuCmkXEUPUuDNYeFClt6qyj/yXqj4FwcdvFTUUz8blh8rE7xZ7//mig1fhxeX0B4Gvw9&#10;/N9+1woW8xj+zoQjINc3AAAA//8DAFBLAQItABQABgAIAAAAIQDb4fbL7gAAAIUBAAATAAAAAAAA&#10;AAAAAAAAAAAAAABbQ29udGVudF9UeXBlc10ueG1sUEsBAi0AFAAGAAgAAAAhAFr0LFu/AAAAFQEA&#10;AAsAAAAAAAAAAAAAAAAAHwEAAF9yZWxzLy5yZWxzUEsBAi0AFAAGAAgAAAAhAJw8gwnHAAAA3AAA&#10;AA8AAAAAAAAAAAAAAAAABwIAAGRycy9kb3ducmV2LnhtbFBLBQYAAAAAAwADALcAAAD7AgAAAAA=&#10;" fillcolor="#95b3d7 [1940]" stroked="f" strokeweight="2pt">
                          <v:textbox>
                            <w:txbxContent>
                              <w:p w14:paraId="20388FF1" w14:textId="77777777" w:rsidR="00723069" w:rsidRDefault="00723069" w:rsidP="00F958A4">
                                <w:pPr>
                                  <w:pStyle w:val="Normlnywebov"/>
                                  <w:spacing w:before="0" w:beforeAutospacing="0" w:after="0" w:afterAutospacing="0"/>
                                  <w:jc w:val="center"/>
                                </w:pPr>
                                <w:r>
                                  <w:rPr>
                                    <w:rFonts w:ascii="Arial Narrow" w:hAnsi="Arial Narrow" w:cstheme="minorBidi"/>
                                    <w:color w:val="002060"/>
                                    <w:kern w:val="24"/>
                                    <w:sz w:val="22"/>
                                    <w:szCs w:val="22"/>
                                  </w:rPr>
                                  <w:t>2019</w:t>
                                </w:r>
                              </w:p>
                            </w:txbxContent>
                          </v:textbox>
                        </v:roundrect>
                        <v:roundrect id="Zaoblený obdĺžnik 313" o:spid="_x0000_s1055" style="position:absolute;left:68803;top:23435;width:11958;height:5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aSxwAAANwAAAAPAAAAZHJzL2Rvd25yZXYueG1sRI9LawJB&#10;EITvAf/D0EIuEmcfQZLVcQmBYPSQoAbP7U7vA3d6lp1RN//eEQI5FlX1FbXIB9OKC/WusawgnkYg&#10;iAurG64U/Ow/nl5AOI+ssbVMCn7JQb4cPSww0/bKW7rsfCUChF2GCmrvu0xKV9Rk0E1tRxy80vYG&#10;fZB9JXWP1wA3rUyiaCYNNhwWauzovabitDsbBcdyv0qey3LiV0O6eT0kX+f190Spx/HwNgfhafD/&#10;4b/2p1aQxincz4QjIJc3AAAA//8DAFBLAQItABQABgAIAAAAIQDb4fbL7gAAAIUBAAATAAAAAAAA&#10;AAAAAAAAAAAAAABbQ29udGVudF9UeXBlc10ueG1sUEsBAi0AFAAGAAgAAAAhAFr0LFu/AAAAFQEA&#10;AAsAAAAAAAAAAAAAAAAAHwEAAF9yZWxzLy5yZWxzUEsBAi0AFAAGAAgAAAAhAPNwJpLHAAAA3AAA&#10;AA8AAAAAAAAAAAAAAAAABwIAAGRycy9kb3ducmV2LnhtbFBLBQYAAAAAAwADALcAAAD7AgAAAAA=&#10;" fillcolor="#95b3d7 [1940]" stroked="f" strokeweight="2pt">
                          <v:textbox>
                            <w:txbxContent>
                              <w:p w14:paraId="34F6D975" w14:textId="77777777" w:rsidR="00723069" w:rsidRDefault="00723069" w:rsidP="00F958A4">
                                <w:pPr>
                                  <w:pStyle w:val="Normlnywebov"/>
                                  <w:spacing w:before="0" w:beforeAutospacing="0" w:after="0" w:afterAutospacing="0"/>
                                  <w:jc w:val="center"/>
                                </w:pPr>
                                <w:r>
                                  <w:rPr>
                                    <w:rFonts w:ascii="Arial Narrow" w:hAnsi="Arial Narrow" w:cstheme="minorBidi"/>
                                    <w:color w:val="002060"/>
                                    <w:kern w:val="24"/>
                                    <w:sz w:val="22"/>
                                    <w:szCs w:val="22"/>
                                  </w:rPr>
                                  <w:t>2020</w:t>
                                </w:r>
                              </w:p>
                            </w:txbxContent>
                          </v:textbox>
                        </v:roundrect>
                      </v:group>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ípka nadol 314" o:spid="_x0000_s1056" type="#_x0000_t67" style="position:absolute;left:45924;top:141;width:13659;height:10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C93xAAAANwAAAAPAAAAZHJzL2Rvd25yZXYueG1sRI/dasJA&#10;FITvhb7Dcgre1Y0/aEldRQuClCo2+gCH7DEJzZ5Ns0dN374rFLwcZuYbZr7sXK2u1IbKs4HhIAFF&#10;nHtbcWHgdNy8vIIKgmyx9kwGfinAcvHUm2Nq/Y2/6JpJoSKEQ4oGSpEm1TrkJTkMA98QR+/sW4cS&#10;ZVto2+Itwl2tR0ky1Q4rjgslNvReUv6dXZyBzwPtm/XuXBdT3ISP1URm2Y8Y03/uVm+ghDp5hP/b&#10;W2tgPJzA/Uw8AnrxBwAA//8DAFBLAQItABQABgAIAAAAIQDb4fbL7gAAAIUBAAATAAAAAAAAAAAA&#10;AAAAAAAAAABbQ29udGVudF9UeXBlc10ueG1sUEsBAi0AFAAGAAgAAAAhAFr0LFu/AAAAFQEAAAsA&#10;AAAAAAAAAAAAAAAAHwEAAF9yZWxzLy5yZWxzUEsBAi0AFAAGAAgAAAAhAKFwL3fEAAAA3AAAAA8A&#10;AAAAAAAAAAAAAAAABwIAAGRycy9kb3ducmV2LnhtbFBLBQYAAAAAAwADALcAAAD4AgAAAAA=&#10;" adj="13526,3035" fillcolor="#ff9797" stroked="f" strokeweight="2pt">
                      <v:textbox>
                        <w:txbxContent>
                          <w:p w14:paraId="7D012D39" w14:textId="77777777" w:rsidR="00723069" w:rsidRPr="00EF12AB" w:rsidRDefault="00723069" w:rsidP="00F958A4">
                            <w:pPr>
                              <w:pStyle w:val="Normlnywebov"/>
                              <w:spacing w:before="0" w:beforeAutospacing="0" w:after="0" w:afterAutospacing="0"/>
                              <w:jc w:val="center"/>
                              <w:rPr>
                                <w:sz w:val="22"/>
                              </w:rPr>
                            </w:pPr>
                            <w:r w:rsidRPr="00EF12AB">
                              <w:rPr>
                                <w:rFonts w:ascii="Arial Narrow" w:hAnsi="Arial Narrow" w:cstheme="minorBidi"/>
                                <w:color w:val="C00000"/>
                                <w:kern w:val="24"/>
                                <w:sz w:val="18"/>
                                <w:szCs w:val="20"/>
                              </w:rPr>
                              <w:t>pokuta 790,7 tis. (9/2018)</w:t>
                            </w:r>
                          </w:p>
                        </w:txbxContent>
                      </v:textbox>
                    </v:shape>
                    <v:shape id="Šípka nadol 315" o:spid="_x0000_s1057" type="#_x0000_t67" style="position:absolute;left:60134;top:141;width:14392;height:10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qFxgAAANwAAAAPAAAAZHJzL2Rvd25yZXYueG1sRI9Ba8JA&#10;FITvBf/D8gRvdZOKpaSuQYpKKQVRC623R/aZBLNv4+5G47/vCoUeh5n5hpnlvWnEhZyvLStIxwkI&#10;4sLqmksFX/vV4wsIH5A1NpZJwY085PPBwwwzba+8pcsulCJC2GeooAqhzaT0RUUG/di2xNE7Wmcw&#10;ROlKqR1eI9w08ilJnqXBmuNChS29VVScdp1RcF51H8v9ug3Lbu0Om+Tz/P3jUanRsF+8ggjUh//w&#10;X/tdK5ikU7ifiUdAzn8BAAD//wMAUEsBAi0AFAAGAAgAAAAhANvh9svuAAAAhQEAABMAAAAAAAAA&#10;AAAAAAAAAAAAAFtDb250ZW50X1R5cGVzXS54bWxQSwECLQAUAAYACAAAACEAWvQsW78AAAAVAQAA&#10;CwAAAAAAAAAAAAAAAAAfAQAAX3JlbHMvLnJlbHNQSwECLQAUAAYACAAAACEA1m4KhcYAAADcAAAA&#10;DwAAAAAAAAAAAAAAAAAHAgAAZHJzL2Rvd25yZXYueG1sUEsFBgAAAAADAAMAtwAAAPoCAAAAAA==&#10;" adj="13885,3035" fillcolor="#ff9797" stroked="f" strokeweight="2pt">
                      <v:textbox>
                        <w:txbxContent>
                          <w:p w14:paraId="3130EE1A" w14:textId="77777777" w:rsidR="00723069" w:rsidRPr="00EF12AB" w:rsidRDefault="00723069" w:rsidP="00F958A4">
                            <w:pPr>
                              <w:pStyle w:val="Normlnywebov"/>
                              <w:spacing w:before="0" w:beforeAutospacing="0" w:after="0" w:afterAutospacing="0"/>
                              <w:jc w:val="center"/>
                              <w:rPr>
                                <w:sz w:val="22"/>
                              </w:rPr>
                            </w:pPr>
                            <w:r w:rsidRPr="00EF12AB">
                              <w:rPr>
                                <w:rFonts w:ascii="Arial Narrow" w:hAnsi="Arial Narrow" w:cstheme="minorBidi"/>
                                <w:color w:val="C00000"/>
                                <w:kern w:val="24"/>
                                <w:sz w:val="18"/>
                                <w:szCs w:val="20"/>
                              </w:rPr>
                              <w:t>pokuta 250,9 tis.</w:t>
                            </w:r>
                          </w:p>
                          <w:p w14:paraId="3D2B21CE" w14:textId="77777777" w:rsidR="00723069" w:rsidRPr="00EF12AB" w:rsidRDefault="00723069" w:rsidP="00F958A4">
                            <w:pPr>
                              <w:pStyle w:val="Normlnywebov"/>
                              <w:spacing w:before="0" w:beforeAutospacing="0" w:after="0" w:afterAutospacing="0"/>
                              <w:jc w:val="center"/>
                              <w:rPr>
                                <w:sz w:val="22"/>
                              </w:rPr>
                            </w:pPr>
                            <w:r w:rsidRPr="00EF12AB">
                              <w:rPr>
                                <w:rFonts w:ascii="Arial Narrow" w:hAnsi="Arial Narrow" w:cstheme="minorBidi"/>
                                <w:color w:val="C00000"/>
                                <w:kern w:val="24"/>
                                <w:sz w:val="18"/>
                                <w:szCs w:val="20"/>
                              </w:rPr>
                              <w:t>(9/2018)</w:t>
                            </w:r>
                          </w:p>
                        </w:txbxContent>
                      </v:textbox>
                    </v:shape>
                  </v:group>
                </v:group>
                <v:roundrect id="Zaoblený obdĺžnik 14" o:spid="_x0000_s1058" style="position:absolute;left:1306;top:653;width:23948;height:160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7AvwAAANsAAAAPAAAAZHJzL2Rvd25yZXYueG1sRE/JasMw&#10;EL0H8g9iAr3FckspxbFsQsGlEChkuw/W1Da1Ro4kL/37KlDobR5vnbxcTC8mcr6zrOAxSUEQ11Z3&#10;3Ci4nKvtKwgfkDX2lknBD3koi/Uqx0zbmY80nUIjYgj7DBW0IQyZlL5uyaBP7EAcuS/rDIYIXSO1&#10;wzmGm14+pemLNNhxbGhxoLeW6u/TaBRgOppqeQ9Xf3P7w62bx/NBfyr1sFn2OxCBlvAv/nN/6Dj/&#10;Ge6/xANk8QsAAP//AwBQSwECLQAUAAYACAAAACEA2+H2y+4AAACFAQAAEwAAAAAAAAAAAAAAAAAA&#10;AAAAW0NvbnRlbnRfVHlwZXNdLnhtbFBLAQItABQABgAIAAAAIQBa9CxbvwAAABUBAAALAAAAAAAA&#10;AAAAAAAAAB8BAABfcmVscy8ucmVsc1BLAQItABQABgAIAAAAIQASq57AvwAAANsAAAAPAAAAAAAA&#10;AAAAAAAAAAcCAABkcnMvZG93bnJldi54bWxQSwUGAAAAAAMAAwC3AAAA8wIAAAAA&#10;" fillcolor="#b8cce4 [1300]" stroked="f" strokeweight="2pt">
                  <v:textbox>
                    <w:txbxContent>
                      <w:p w14:paraId="3ABCA4D1" w14:textId="77777777" w:rsidR="00723069" w:rsidRPr="005716AB" w:rsidRDefault="00723069" w:rsidP="00F958A4">
                        <w:pPr>
                          <w:jc w:val="both"/>
                          <w:rPr>
                            <w:b/>
                            <w:color w:val="000000" w:themeColor="text1"/>
                            <w:sz w:val="20"/>
                          </w:rPr>
                        </w:pPr>
                        <w:r w:rsidRPr="005716AB">
                          <w:rPr>
                            <w:b/>
                            <w:color w:val="000000" w:themeColor="text1"/>
                            <w:sz w:val="20"/>
                          </w:rPr>
                          <w:t>Schéma</w:t>
                        </w:r>
                        <w:r>
                          <w:rPr>
                            <w:b/>
                            <w:color w:val="000000" w:themeColor="text1"/>
                            <w:sz w:val="20"/>
                          </w:rPr>
                          <w:t xml:space="preserve"> 1</w:t>
                        </w:r>
                        <w:r w:rsidRPr="005716AB">
                          <w:rPr>
                            <w:b/>
                            <w:color w:val="000000" w:themeColor="text1"/>
                            <w:sz w:val="20"/>
                          </w:rPr>
                          <w:t xml:space="preserve">: </w:t>
                        </w:r>
                      </w:p>
                      <w:p w14:paraId="720BBC9D" w14:textId="77777777" w:rsidR="00723069" w:rsidRPr="005716AB" w:rsidRDefault="00723069" w:rsidP="00F958A4">
                        <w:pPr>
                          <w:ind w:firstLine="284"/>
                          <w:jc w:val="both"/>
                          <w:rPr>
                            <w:b/>
                            <w:color w:val="000000" w:themeColor="text1"/>
                            <w:sz w:val="20"/>
                          </w:rPr>
                        </w:pPr>
                        <w:r w:rsidRPr="005716AB">
                          <w:rPr>
                            <w:b/>
                            <w:color w:val="000000" w:themeColor="text1"/>
                            <w:sz w:val="20"/>
                          </w:rPr>
                          <w:t>Časová os prechodu na EDUNET SK</w:t>
                        </w:r>
                      </w:p>
                      <w:p w14:paraId="474FD94E" w14:textId="77777777" w:rsidR="00723069" w:rsidRPr="005716AB" w:rsidRDefault="00723069" w:rsidP="00F958A4">
                        <w:pPr>
                          <w:jc w:val="both"/>
                          <w:rPr>
                            <w:b/>
                            <w:color w:val="000000" w:themeColor="text1"/>
                            <w:sz w:val="20"/>
                          </w:rPr>
                        </w:pPr>
                      </w:p>
                      <w:p w14:paraId="5D50725B" w14:textId="08A99F9C" w:rsidR="00723069" w:rsidRDefault="00723069" w:rsidP="00F958A4">
                        <w:pPr>
                          <w:ind w:left="705" w:hanging="705"/>
                          <w:jc w:val="both"/>
                          <w:rPr>
                            <w:b/>
                            <w:color w:val="000000" w:themeColor="text1"/>
                            <w:sz w:val="20"/>
                          </w:rPr>
                        </w:pPr>
                        <w:r w:rsidRPr="00CD2D36">
                          <w:rPr>
                            <w:b/>
                            <w:color w:val="000000" w:themeColor="text1"/>
                            <w:sz w:val="20"/>
                          </w:rPr>
                          <w:t>Graf</w:t>
                        </w:r>
                        <w:r>
                          <w:rPr>
                            <w:b/>
                            <w:color w:val="000000" w:themeColor="text1"/>
                            <w:sz w:val="20"/>
                          </w:rPr>
                          <w:t xml:space="preserve"> 16</w:t>
                        </w:r>
                        <w:r w:rsidRPr="005716AB">
                          <w:rPr>
                            <w:b/>
                            <w:color w:val="000000" w:themeColor="text1"/>
                            <w:sz w:val="20"/>
                          </w:rPr>
                          <w:t>:</w:t>
                        </w:r>
                        <w:r w:rsidRPr="005716AB">
                          <w:rPr>
                            <w:b/>
                            <w:color w:val="000000" w:themeColor="text1"/>
                            <w:sz w:val="20"/>
                          </w:rPr>
                          <w:tab/>
                        </w:r>
                      </w:p>
                      <w:p w14:paraId="723FF1E9" w14:textId="77777777" w:rsidR="00723069" w:rsidRPr="005716AB" w:rsidRDefault="00723069" w:rsidP="00F958A4">
                        <w:pPr>
                          <w:ind w:left="284"/>
                          <w:jc w:val="both"/>
                          <w:rPr>
                            <w:b/>
                            <w:color w:val="000000" w:themeColor="text1"/>
                            <w:sz w:val="20"/>
                          </w:rPr>
                        </w:pPr>
                        <w:r w:rsidRPr="005716AB">
                          <w:rPr>
                            <w:b/>
                            <w:color w:val="000000" w:themeColor="text1"/>
                            <w:sz w:val="20"/>
                          </w:rPr>
                          <w:t xml:space="preserve">Vývoj počtu zapojených škôl a platieb v súvislosti s projektami </w:t>
                        </w:r>
                        <w:proofErr w:type="spellStart"/>
                        <w:r w:rsidRPr="005716AB">
                          <w:rPr>
                            <w:b/>
                            <w:color w:val="000000" w:themeColor="text1"/>
                            <w:sz w:val="20"/>
                          </w:rPr>
                          <w:t>Infovek</w:t>
                        </w:r>
                        <w:proofErr w:type="spellEnd"/>
                        <w:r w:rsidRPr="005716AB">
                          <w:rPr>
                            <w:b/>
                            <w:color w:val="000000" w:themeColor="text1"/>
                            <w:sz w:val="20"/>
                          </w:rPr>
                          <w:t xml:space="preserve"> 2 a EDUNET v rokoch 2015 - 2019</w:t>
                        </w:r>
                      </w:p>
                    </w:txbxContent>
                  </v:textbox>
                </v:roundrect>
                <v:rect id="Obdĺžnik 16" o:spid="_x0000_s1059" style="position:absolute;top:66294;width:23926;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9FvwAAANsAAAAPAAAAZHJzL2Rvd25yZXYueG1sRE9Ni8Iw&#10;EL0L/ocwwt40VRaRapQiKnpcK4i3sRnbajMpTaz1328WFrzN433OYtWZSrTUuNKygvEoAkGcWV1y&#10;ruCUboczEM4ja6wsk4I3OVgt+70Fxtq++Ifao89FCGEXo4LC+zqW0mUFGXQjWxMH7mYbgz7AJpe6&#10;wVcIN5WcRNFUGiw5NBRY07qg7HF8GgXu2h7Sd52c7xeXXZMNm/T7sFPqa9AlcxCeOv8R/7v3Osyf&#10;wt8v4QC5/AUAAP//AwBQSwECLQAUAAYACAAAACEA2+H2y+4AAACFAQAAEwAAAAAAAAAAAAAAAAAA&#10;AAAAW0NvbnRlbnRfVHlwZXNdLnhtbFBLAQItABQABgAIAAAAIQBa9CxbvwAAABUBAAALAAAAAAAA&#10;AAAAAAAAAB8BAABfcmVscy8ucmVsc1BLAQItABQABgAIAAAAIQDUfQ9FvwAAANsAAAAPAAAAAAAA&#10;AAAAAAAAAAcCAABkcnMvZG93bnJldi54bWxQSwUGAAAAAAMAAwC3AAAA8wIAAAAA&#10;" filled="f" stroked="f" strokeweight="2pt">
                  <v:textbox>
                    <w:txbxContent>
                      <w:p w14:paraId="1A306438" w14:textId="77777777" w:rsidR="00723069" w:rsidRPr="00A2381F" w:rsidRDefault="00723069" w:rsidP="00F958A4">
                        <w:pPr>
                          <w:jc w:val="center"/>
                          <w:rPr>
                            <w:color w:val="000000" w:themeColor="text1"/>
                            <w:sz w:val="20"/>
                          </w:rPr>
                        </w:pPr>
                        <w:r w:rsidRPr="00A2381F">
                          <w:rPr>
                            <w:i/>
                            <w:color w:val="000000" w:themeColor="text1"/>
                            <w:sz w:val="18"/>
                          </w:rPr>
                          <w:t>Zdroj: MŠVVaŠ</w:t>
                        </w:r>
                        <w:r>
                          <w:rPr>
                            <w:i/>
                            <w:color w:val="000000" w:themeColor="text1"/>
                            <w:sz w:val="18"/>
                          </w:rPr>
                          <w:t xml:space="preserve"> SR</w:t>
                        </w:r>
                        <w:r w:rsidRPr="00A2381F">
                          <w:rPr>
                            <w:i/>
                            <w:color w:val="000000" w:themeColor="text1"/>
                            <w:sz w:val="18"/>
                          </w:rPr>
                          <w:t>; vlastné spracovanie</w:t>
                        </w:r>
                      </w:p>
                    </w:txbxContent>
                  </v:textbox>
                </v:rect>
                <w10:wrap type="topAndBottom" anchorx="margin"/>
              </v:group>
            </w:pict>
          </mc:Fallback>
        </mc:AlternateContent>
      </w:r>
      <w:r w:rsidR="00F958A4">
        <w:t xml:space="preserve">Okrem samotných pokút, ďalšiu možnú nehospodárnosť naznačuje relatívne pomalé nabiehanie nového riešenia, čo spôsobuje, že </w:t>
      </w:r>
      <w:r w:rsidR="00F958A4" w:rsidRPr="00A13B1D">
        <w:rPr>
          <w:b/>
        </w:rPr>
        <w:t>ministerstvo už platí novému poskytovateľovi, keďže začal poskytovať služby, no zároveň platí ešte aj starému poskytovateľovi služby</w:t>
      </w:r>
      <w:r w:rsidR="00F958A4" w:rsidRPr="002461B7">
        <w:t>, ktorý stále pokrýva pripojenie veľkej väčšiny škôl.</w:t>
      </w:r>
      <w:r w:rsidR="00F958A4">
        <w:t xml:space="preserve"> Tento stav trvá od októbra 2019, kedy bolo pripojených prvých 25 škôl cez EDUNET SK. Prejavilo sa to výrazným zvýšením celkových výdavkov ministerstva na centralizované zabezpečenie pripojenia škôl v roku 2019 (Schéma 1). Kým na jednej strane ministerstvo zaplatilo spoločnosti SWAN v roku 2019 sumu 4,2 mil. eur, súvisiacu so zapojením 91 škôl, na druhej strane dodávateľovi Slovak Telecom v tom istom roku zaplatilo 4,9 mil. eur, keďže cez neho bolo ku koncu roka 2019 stále pripojených 2 743 škôl. Nabiehanie nového riešenia, s ktorým súvisia značné výdavky, sa takmer vôbec neprejavilo na znížení výdavkov súvisiacich so starým riešením. Zníženie platieb Slovak Telecomu v roku 2019 o približne 0,2 mil. (o 5 %) oproti roku 2018 sa v kontexte predošlých rokov nejaví ako významnejší pokles (Graf 1</w:t>
      </w:r>
      <w:r w:rsidR="00417AF6">
        <w:t>6</w:t>
      </w:r>
      <w:r w:rsidR="00F958A4">
        <w:t xml:space="preserve">), no nárast celkových platieb súvisiacich so zabezpečením pripojenia škôl bol v roku 2019 medziročne </w:t>
      </w:r>
      <w:r w:rsidR="00940633">
        <w:t xml:space="preserve">vyšší </w:t>
      </w:r>
      <w:r w:rsidR="00F958A4">
        <w:t>až o 76 %.</w:t>
      </w:r>
    </w:p>
    <w:p w14:paraId="7B0DCE33" w14:textId="294C5F5C" w:rsidR="00F958A4" w:rsidRDefault="00F958A4" w:rsidP="00F958A4">
      <w:pPr>
        <w:spacing w:before="120" w:after="120"/>
        <w:jc w:val="both"/>
      </w:pPr>
      <w:r>
        <w:lastRenderedPageBreak/>
        <w:t>Podobný obraz ukazuje aj detailnejší pohľad na mesačné dáta rokov 2019 a 2020 (</w:t>
      </w:r>
      <w:r w:rsidR="00966D22">
        <w:t>Graf 1</w:t>
      </w:r>
      <w:r w:rsidR="00417AF6">
        <w:t>7</w:t>
      </w:r>
      <w:r>
        <w:t>). Nástup platieb súvisiacich s projektom EDUNET SK nie je kompenzovaný poklesom platieb súvisiacich s projektom Infovek 2. Graf taktiež dokumentuje</w:t>
      </w:r>
      <w:r w:rsidR="0088028D">
        <w:t>,</w:t>
      </w:r>
      <w:r>
        <w:t xml:space="preserve"> že k marcu 2020, teda za 18 mesiacov od uzavretia rámcovej zmluvy so spoločnosťou SWAN (október 2018), sa podarilo do nového projektu zaradiť 288 škôl, čo je rádovo menej, ako je počet škôl (2 474) stále pripojených cez Infovek 2.</w:t>
      </w:r>
    </w:p>
    <w:tbl>
      <w:tblPr>
        <w:tblW w:w="5000" w:type="pct"/>
        <w:tblLook w:val="04A0" w:firstRow="1" w:lastRow="0" w:firstColumn="1" w:lastColumn="0" w:noHBand="0" w:noVBand="1"/>
      </w:tblPr>
      <w:tblGrid>
        <w:gridCol w:w="9356"/>
      </w:tblGrid>
      <w:tr w:rsidR="00F958A4" w:rsidRPr="00926AA7" w14:paraId="01355D8C" w14:textId="77777777" w:rsidTr="00236427">
        <w:trPr>
          <w:trHeight w:val="140"/>
        </w:trPr>
        <w:tc>
          <w:tcPr>
            <w:tcW w:w="5000" w:type="pct"/>
            <w:tcBorders>
              <w:top w:val="single" w:sz="4" w:space="0" w:color="auto"/>
              <w:bottom w:val="single" w:sz="4" w:space="0" w:color="auto"/>
            </w:tcBorders>
            <w:shd w:val="clear" w:color="auto" w:fill="0070C0"/>
            <w:vAlign w:val="center"/>
          </w:tcPr>
          <w:p w14:paraId="5BAC6F44" w14:textId="16AEE79E" w:rsidR="00F958A4" w:rsidRPr="00926AA7" w:rsidRDefault="00966D22" w:rsidP="0088028D">
            <w:pPr>
              <w:rPr>
                <w:b/>
                <w:szCs w:val="24"/>
              </w:rPr>
            </w:pPr>
            <w:r>
              <w:rPr>
                <w:b/>
                <w:color w:val="FFFFFF" w:themeColor="background1"/>
                <w:szCs w:val="24"/>
              </w:rPr>
              <w:t>Graf 1</w:t>
            </w:r>
            <w:r w:rsidR="00417AF6">
              <w:rPr>
                <w:b/>
                <w:color w:val="FFFFFF" w:themeColor="background1"/>
                <w:szCs w:val="24"/>
              </w:rPr>
              <w:t>7</w:t>
            </w:r>
            <w:r>
              <w:rPr>
                <w:b/>
                <w:color w:val="FFFFFF" w:themeColor="background1"/>
                <w:szCs w:val="24"/>
              </w:rPr>
              <w:t xml:space="preserve">: </w:t>
            </w:r>
            <w:r w:rsidR="00F958A4" w:rsidRPr="001706F2">
              <w:rPr>
                <w:b/>
                <w:color w:val="FFFFFF" w:themeColor="background1"/>
                <w:szCs w:val="24"/>
              </w:rPr>
              <w:t xml:space="preserve">Vývoj počtu zapojených škôl a platieb v súvislosti s projektmi Infovek 2 a EDUNET </w:t>
            </w:r>
            <w:r>
              <w:rPr>
                <w:b/>
                <w:color w:val="FFFFFF" w:themeColor="background1"/>
                <w:szCs w:val="24"/>
              </w:rPr>
              <w:t>mesačne</w:t>
            </w:r>
          </w:p>
        </w:tc>
      </w:tr>
      <w:tr w:rsidR="00F958A4" w:rsidRPr="00926AA7" w14:paraId="307F9E03" w14:textId="77777777" w:rsidTr="00A020C4">
        <w:tblPrEx>
          <w:tblCellMar>
            <w:left w:w="70" w:type="dxa"/>
            <w:right w:w="70" w:type="dxa"/>
          </w:tblCellMar>
        </w:tblPrEx>
        <w:trPr>
          <w:trHeight w:val="4714"/>
        </w:trPr>
        <w:tc>
          <w:tcPr>
            <w:tcW w:w="5000" w:type="pct"/>
            <w:tcBorders>
              <w:top w:val="single" w:sz="4" w:space="0" w:color="auto"/>
              <w:bottom w:val="single" w:sz="4" w:space="0" w:color="auto"/>
            </w:tcBorders>
          </w:tcPr>
          <w:p w14:paraId="77526F2A" w14:textId="57F3E731" w:rsidR="00F958A4" w:rsidRPr="00CA38CA" w:rsidRDefault="00A020C4" w:rsidP="00236427">
            <w:pPr>
              <w:pStyle w:val="Bezriadkovania"/>
              <w:rPr>
                <w:color w:val="92D050"/>
              </w:rPr>
            </w:pPr>
            <w:r>
              <w:rPr>
                <w:noProof/>
              </w:rPr>
              <w:drawing>
                <wp:inline distT="0" distB="0" distL="0" distR="0" wp14:anchorId="42F92DCC" wp14:editId="56F44376">
                  <wp:extent cx="5941060" cy="2924071"/>
                  <wp:effectExtent l="0" t="0" r="254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14:paraId="2ADDB2EE" w14:textId="1C9B6D91" w:rsidR="00F958A4" w:rsidRDefault="00F958A4" w:rsidP="00F958A4">
      <w:pPr>
        <w:spacing w:after="120"/>
        <w:rPr>
          <w:i/>
          <w:sz w:val="18"/>
        </w:rPr>
      </w:pPr>
      <w:r w:rsidRPr="00376728">
        <w:rPr>
          <w:i/>
          <w:sz w:val="18"/>
        </w:rPr>
        <w:t xml:space="preserve">Zdroj: </w:t>
      </w:r>
      <w:r w:rsidRPr="001706F2">
        <w:rPr>
          <w:i/>
          <w:sz w:val="18"/>
        </w:rPr>
        <w:t>MŠVVŠ</w:t>
      </w:r>
      <w:r w:rsidR="00D3246F">
        <w:rPr>
          <w:i/>
          <w:sz w:val="18"/>
        </w:rPr>
        <w:t xml:space="preserve"> SR</w:t>
      </w:r>
      <w:r w:rsidRPr="001706F2">
        <w:rPr>
          <w:i/>
          <w:sz w:val="18"/>
        </w:rPr>
        <w:t>; vlastné spracovanie</w:t>
      </w:r>
    </w:p>
    <w:p w14:paraId="16262623" w14:textId="1487DAD8" w:rsidR="00F958A4" w:rsidRPr="00F958A4" w:rsidRDefault="00F958A4" w:rsidP="00F958A4">
      <w:pPr>
        <w:spacing w:after="120"/>
        <w:jc w:val="both"/>
      </w:pPr>
      <w:r>
        <w:t>Tento stav sa javí ako nehospodárny jednak kvôli nutnosti paralelne platiť dvom dodávateľom, ale aj kvôli riziku opätovných pokút od ÚVO. Ministerstvo by preto malo čo najskôr zabezpečiť plné využitie riešenia EDUNET SK a riadne ukončenie projektu Infovek 2.</w:t>
      </w:r>
    </w:p>
    <w:p w14:paraId="5091BFBE" w14:textId="77777777" w:rsidR="00F958A4" w:rsidRPr="001E39B6" w:rsidRDefault="00F958A4" w:rsidP="007E246F">
      <w:pPr>
        <w:pStyle w:val="Nadpis3"/>
        <w:numPr>
          <w:ilvl w:val="2"/>
          <w:numId w:val="23"/>
        </w:numPr>
      </w:pPr>
      <w:bookmarkStart w:id="48" w:name="_Toc43218079"/>
      <w:r>
        <w:t>Zabezpečovanie u</w:t>
      </w:r>
      <w:r w:rsidRPr="001E39B6">
        <w:t>čebn</w:t>
      </w:r>
      <w:r>
        <w:t>íc</w:t>
      </w:r>
      <w:bookmarkEnd w:id="48"/>
    </w:p>
    <w:p w14:paraId="0275AA41" w14:textId="43FA48DC" w:rsidR="00F958A4" w:rsidRDefault="00F958A4" w:rsidP="00F958A4">
      <w:pPr>
        <w:spacing w:before="120" w:after="120"/>
        <w:jc w:val="both"/>
      </w:pPr>
      <w:r>
        <w:t xml:space="preserve">Výsledky medzinárodného prieskumu OECD TALIS 2018, ktoré boli zverejnené v júni 2019, signalizujú problémy pri zabezpečovaní učebníc základným školám v SR. V roku 2018 až 44,6 % riaditeľov ZŠ na Slovensku vyjadrilo nespokojnosť s množstvom alebo kvalitou učebného materiálu </w:t>
      </w:r>
      <w:r w:rsidRPr="00CD2D36">
        <w:t>(Graf 1</w:t>
      </w:r>
      <w:r w:rsidR="00417AF6">
        <w:t>8</w:t>
      </w:r>
      <w:r w:rsidRPr="00CD2D36">
        <w:t>). V</w:t>
      </w:r>
      <w:r>
        <w:t> porovnaní najmä s ostatnými krajinami EÚ, ktoré boli súčasťou prieskumu, ide o vysoko nadpriemernú hodnotu – v prípade 22 krajín EÚ išlo v priemere o 12,5 % riaditeľov ZŠ, v Českej republike to boli dokonca iba 3 %. Dlhodobejší charakter problémov potvrdzujú aj výsledky podobného prieskumu OECD TALIS z roku 2013, kedy v prípade Slovenska až 82,1 % učiteľov druhého stupňa ZŠ vyučovalo na školách, ktorých riaditelia vyjadrili nespokojnosť s množstvom alebo kvalitou učebného materiálu.</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958A4" w14:paraId="67C56357" w14:textId="77777777" w:rsidTr="002C5747">
        <w:tc>
          <w:tcPr>
            <w:tcW w:w="5000" w:type="pct"/>
            <w:tcBorders>
              <w:top w:val="single" w:sz="4" w:space="0" w:color="auto"/>
              <w:left w:val="nil"/>
              <w:bottom w:val="single" w:sz="4" w:space="0" w:color="auto"/>
              <w:right w:val="nil"/>
            </w:tcBorders>
            <w:shd w:val="clear" w:color="auto" w:fill="0070C0"/>
            <w:hideMark/>
          </w:tcPr>
          <w:p w14:paraId="77112500" w14:textId="21A096E7" w:rsidR="00F958A4" w:rsidRDefault="00F958A4" w:rsidP="00417AF6">
            <w:pPr>
              <w:pStyle w:val="Bezriadkovania"/>
              <w:spacing w:line="240" w:lineRule="atLeast"/>
              <w:jc w:val="both"/>
              <w:rPr>
                <w:b/>
                <w:color w:val="FFFFFF" w:themeColor="background1"/>
                <w:lang w:eastAsia="en-US"/>
              </w:rPr>
            </w:pPr>
            <w:bookmarkStart w:id="49" w:name="_Ref9513044"/>
            <w:r w:rsidRPr="00CD2D36">
              <w:rPr>
                <w:b/>
                <w:color w:val="FFFFFF" w:themeColor="background1"/>
                <w:lang w:eastAsia="en-US"/>
              </w:rPr>
              <w:t xml:space="preserve">Graf </w:t>
            </w:r>
            <w:bookmarkEnd w:id="49"/>
            <w:r w:rsidR="00966D22">
              <w:rPr>
                <w:b/>
                <w:color w:val="FFFFFF" w:themeColor="background1"/>
                <w:lang w:eastAsia="en-US"/>
              </w:rPr>
              <w:t>1</w:t>
            </w:r>
            <w:r w:rsidR="00417AF6">
              <w:rPr>
                <w:b/>
                <w:color w:val="FFFFFF" w:themeColor="background1"/>
                <w:lang w:eastAsia="en-US"/>
              </w:rPr>
              <w:t>8</w:t>
            </w:r>
            <w:r w:rsidRPr="00CD2D36">
              <w:rPr>
                <w:b/>
                <w:color w:val="FFFFFF" w:themeColor="background1"/>
                <w:lang w:eastAsia="en-US"/>
              </w:rPr>
              <w:t>:</w:t>
            </w:r>
            <w:r>
              <w:rPr>
                <w:b/>
                <w:color w:val="FFFFFF" w:themeColor="background1"/>
                <w:lang w:eastAsia="en-US"/>
              </w:rPr>
              <w:t xml:space="preserve"> </w:t>
            </w:r>
            <w:r w:rsidRPr="006E6E23">
              <w:rPr>
                <w:b/>
                <w:color w:val="FFFFFF" w:themeColor="background1"/>
                <w:lang w:eastAsia="en-US"/>
              </w:rPr>
              <w:t xml:space="preserve">Nedostatok alebo nevhodnosť učebného materiálu </w:t>
            </w:r>
            <w:r>
              <w:rPr>
                <w:b/>
                <w:color w:val="FFFFFF" w:themeColor="background1"/>
                <w:lang w:eastAsia="en-US"/>
              </w:rPr>
              <w:t>z pohľadu riaditeľov ZŠ</w:t>
            </w:r>
          </w:p>
        </w:tc>
      </w:tr>
      <w:tr w:rsidR="00F958A4" w14:paraId="60CCA518" w14:textId="77777777" w:rsidTr="002C5747">
        <w:tblPrEx>
          <w:tblCellMar>
            <w:left w:w="70" w:type="dxa"/>
            <w:right w:w="70" w:type="dxa"/>
          </w:tblCellMar>
        </w:tblPrEx>
        <w:trPr>
          <w:trHeight w:val="2945"/>
        </w:trPr>
        <w:tc>
          <w:tcPr>
            <w:tcW w:w="5000" w:type="pct"/>
            <w:tcBorders>
              <w:top w:val="single" w:sz="4" w:space="0" w:color="auto"/>
              <w:left w:val="nil"/>
              <w:bottom w:val="single" w:sz="4" w:space="0" w:color="auto"/>
              <w:right w:val="nil"/>
            </w:tcBorders>
            <w:vAlign w:val="center"/>
            <w:hideMark/>
          </w:tcPr>
          <w:p w14:paraId="1A80F891" w14:textId="77777777" w:rsidR="00F958A4" w:rsidRDefault="00F958A4" w:rsidP="00236427">
            <w:pPr>
              <w:jc w:val="both"/>
              <w:rPr>
                <w:b/>
              </w:rPr>
            </w:pPr>
            <w:r>
              <w:rPr>
                <w:noProof/>
                <w:lang w:eastAsia="sk-SK"/>
              </w:rPr>
              <w:drawing>
                <wp:inline distT="0" distB="0" distL="0" distR="0" wp14:anchorId="671F0C65" wp14:editId="41997123">
                  <wp:extent cx="5867400" cy="1778000"/>
                  <wp:effectExtent l="0" t="0" r="0" b="0"/>
                  <wp:docPr id="40" name="Graf 40">
                    <a:extLst xmlns:a="http://schemas.openxmlformats.org/drawingml/2006/main">
                      <a:ext uri="{FF2B5EF4-FFF2-40B4-BE49-F238E27FC236}">
                        <a16:creationId xmlns:a16="http://schemas.microsoft.com/office/drawing/2014/main" id="{AF8E4F5E-E684-4AE3-B24D-9832514BE4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F958A4" w:rsidRPr="004C25D1" w14:paraId="3B3CB61B" w14:textId="77777777" w:rsidTr="002C5747">
        <w:tc>
          <w:tcPr>
            <w:tcW w:w="5000" w:type="pct"/>
            <w:tcBorders>
              <w:top w:val="single" w:sz="4" w:space="0" w:color="auto"/>
              <w:left w:val="nil"/>
              <w:bottom w:val="nil"/>
              <w:right w:val="nil"/>
            </w:tcBorders>
            <w:hideMark/>
          </w:tcPr>
          <w:p w14:paraId="25E6826E" w14:textId="6C5C5393" w:rsidR="00F958A4" w:rsidRDefault="00F958A4" w:rsidP="00FE7929">
            <w:pPr>
              <w:ind w:left="-108"/>
              <w:jc w:val="both"/>
              <w:rPr>
                <w:rFonts w:cs="Times New Roman"/>
                <w:i/>
                <w:color w:val="000000"/>
                <w:sz w:val="18"/>
                <w:szCs w:val="24"/>
              </w:rPr>
            </w:pPr>
            <w:r>
              <w:rPr>
                <w:rFonts w:cs="Times New Roman"/>
                <w:i/>
                <w:color w:val="000000"/>
                <w:sz w:val="18"/>
                <w:szCs w:val="24"/>
              </w:rPr>
              <w:t>Zdroj: TALIS 2018; spracovanie NKÚ SR</w:t>
            </w:r>
          </w:p>
          <w:p w14:paraId="17268157" w14:textId="77777777" w:rsidR="00F958A4" w:rsidRPr="004C25D1" w:rsidRDefault="00F958A4" w:rsidP="00FE7929">
            <w:pPr>
              <w:ind w:left="-108"/>
              <w:jc w:val="both"/>
              <w:rPr>
                <w:rFonts w:cs="Times New Roman"/>
                <w:i/>
                <w:color w:val="000000"/>
                <w:sz w:val="18"/>
                <w:szCs w:val="24"/>
              </w:rPr>
            </w:pPr>
            <w:r>
              <w:rPr>
                <w:rFonts w:cs="Times New Roman"/>
                <w:i/>
                <w:color w:val="000000"/>
                <w:sz w:val="18"/>
                <w:szCs w:val="24"/>
              </w:rPr>
              <w:t xml:space="preserve">Poznámka: Ide o percento riaditeľov ZŠ, ktorí čiastočne alebo úplne súhlasia s tvrdením, že nedostatok alebo nevhodnosť učebného materiálu je prekážkou pri poskytovaní kvalitného vzdelávania ich školou. </w:t>
            </w:r>
          </w:p>
        </w:tc>
      </w:tr>
    </w:tbl>
    <w:p w14:paraId="2322F8EF" w14:textId="4148D71D" w:rsidR="00F958A4" w:rsidRDefault="00F958A4" w:rsidP="00F958A4">
      <w:pPr>
        <w:spacing w:before="120" w:after="120"/>
        <w:jc w:val="both"/>
      </w:pPr>
      <w:r w:rsidRPr="00B05410">
        <w:lastRenderedPageBreak/>
        <w:t>Výsledky jednoduchej korelačnej analýzy naznačujú</w:t>
      </w:r>
      <w:r>
        <w:t xml:space="preserve">, že krajiny, v ktorých sú ZŠ lepšie vybavené učebnicami, dosahujú lepšie výsledky v matematickej gramotnosti v medzinárodnom testovaní </w:t>
      </w:r>
      <w:r w:rsidRPr="00CD2D36">
        <w:t xml:space="preserve">PISA (Graf </w:t>
      </w:r>
      <w:r w:rsidR="00417AF6">
        <w:t>19</w:t>
      </w:r>
      <w:r>
        <w:t>). Veľmi podobný výsledok bol aj v prípade čitateľskej či prírodovednej gramotnosti.</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958A4" w14:paraId="2388D1D9" w14:textId="77777777" w:rsidTr="008E73B3">
        <w:tc>
          <w:tcPr>
            <w:tcW w:w="5000" w:type="pct"/>
            <w:tcBorders>
              <w:top w:val="single" w:sz="4" w:space="0" w:color="auto"/>
              <w:left w:val="nil"/>
              <w:bottom w:val="single" w:sz="4" w:space="0" w:color="auto"/>
              <w:right w:val="nil"/>
            </w:tcBorders>
            <w:shd w:val="clear" w:color="auto" w:fill="0070C0"/>
            <w:hideMark/>
          </w:tcPr>
          <w:p w14:paraId="0FB4BB79" w14:textId="2AB8FB5E" w:rsidR="00F958A4" w:rsidRDefault="00F958A4" w:rsidP="00417AF6">
            <w:pPr>
              <w:pStyle w:val="Bezriadkovania"/>
              <w:spacing w:line="240" w:lineRule="atLeast"/>
              <w:jc w:val="both"/>
              <w:rPr>
                <w:b/>
                <w:color w:val="FFFFFF" w:themeColor="background1"/>
                <w:lang w:eastAsia="en-US"/>
              </w:rPr>
            </w:pPr>
            <w:r>
              <w:rPr>
                <w:b/>
                <w:color w:val="FFFFFF" w:themeColor="background1"/>
                <w:lang w:eastAsia="en-US"/>
              </w:rPr>
              <w:t xml:space="preserve">Graf </w:t>
            </w:r>
            <w:r w:rsidR="00417AF6">
              <w:rPr>
                <w:b/>
                <w:color w:val="FFFFFF" w:themeColor="background1"/>
                <w:lang w:eastAsia="en-US"/>
              </w:rPr>
              <w:t>19</w:t>
            </w:r>
            <w:r w:rsidRPr="00B05410">
              <w:rPr>
                <w:b/>
                <w:color w:val="FFFFFF" w:themeColor="background1"/>
                <w:lang w:eastAsia="en-US"/>
              </w:rPr>
              <w:t>:</w:t>
            </w:r>
            <w:r>
              <w:rPr>
                <w:b/>
                <w:color w:val="FFFFFF" w:themeColor="background1"/>
                <w:lang w:eastAsia="en-US"/>
              </w:rPr>
              <w:t xml:space="preserve"> Vzťah medzi vybavenosťou ZŠ učebnicami a výsledkami v testovaní PISA</w:t>
            </w:r>
          </w:p>
        </w:tc>
      </w:tr>
      <w:tr w:rsidR="00F958A4" w14:paraId="0A49C575" w14:textId="77777777" w:rsidTr="008E73B3">
        <w:tblPrEx>
          <w:tblCellMar>
            <w:left w:w="70" w:type="dxa"/>
            <w:right w:w="70" w:type="dxa"/>
          </w:tblCellMar>
        </w:tblPrEx>
        <w:trPr>
          <w:trHeight w:val="2667"/>
        </w:trPr>
        <w:tc>
          <w:tcPr>
            <w:tcW w:w="5000" w:type="pct"/>
            <w:tcBorders>
              <w:top w:val="single" w:sz="4" w:space="0" w:color="auto"/>
              <w:left w:val="nil"/>
              <w:bottom w:val="single" w:sz="4" w:space="0" w:color="auto"/>
              <w:right w:val="nil"/>
            </w:tcBorders>
            <w:vAlign w:val="center"/>
            <w:hideMark/>
          </w:tcPr>
          <w:p w14:paraId="52E730D9" w14:textId="77777777" w:rsidR="00F958A4" w:rsidRDefault="00F958A4" w:rsidP="00236427">
            <w:pPr>
              <w:jc w:val="both"/>
              <w:rPr>
                <w:b/>
              </w:rPr>
            </w:pPr>
            <w:r>
              <w:rPr>
                <w:noProof/>
                <w:lang w:eastAsia="sk-SK"/>
              </w:rPr>
              <w:drawing>
                <wp:inline distT="0" distB="0" distL="0" distR="0" wp14:anchorId="73A822CC" wp14:editId="2B1D707F">
                  <wp:extent cx="5890260" cy="1768475"/>
                  <wp:effectExtent l="0" t="0" r="0" b="3175"/>
                  <wp:docPr id="41" name="Graf 41">
                    <a:extLst xmlns:a="http://schemas.openxmlformats.org/drawingml/2006/main">
                      <a:ext uri="{FF2B5EF4-FFF2-40B4-BE49-F238E27FC236}">
                        <a16:creationId xmlns:a16="http://schemas.microsoft.com/office/drawing/2014/main" id="{44DC6066-8EA4-46CC-8A23-91E26FB74A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F958A4" w:rsidRPr="004C25D1" w14:paraId="79DBED5E" w14:textId="77777777" w:rsidTr="008E73B3">
        <w:tc>
          <w:tcPr>
            <w:tcW w:w="5000" w:type="pct"/>
            <w:tcBorders>
              <w:top w:val="single" w:sz="4" w:space="0" w:color="auto"/>
              <w:left w:val="nil"/>
              <w:bottom w:val="nil"/>
              <w:right w:val="nil"/>
            </w:tcBorders>
            <w:hideMark/>
          </w:tcPr>
          <w:p w14:paraId="4B28DE10" w14:textId="77777777" w:rsidR="00F958A4" w:rsidRPr="004C25D1" w:rsidRDefault="00F958A4" w:rsidP="00E1209A">
            <w:pPr>
              <w:ind w:hanging="108"/>
              <w:jc w:val="both"/>
              <w:rPr>
                <w:rFonts w:cs="Times New Roman"/>
                <w:i/>
                <w:color w:val="000000"/>
                <w:sz w:val="18"/>
                <w:szCs w:val="24"/>
              </w:rPr>
            </w:pPr>
            <w:r>
              <w:rPr>
                <w:rFonts w:cs="Times New Roman"/>
                <w:i/>
                <w:color w:val="000000"/>
                <w:sz w:val="18"/>
                <w:szCs w:val="24"/>
              </w:rPr>
              <w:t>Zdroj: TALIS 2018 a PISA 2018; výpočty a spracovanie NKÚ SR</w:t>
            </w:r>
          </w:p>
        </w:tc>
      </w:tr>
    </w:tbl>
    <w:p w14:paraId="052E1C06" w14:textId="4E4C5F77" w:rsidR="00F958A4" w:rsidRDefault="00F958A4" w:rsidP="00F958A4">
      <w:pPr>
        <w:spacing w:before="120" w:after="120"/>
        <w:jc w:val="both"/>
      </w:pPr>
      <w:r>
        <w:t xml:space="preserve">Jednou z príčin tohto stavu je skutočnosť, že </w:t>
      </w:r>
      <w:r w:rsidRPr="009406A3">
        <w:t>MŠVVaŠ SR</w:t>
      </w:r>
      <w:r>
        <w:t xml:space="preserve"> dlhodobo nedostatočne pokrýva požiadavky škôl na učebnice </w:t>
      </w:r>
      <w:r w:rsidRPr="00CD2D36">
        <w:t xml:space="preserve">(Graf </w:t>
      </w:r>
      <w:r w:rsidR="00F64EF5">
        <w:t>2</w:t>
      </w:r>
      <w:r w:rsidR="00417AF6">
        <w:t>0</w:t>
      </w:r>
      <w:r w:rsidRPr="00CD2D36">
        <w:t>).</w:t>
      </w:r>
      <w:r>
        <w:t xml:space="preserve"> Počet </w:t>
      </w:r>
      <w:r w:rsidR="003A0142">
        <w:t xml:space="preserve">učebníc dodaných </w:t>
      </w:r>
      <w:r>
        <w:t xml:space="preserve">školám je každoročne nižší ako počet školami objednaných učebníc. Napriek tomu, že od roku 2018 </w:t>
      </w:r>
      <w:r w:rsidR="001630E5">
        <w:t>pretrváva</w:t>
      </w:r>
      <w:r>
        <w:t xml:space="preserve"> pozitívny trend z pohľadu miery naplnenia požiadaviek škôl, aj v roku 2019 takmer štvrtina objednaných učebníc školám dodaná nebola. Tento pozitívny trend súvisí predovšetkým s nárastom objemu finančných prostriedkov, ktorý bol v rokoch 2018 a 2019 na daný účel alokovaný </w:t>
      </w:r>
      <w:r w:rsidRPr="00CD2D36">
        <w:t xml:space="preserve">(Graf </w:t>
      </w:r>
      <w:r w:rsidR="008F0DBE">
        <w:t>2</w:t>
      </w:r>
      <w:r w:rsidR="00417AF6">
        <w:t>1</w:t>
      </w:r>
      <w:r w:rsidRPr="00CD2D36">
        <w:t>).</w:t>
      </w:r>
      <w:r>
        <w:t xml:space="preserve"> Keďže pre rok 2020 je na tento účel rozpočtovaných výrazne menej prostriedkov ako v predchádzajúcich dvoch rokoch, existuje významné riziko zvrátenia identifikovaného pozitívneho trendu.</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958A4" w14:paraId="733F549D" w14:textId="77777777" w:rsidTr="008E73B3">
        <w:tc>
          <w:tcPr>
            <w:tcW w:w="5000" w:type="pct"/>
            <w:tcBorders>
              <w:top w:val="single" w:sz="4" w:space="0" w:color="auto"/>
              <w:left w:val="nil"/>
              <w:bottom w:val="single" w:sz="4" w:space="0" w:color="auto"/>
              <w:right w:val="nil"/>
            </w:tcBorders>
            <w:shd w:val="clear" w:color="auto" w:fill="0070C0"/>
            <w:hideMark/>
          </w:tcPr>
          <w:p w14:paraId="54F5C2CF" w14:textId="7A33D03F" w:rsidR="00F958A4" w:rsidRDefault="00F958A4" w:rsidP="00417AF6">
            <w:pPr>
              <w:pStyle w:val="Bezriadkovania"/>
              <w:spacing w:line="240" w:lineRule="atLeast"/>
              <w:jc w:val="both"/>
              <w:rPr>
                <w:b/>
                <w:color w:val="FFFFFF" w:themeColor="background1"/>
                <w:lang w:eastAsia="en-US"/>
              </w:rPr>
            </w:pPr>
            <w:r>
              <w:rPr>
                <w:b/>
                <w:color w:val="FFFFFF" w:themeColor="background1"/>
                <w:lang w:eastAsia="en-US"/>
              </w:rPr>
              <w:t xml:space="preserve">Graf </w:t>
            </w:r>
            <w:r w:rsidR="00CD2D36">
              <w:rPr>
                <w:b/>
                <w:color w:val="FFFFFF" w:themeColor="background1"/>
                <w:lang w:eastAsia="en-US"/>
              </w:rPr>
              <w:t>2</w:t>
            </w:r>
            <w:r w:rsidR="00417AF6">
              <w:rPr>
                <w:b/>
                <w:color w:val="FFFFFF" w:themeColor="background1"/>
                <w:lang w:eastAsia="en-US"/>
              </w:rPr>
              <w:t>0</w:t>
            </w:r>
            <w:r>
              <w:rPr>
                <w:b/>
                <w:color w:val="FFFFFF" w:themeColor="background1"/>
                <w:lang w:eastAsia="en-US"/>
              </w:rPr>
              <w:t>: Nesúlad medzi počtom školami objednaných a školám dodaných učebníc</w:t>
            </w:r>
          </w:p>
        </w:tc>
      </w:tr>
      <w:tr w:rsidR="00F958A4" w14:paraId="4D897040" w14:textId="77777777" w:rsidTr="008E73B3">
        <w:tblPrEx>
          <w:tblCellMar>
            <w:left w:w="70" w:type="dxa"/>
            <w:right w:w="70" w:type="dxa"/>
          </w:tblCellMar>
        </w:tblPrEx>
        <w:trPr>
          <w:trHeight w:val="3035"/>
        </w:trPr>
        <w:tc>
          <w:tcPr>
            <w:tcW w:w="5000" w:type="pct"/>
            <w:tcBorders>
              <w:top w:val="single" w:sz="4" w:space="0" w:color="auto"/>
              <w:left w:val="nil"/>
              <w:bottom w:val="single" w:sz="4" w:space="0" w:color="auto"/>
              <w:right w:val="nil"/>
            </w:tcBorders>
            <w:vAlign w:val="center"/>
            <w:hideMark/>
          </w:tcPr>
          <w:p w14:paraId="5F9E0DEF" w14:textId="77777777" w:rsidR="00F958A4" w:rsidRDefault="00F958A4" w:rsidP="00236427">
            <w:pPr>
              <w:jc w:val="both"/>
              <w:rPr>
                <w:b/>
              </w:rPr>
            </w:pPr>
            <w:r>
              <w:rPr>
                <w:noProof/>
                <w:lang w:eastAsia="sk-SK"/>
              </w:rPr>
              <w:drawing>
                <wp:inline distT="0" distB="0" distL="0" distR="0" wp14:anchorId="405C434F" wp14:editId="2B9523B9">
                  <wp:extent cx="5928360" cy="1828800"/>
                  <wp:effectExtent l="0" t="0" r="0"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F958A4" w:rsidRPr="004C25D1" w14:paraId="3153CCFC" w14:textId="77777777" w:rsidTr="008E73B3">
        <w:tc>
          <w:tcPr>
            <w:tcW w:w="5000" w:type="pct"/>
            <w:tcBorders>
              <w:top w:val="single" w:sz="4" w:space="0" w:color="auto"/>
              <w:left w:val="nil"/>
              <w:bottom w:val="nil"/>
              <w:right w:val="nil"/>
            </w:tcBorders>
            <w:hideMark/>
          </w:tcPr>
          <w:p w14:paraId="2CA42CB4" w14:textId="01DFE4C6" w:rsidR="00966D22" w:rsidRPr="00966D22" w:rsidRDefault="00F958A4" w:rsidP="00E1209A">
            <w:pPr>
              <w:spacing w:after="120"/>
              <w:ind w:hanging="108"/>
              <w:rPr>
                <w:rFonts w:cs="Times New Roman"/>
                <w:i/>
                <w:color w:val="000000"/>
                <w:sz w:val="18"/>
                <w:szCs w:val="24"/>
              </w:rPr>
            </w:pPr>
            <w:r>
              <w:rPr>
                <w:rFonts w:cs="Times New Roman"/>
                <w:i/>
                <w:color w:val="000000"/>
                <w:sz w:val="18"/>
                <w:szCs w:val="24"/>
              </w:rPr>
              <w:t>Zdroj: MŠVVŠ SR; výpočty a spracovanie NKÚ SR</w:t>
            </w:r>
          </w:p>
        </w:tc>
      </w:tr>
      <w:tr w:rsidR="00F64EF5" w14:paraId="14B9CAAF" w14:textId="77777777" w:rsidTr="008E7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bottom w:val="single" w:sz="4" w:space="0" w:color="auto"/>
            </w:tcBorders>
            <w:shd w:val="clear" w:color="auto" w:fill="0070C0"/>
            <w:hideMark/>
          </w:tcPr>
          <w:p w14:paraId="435E5398" w14:textId="1069A540" w:rsidR="00F64EF5" w:rsidRDefault="00F64EF5" w:rsidP="00417AF6">
            <w:pPr>
              <w:pStyle w:val="Bezriadkovania"/>
              <w:spacing w:line="240" w:lineRule="atLeast"/>
              <w:jc w:val="both"/>
              <w:rPr>
                <w:b/>
                <w:color w:val="FFFFFF" w:themeColor="background1"/>
                <w:lang w:eastAsia="en-US"/>
              </w:rPr>
            </w:pPr>
            <w:r>
              <w:rPr>
                <w:b/>
                <w:color w:val="FFFFFF" w:themeColor="background1"/>
                <w:lang w:eastAsia="en-US"/>
              </w:rPr>
              <w:t>Graf 2</w:t>
            </w:r>
            <w:r w:rsidR="00417AF6">
              <w:rPr>
                <w:b/>
                <w:color w:val="FFFFFF" w:themeColor="background1"/>
                <w:lang w:eastAsia="en-US"/>
              </w:rPr>
              <w:t>1</w:t>
            </w:r>
            <w:r>
              <w:rPr>
                <w:b/>
                <w:color w:val="FFFFFF" w:themeColor="background1"/>
                <w:lang w:eastAsia="en-US"/>
              </w:rPr>
              <w:t xml:space="preserve">: Objem finančných prostriedkov alokovaný na zabezpečenie didaktických prostriedkov školám </w:t>
            </w:r>
          </w:p>
        </w:tc>
      </w:tr>
      <w:tr w:rsidR="00F64EF5" w14:paraId="66372DD3" w14:textId="77777777" w:rsidTr="008E7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7"/>
        </w:trPr>
        <w:tc>
          <w:tcPr>
            <w:tcW w:w="5000" w:type="pct"/>
            <w:tcBorders>
              <w:left w:val="nil"/>
              <w:bottom w:val="single" w:sz="4" w:space="0" w:color="auto"/>
              <w:right w:val="nil"/>
            </w:tcBorders>
            <w:hideMark/>
          </w:tcPr>
          <w:p w14:paraId="36A15498" w14:textId="77777777" w:rsidR="00F64EF5" w:rsidRDefault="00F64EF5" w:rsidP="00B61DA0">
            <w:pPr>
              <w:jc w:val="both"/>
              <w:rPr>
                <w:b/>
              </w:rPr>
            </w:pPr>
            <w:r>
              <w:rPr>
                <w:noProof/>
                <w:lang w:eastAsia="sk-SK"/>
              </w:rPr>
              <w:drawing>
                <wp:inline distT="0" distB="0" distL="0" distR="0" wp14:anchorId="5C2AC6DB" wp14:editId="6A56501B">
                  <wp:extent cx="5836920" cy="1778000"/>
                  <wp:effectExtent l="0" t="0" r="0"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F64EF5" w:rsidRPr="004C25D1" w14:paraId="2B7254C5" w14:textId="77777777" w:rsidTr="008E7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left w:val="nil"/>
              <w:bottom w:val="nil"/>
              <w:right w:val="nil"/>
            </w:tcBorders>
            <w:hideMark/>
          </w:tcPr>
          <w:p w14:paraId="6DE5D2FD" w14:textId="77777777" w:rsidR="00F64EF5" w:rsidRDefault="00F64EF5" w:rsidP="00E1209A">
            <w:pPr>
              <w:ind w:left="-108"/>
              <w:jc w:val="both"/>
              <w:rPr>
                <w:rFonts w:cs="Times New Roman"/>
                <w:i/>
                <w:color w:val="000000"/>
                <w:sz w:val="18"/>
                <w:szCs w:val="24"/>
              </w:rPr>
            </w:pPr>
            <w:r>
              <w:rPr>
                <w:rFonts w:cs="Times New Roman"/>
                <w:i/>
                <w:color w:val="000000"/>
                <w:sz w:val="18"/>
                <w:szCs w:val="24"/>
              </w:rPr>
              <w:t>Zdroj: MŠVVŠ SR; spracovanie NKÚ SR</w:t>
            </w:r>
          </w:p>
          <w:p w14:paraId="24DC1DDC" w14:textId="76D77D82" w:rsidR="00F64EF5" w:rsidRPr="00457FE9" w:rsidRDefault="00F64EF5" w:rsidP="00E1209A">
            <w:pPr>
              <w:ind w:left="-108"/>
              <w:jc w:val="both"/>
              <w:rPr>
                <w:rFonts w:cs="Times New Roman"/>
                <w:i/>
                <w:color w:val="000000"/>
                <w:sz w:val="18"/>
                <w:szCs w:val="24"/>
              </w:rPr>
            </w:pPr>
            <w:r w:rsidRPr="00457FE9">
              <w:rPr>
                <w:rFonts w:cs="Times New Roman"/>
                <w:i/>
                <w:color w:val="000000"/>
                <w:sz w:val="18"/>
                <w:szCs w:val="24"/>
              </w:rPr>
              <w:t xml:space="preserve">*Skutočne čerpaný </w:t>
            </w:r>
            <w:r>
              <w:rPr>
                <w:rFonts w:cs="Times New Roman"/>
                <w:i/>
                <w:color w:val="000000"/>
                <w:sz w:val="18"/>
                <w:szCs w:val="24"/>
              </w:rPr>
              <w:t xml:space="preserve">objem prostriedkov je súčtom dvoch zložiek – reálne minutých prostriedkov na nákup a distribúciu učebníc (prienik kódu 07813 programovej štruktúry a kódu 633009 ekonomickej klasifikácie) a prostriedkov, ktoré boli poskytnuté školám ako príspevok na nákup učebníc (z ministerstva školstva idú tieto prostriedky školám cez iné subjekty, napr. cez ministerstvo vnútra alebo VÚC) </w:t>
            </w:r>
          </w:p>
        </w:tc>
      </w:tr>
    </w:tbl>
    <w:p w14:paraId="3ADEE346" w14:textId="77777777" w:rsidR="00F64EF5" w:rsidRDefault="00F64EF5" w:rsidP="00966D22">
      <w:pPr>
        <w:spacing w:before="120" w:after="120"/>
      </w:pPr>
    </w:p>
    <w:p w14:paraId="6C126B9C" w14:textId="52986170" w:rsidR="00966D22" w:rsidRDefault="00966D22" w:rsidP="00966D22">
      <w:pPr>
        <w:spacing w:before="120" w:after="120"/>
      </w:pPr>
      <w:r>
        <w:t>Vyčíslenie počtu školami objednávaných a ministerstvom distribuovaných učebníc v jednotlivých rokoch komplikujú aj tieto skutočnosti:</w:t>
      </w:r>
    </w:p>
    <w:p w14:paraId="19B72ECB" w14:textId="5AA8B174" w:rsidR="00966D22" w:rsidRDefault="0088028D" w:rsidP="00966D22">
      <w:pPr>
        <w:pStyle w:val="Odsekzoznamu"/>
        <w:numPr>
          <w:ilvl w:val="0"/>
          <w:numId w:val="7"/>
        </w:numPr>
        <w:spacing w:after="160" w:line="259" w:lineRule="auto"/>
        <w:ind w:left="426"/>
        <w:jc w:val="both"/>
      </w:pPr>
      <w:r>
        <w:t>p</w:t>
      </w:r>
      <w:r w:rsidR="00966D22" w:rsidRPr="00212AB7">
        <w:t>očas roka prebiehajú paralelne 3 typy objednávania:</w:t>
      </w:r>
    </w:p>
    <w:p w14:paraId="238AE39C" w14:textId="26E29DE3" w:rsidR="00966D22" w:rsidRDefault="00966D22" w:rsidP="00966D22">
      <w:pPr>
        <w:pStyle w:val="Odsekzoznamu"/>
        <w:numPr>
          <w:ilvl w:val="1"/>
          <w:numId w:val="7"/>
        </w:numPr>
        <w:spacing w:after="160" w:line="259" w:lineRule="auto"/>
        <w:ind w:left="426" w:firstLine="0"/>
        <w:jc w:val="both"/>
      </w:pPr>
      <w:r>
        <w:t>h</w:t>
      </w:r>
      <w:r w:rsidRPr="00212AB7">
        <w:t>lavné objednávacie konanie</w:t>
      </w:r>
      <w:r w:rsidR="0088028D">
        <w:t>,</w:t>
      </w:r>
    </w:p>
    <w:p w14:paraId="224AA48D" w14:textId="692FD880" w:rsidR="00966D22" w:rsidRDefault="00966D22" w:rsidP="00966D22">
      <w:pPr>
        <w:pStyle w:val="Odsekzoznamu"/>
        <w:numPr>
          <w:ilvl w:val="1"/>
          <w:numId w:val="7"/>
        </w:numPr>
        <w:spacing w:after="160" w:line="259" w:lineRule="auto"/>
        <w:ind w:left="426" w:firstLine="0"/>
        <w:jc w:val="both"/>
      </w:pPr>
      <w:r w:rsidRPr="00212AB7">
        <w:t>špecializované konanie (napr. pri zmene štátneho vzdelávacieho programu)</w:t>
      </w:r>
      <w:r w:rsidR="0088028D">
        <w:t>,</w:t>
      </w:r>
    </w:p>
    <w:p w14:paraId="249776A3" w14:textId="15E766E9" w:rsidR="00966D22" w:rsidRDefault="00966D22" w:rsidP="00966D22">
      <w:pPr>
        <w:pStyle w:val="Odsekzoznamu"/>
        <w:numPr>
          <w:ilvl w:val="1"/>
          <w:numId w:val="7"/>
        </w:numPr>
        <w:spacing w:after="160" w:line="259" w:lineRule="auto"/>
        <w:ind w:left="426" w:firstLine="0"/>
        <w:jc w:val="both"/>
      </w:pPr>
      <w:r w:rsidRPr="00212AB7">
        <w:t>mimoriadne objednávky</w:t>
      </w:r>
      <w:r w:rsidR="0088028D">
        <w:rPr>
          <w:lang w:val="en-US"/>
        </w:rPr>
        <w:t>;</w:t>
      </w:r>
    </w:p>
    <w:p w14:paraId="61AF14A5" w14:textId="667E5777" w:rsidR="00966D22" w:rsidRPr="00212AB7" w:rsidRDefault="0088028D" w:rsidP="00966D22">
      <w:pPr>
        <w:pStyle w:val="Odsekzoznamu"/>
        <w:numPr>
          <w:ilvl w:val="0"/>
          <w:numId w:val="7"/>
        </w:numPr>
        <w:spacing w:after="160" w:line="259" w:lineRule="auto"/>
        <w:ind w:left="426"/>
        <w:jc w:val="both"/>
      </w:pPr>
      <w:r>
        <w:t>v</w:t>
      </w:r>
      <w:r w:rsidR="00966D22" w:rsidRPr="00212AB7">
        <w:t xml:space="preserve"> roku 2017 skončila zmluva medzi ministe</w:t>
      </w:r>
      <w:r>
        <w:t>rstvom a distribútorom učebníc:</w:t>
      </w:r>
    </w:p>
    <w:p w14:paraId="14B7D815" w14:textId="768DE25D" w:rsidR="00966D22" w:rsidRPr="00212AB7" w:rsidRDefault="0088028D" w:rsidP="00966D22">
      <w:pPr>
        <w:pStyle w:val="Odsekzoznamu"/>
        <w:numPr>
          <w:ilvl w:val="1"/>
          <w:numId w:val="7"/>
        </w:numPr>
        <w:spacing w:after="160" w:line="259" w:lineRule="auto"/>
        <w:ind w:left="426" w:firstLine="0"/>
        <w:jc w:val="both"/>
      </w:pPr>
      <w:r>
        <w:t>o</w:t>
      </w:r>
      <w:r w:rsidR="00966D22" w:rsidRPr="00212AB7">
        <w:t>d skončenia tejto zmluvy do ukončenia verejného obstarávania na nového distribútora, boli učebnice v roku 2017 a 2018 distribuované samotnými vydavateľmi (15</w:t>
      </w:r>
      <w:r w:rsidR="00966D22">
        <w:t xml:space="preserve"> </w:t>
      </w:r>
      <w:r w:rsidR="00966D22" w:rsidRPr="00212AB7">
        <w:t>-</w:t>
      </w:r>
      <w:r w:rsidR="00966D22">
        <w:t xml:space="preserve"> </w:t>
      </w:r>
      <w:r>
        <w:t>20 komerčných subjektov),</w:t>
      </w:r>
    </w:p>
    <w:p w14:paraId="6BE964CF" w14:textId="6ED8C7F6" w:rsidR="00966D22" w:rsidRPr="00212AB7" w:rsidRDefault="0088028D" w:rsidP="00966D22">
      <w:pPr>
        <w:pStyle w:val="Odsekzoznamu"/>
        <w:numPr>
          <w:ilvl w:val="1"/>
          <w:numId w:val="7"/>
        </w:numPr>
        <w:spacing w:after="160" w:line="259" w:lineRule="auto"/>
        <w:ind w:left="426" w:firstLine="0"/>
        <w:jc w:val="both"/>
      </w:pPr>
      <w:r>
        <w:t>i</w:t>
      </w:r>
      <w:r w:rsidR="00966D22" w:rsidRPr="00212AB7">
        <w:t>nformačný systém ministerstva bol postavený na vzťah</w:t>
      </w:r>
      <w:r w:rsidR="00966D22">
        <w:t>u</w:t>
      </w:r>
      <w:r w:rsidR="00966D22" w:rsidRPr="00212AB7">
        <w:t xml:space="preserve"> ministerstva s jedným distribútorom. V tejto novej situácii nebolo technicky možné vkladať údaje o distribúcii/dodaní do informačného systému, preto </w:t>
      </w:r>
      <w:r>
        <w:t xml:space="preserve">údaje o </w:t>
      </w:r>
      <w:r w:rsidR="00966D22" w:rsidRPr="00212AB7">
        <w:t>poč</w:t>
      </w:r>
      <w:r>
        <w:t>t</w:t>
      </w:r>
      <w:r w:rsidR="00966D22" w:rsidRPr="00212AB7">
        <w:t>e dodaných učebníc je možné získať iba napočítaním množstva papierových podkladov.</w:t>
      </w:r>
    </w:p>
    <w:p w14:paraId="6CA5D9CD" w14:textId="2074CEE7" w:rsidR="00966D22" w:rsidRDefault="0088028D" w:rsidP="00966D22">
      <w:pPr>
        <w:spacing w:before="120" w:after="120"/>
        <w:jc w:val="both"/>
      </w:pPr>
      <w:r>
        <w:t>(</w:t>
      </w:r>
      <w:r w:rsidR="00966D22" w:rsidRPr="00212AB7">
        <w:t>Zmluva s novým distribútorom bola uzavretá 26. 10. 2018</w:t>
      </w:r>
      <w:r>
        <w:rPr>
          <w:lang w:val="en-US"/>
        </w:rPr>
        <w:t>;</w:t>
      </w:r>
      <w:r w:rsidR="00966D22" w:rsidRPr="00212AB7">
        <w:t xml:space="preserve"> údaje o distribúcii za rok 2019 sú z </w:t>
      </w:r>
      <w:r w:rsidR="00966D22">
        <w:t>e</w:t>
      </w:r>
      <w:r w:rsidR="00966D22" w:rsidRPr="00212AB7">
        <w:t>videncie distribútora a predložených účtovných dokladov.</w:t>
      </w:r>
      <w:r>
        <w:t>)</w:t>
      </w:r>
    </w:p>
    <w:p w14:paraId="5F6E2EBF" w14:textId="03F4F7FE" w:rsidR="00F958A4" w:rsidRDefault="00F958A4" w:rsidP="00F958A4">
      <w:pPr>
        <w:spacing w:before="120" w:after="120"/>
        <w:jc w:val="both"/>
      </w:pPr>
      <w:r>
        <w:t xml:space="preserve">Druhou príčinou neuspokojivého stavu ohľadom zabezpečenia učebníc je neúspešnosť MŠVVŠ SR pri nákupe nových titulov učebníc. Z plánovaného počtu 20 nových titulov nezabezpečilo MŠVVŠ SR v roku 2019 pre školy ani jeden. Vyhlásené boli tri verejné obstarávania na celkovo 11 nových titulov. Išlo o verejné obstarávania pilotným postupom, ktorý mal byť v prípade osvedčenia sa masovo aplikovaný na rádovo desiatky titulov. Súťaž však bola vo všetkých troch prípadoch zrušená rozhodnutím ÚVO. Jedným z vysvetlení problematického verejného obstarávania nových titulov učebníc je skutočnosť, že učebnice sú výsledkom </w:t>
      </w:r>
      <w:r w:rsidRPr="007A58CC">
        <w:t xml:space="preserve">tvorivej duševnej činnosti, </w:t>
      </w:r>
      <w:r>
        <w:t>čo spôsobuje,</w:t>
      </w:r>
      <w:r w:rsidRPr="007A58CC">
        <w:t xml:space="preserve"> že je problematické nastaviť objektívne súťažné kritériá.</w:t>
      </w:r>
    </w:p>
    <w:p w14:paraId="210434D9" w14:textId="3BF99655" w:rsidR="00F958A4" w:rsidRDefault="00F958A4" w:rsidP="00F958A4">
      <w:pPr>
        <w:spacing w:before="120" w:after="120"/>
        <w:jc w:val="both"/>
      </w:pPr>
      <w:r>
        <w:t>Celkovo tak MŠVVŠ SR od roku 2014 zabezpečilo pre školy 44 nových titulov učebníc, čo je dokonca menej než každoročný plán počas obdobia 2014 – 2018</w:t>
      </w:r>
      <w:r w:rsidR="00D52FBD">
        <w:t xml:space="preserve"> (Graf 2</w:t>
      </w:r>
      <w:r w:rsidR="00417AF6">
        <w:t>2</w:t>
      </w:r>
      <w:r w:rsidR="00CD2D36">
        <w:t>)</w:t>
      </w:r>
      <w:r>
        <w:t>. Rovnako ako v roku 2019 má MŠVVŠ SR v pláne nákup 20 nových titulov aj v rokoch 2020 a 2021.</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958A4" w14:paraId="05E27937" w14:textId="77777777" w:rsidTr="001E3A37">
        <w:tc>
          <w:tcPr>
            <w:tcW w:w="5000" w:type="pct"/>
            <w:tcBorders>
              <w:top w:val="single" w:sz="4" w:space="0" w:color="auto"/>
              <w:left w:val="nil"/>
              <w:bottom w:val="single" w:sz="4" w:space="0" w:color="auto"/>
              <w:right w:val="nil"/>
            </w:tcBorders>
            <w:shd w:val="clear" w:color="auto" w:fill="0070C0"/>
            <w:hideMark/>
          </w:tcPr>
          <w:p w14:paraId="396C2C0B" w14:textId="1C7B3728" w:rsidR="00F958A4" w:rsidRDefault="00F958A4" w:rsidP="00417AF6">
            <w:pPr>
              <w:pStyle w:val="Bezriadkovania"/>
              <w:spacing w:line="240" w:lineRule="atLeast"/>
              <w:jc w:val="both"/>
              <w:rPr>
                <w:b/>
                <w:color w:val="FFFFFF" w:themeColor="background1"/>
                <w:lang w:eastAsia="en-US"/>
              </w:rPr>
            </w:pPr>
            <w:r>
              <w:rPr>
                <w:b/>
                <w:color w:val="FFFFFF" w:themeColor="background1"/>
                <w:lang w:eastAsia="en-US"/>
              </w:rPr>
              <w:t xml:space="preserve">Graf </w:t>
            </w:r>
            <w:r w:rsidR="00CD2D36">
              <w:rPr>
                <w:b/>
                <w:color w:val="FFFFFF" w:themeColor="background1"/>
                <w:lang w:eastAsia="en-US"/>
              </w:rPr>
              <w:t>2</w:t>
            </w:r>
            <w:r w:rsidR="00417AF6">
              <w:rPr>
                <w:b/>
                <w:color w:val="FFFFFF" w:themeColor="background1"/>
                <w:lang w:eastAsia="en-US"/>
              </w:rPr>
              <w:t>2</w:t>
            </w:r>
            <w:r>
              <w:rPr>
                <w:b/>
                <w:color w:val="FFFFFF" w:themeColor="background1"/>
                <w:lang w:eastAsia="en-US"/>
              </w:rPr>
              <w:t>: Nákup</w:t>
            </w:r>
            <w:r w:rsidRPr="002674C0">
              <w:rPr>
                <w:b/>
                <w:color w:val="FFFFFF" w:themeColor="background1"/>
                <w:lang w:eastAsia="en-US"/>
              </w:rPr>
              <w:t xml:space="preserve"> nových titulov učebníc pre všetky druhy a t</w:t>
            </w:r>
            <w:r>
              <w:rPr>
                <w:b/>
                <w:color w:val="FFFFFF" w:themeColor="background1"/>
                <w:lang w:eastAsia="en-US"/>
              </w:rPr>
              <w:t>ypy základných a stredných škôl</w:t>
            </w:r>
          </w:p>
        </w:tc>
      </w:tr>
      <w:tr w:rsidR="00F958A4" w14:paraId="291E4BBA" w14:textId="77777777" w:rsidTr="001E3A37">
        <w:tblPrEx>
          <w:tblCellMar>
            <w:left w:w="70" w:type="dxa"/>
            <w:right w:w="70" w:type="dxa"/>
          </w:tblCellMar>
        </w:tblPrEx>
        <w:trPr>
          <w:trHeight w:val="3674"/>
        </w:trPr>
        <w:tc>
          <w:tcPr>
            <w:tcW w:w="5000" w:type="pct"/>
            <w:tcBorders>
              <w:top w:val="single" w:sz="4" w:space="0" w:color="auto"/>
              <w:left w:val="nil"/>
              <w:bottom w:val="single" w:sz="4" w:space="0" w:color="auto"/>
              <w:right w:val="nil"/>
            </w:tcBorders>
            <w:vAlign w:val="center"/>
            <w:hideMark/>
          </w:tcPr>
          <w:p w14:paraId="5C50F6F0" w14:textId="77777777" w:rsidR="00F958A4" w:rsidRDefault="00F958A4" w:rsidP="00236427">
            <w:pPr>
              <w:jc w:val="both"/>
              <w:rPr>
                <w:b/>
              </w:rPr>
            </w:pPr>
            <w:r>
              <w:rPr>
                <w:noProof/>
                <w:lang w:eastAsia="sk-SK"/>
              </w:rPr>
              <w:drawing>
                <wp:inline distT="0" distB="0" distL="0" distR="0" wp14:anchorId="455C7B02" wp14:editId="12E515F6">
                  <wp:extent cx="5890260" cy="2498090"/>
                  <wp:effectExtent l="0" t="0" r="0"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F958A4" w:rsidRPr="004C25D1" w14:paraId="1BD1107F" w14:textId="77777777" w:rsidTr="001E3A37">
        <w:trPr>
          <w:trHeight w:val="222"/>
        </w:trPr>
        <w:tc>
          <w:tcPr>
            <w:tcW w:w="5000" w:type="pct"/>
            <w:tcBorders>
              <w:top w:val="single" w:sz="4" w:space="0" w:color="auto"/>
              <w:left w:val="nil"/>
              <w:bottom w:val="nil"/>
              <w:right w:val="nil"/>
            </w:tcBorders>
            <w:hideMark/>
          </w:tcPr>
          <w:p w14:paraId="0A4BDFB0" w14:textId="77777777" w:rsidR="00F958A4" w:rsidRPr="004C25D1" w:rsidRDefault="00F958A4" w:rsidP="003B2EE4">
            <w:pPr>
              <w:ind w:hanging="108"/>
              <w:jc w:val="both"/>
              <w:rPr>
                <w:rFonts w:cs="Times New Roman"/>
                <w:i/>
                <w:color w:val="000000"/>
                <w:sz w:val="18"/>
                <w:szCs w:val="24"/>
              </w:rPr>
            </w:pPr>
            <w:r>
              <w:rPr>
                <w:rFonts w:cs="Times New Roman"/>
                <w:i/>
                <w:color w:val="000000"/>
                <w:sz w:val="18"/>
                <w:szCs w:val="24"/>
              </w:rPr>
              <w:t>Zdroj: MŠVVaŠ SR; spracovanie NKÚ SR</w:t>
            </w:r>
          </w:p>
        </w:tc>
      </w:tr>
    </w:tbl>
    <w:p w14:paraId="69788659" w14:textId="6F1D228F" w:rsidR="0062190C" w:rsidRDefault="0062190C" w:rsidP="007534CE">
      <w:pPr>
        <w:pStyle w:val="Nadpis2"/>
        <w:numPr>
          <w:ilvl w:val="1"/>
          <w:numId w:val="23"/>
        </w:numPr>
      </w:pPr>
      <w:bookmarkStart w:id="50" w:name="_Toc43218080"/>
      <w:r w:rsidRPr="000F48CC">
        <w:t xml:space="preserve">Ministerstvo </w:t>
      </w:r>
      <w:r w:rsidR="00AC4666">
        <w:t>zdravotníctva SR</w:t>
      </w:r>
      <w:bookmarkEnd w:id="50"/>
    </w:p>
    <w:p w14:paraId="16B01281" w14:textId="3CAD8072" w:rsidR="00D462A2" w:rsidRDefault="00A330BB" w:rsidP="00A330BB">
      <w:pPr>
        <w:spacing w:after="120"/>
        <w:jc w:val="both"/>
      </w:pPr>
      <w:r>
        <w:t>Napriek tomu, že r</w:t>
      </w:r>
      <w:r w:rsidR="00D462A2">
        <w:t>eformy zamerané na zlepšenie efektívnosti výd</w:t>
      </w:r>
      <w:r>
        <w:t>avkov v zdravotníctve pokračujú,</w:t>
      </w:r>
      <w:r w:rsidR="00D462A2">
        <w:t xml:space="preserve"> </w:t>
      </w:r>
      <w:r>
        <w:t>v</w:t>
      </w:r>
      <w:r w:rsidR="00D462A2">
        <w:t xml:space="preserve">erejné nemocnice </w:t>
      </w:r>
      <w:r>
        <w:t xml:space="preserve">stále generujú straty. To sa </w:t>
      </w:r>
      <w:r w:rsidR="00D462A2">
        <w:t xml:space="preserve">premieta do </w:t>
      </w:r>
      <w:r>
        <w:t xml:space="preserve">ich </w:t>
      </w:r>
      <w:r w:rsidR="00D462A2">
        <w:t>pokračujúceho zadlžovania. Za hlavný dôvod rastu zadlženosti zdravotníckych zariadení možno považovať generovanie prev</w:t>
      </w:r>
      <w:r w:rsidR="00FD0986">
        <w:t>ádzkových strát v nemocniciach.</w:t>
      </w:r>
      <w:r w:rsidR="006163F5" w:rsidRPr="006163F5">
        <w:t xml:space="preserve"> Ani úspory na strane nemocníc sa </w:t>
      </w:r>
      <w:r w:rsidR="00934BC8">
        <w:t xml:space="preserve">pod </w:t>
      </w:r>
      <w:r w:rsidR="006163F5" w:rsidRPr="006163F5">
        <w:t>vplyvom zákonom stanoveného automatického zvyšovania miezd nedarí plniť, a to aj napriek šetreniu z centrálneho obstarávania zdravotníckej techniky, ktoré vykonalo pre nemocnice MZ SR.</w:t>
      </w:r>
    </w:p>
    <w:p w14:paraId="2958FC4C" w14:textId="1FA9BBAF" w:rsidR="00407144" w:rsidRPr="007534CE" w:rsidRDefault="00D462A2" w:rsidP="007534CE">
      <w:pPr>
        <w:pStyle w:val="Default"/>
        <w:jc w:val="both"/>
      </w:pPr>
      <w:r>
        <w:lastRenderedPageBreak/>
        <w:t xml:space="preserve">Je potrebné, aby naštartovaný proces zefektívňovania procesov v zdravotníctve pokračoval aj naďalej a neustále sa zlepšoval. </w:t>
      </w:r>
      <w:r w:rsidR="00A126BE">
        <w:t xml:space="preserve">Zohľadnené by mali byť riziká </w:t>
      </w:r>
      <w:r>
        <w:t xml:space="preserve">identifikované </w:t>
      </w:r>
      <w:r w:rsidR="00A126BE">
        <w:t>v</w:t>
      </w:r>
      <w:r>
        <w:t xml:space="preserve"> revízi</w:t>
      </w:r>
      <w:r w:rsidR="00A126BE">
        <w:t>i</w:t>
      </w:r>
      <w:r>
        <w:t xml:space="preserve"> výdavkov na zdravotníctvo. Podľa nej je priestor na zefektívnenie predovšetkým v liekovej politike.</w:t>
      </w:r>
      <w:r w:rsidR="00A330BB">
        <w:t xml:space="preserve"> </w:t>
      </w:r>
      <w:r w:rsidR="006163F5" w:rsidRPr="006163F5">
        <w:rPr>
          <w:color w:val="auto"/>
          <w:szCs w:val="22"/>
        </w:rPr>
        <w:t>Problémom zostávajú</w:t>
      </w:r>
      <w:r w:rsidR="007B7C9A">
        <w:rPr>
          <w:color w:val="auto"/>
          <w:szCs w:val="22"/>
        </w:rPr>
        <w:t xml:space="preserve"> lieky s </w:t>
      </w:r>
      <w:r w:rsidR="007B7C9A" w:rsidRPr="007B7C9A">
        <w:rPr>
          <w:color w:val="auto"/>
          <w:szCs w:val="22"/>
        </w:rPr>
        <w:t>nedostatočným klinickým prínosom</w:t>
      </w:r>
      <w:r w:rsidR="006163F5" w:rsidRPr="006163F5">
        <w:rPr>
          <w:color w:val="auto"/>
          <w:szCs w:val="22"/>
        </w:rPr>
        <w:t>, ktoré boli kategorizované v minulosti a sú naďalej uhrádzané z</w:t>
      </w:r>
      <w:r w:rsidR="00934BC8">
        <w:rPr>
          <w:color w:val="auto"/>
          <w:szCs w:val="22"/>
        </w:rPr>
        <w:t>o</w:t>
      </w:r>
      <w:r w:rsidR="006163F5" w:rsidRPr="006163F5">
        <w:rPr>
          <w:color w:val="auto"/>
          <w:szCs w:val="22"/>
        </w:rPr>
        <w:t xml:space="preserve"> </w:t>
      </w:r>
      <w:r w:rsidR="006163F5">
        <w:rPr>
          <w:color w:val="auto"/>
          <w:szCs w:val="22"/>
        </w:rPr>
        <w:t>VZP</w:t>
      </w:r>
      <w:r w:rsidR="006163F5" w:rsidRPr="006163F5">
        <w:rPr>
          <w:color w:val="auto"/>
          <w:szCs w:val="22"/>
        </w:rPr>
        <w:t xml:space="preserve"> bez zohľadnenia ich nákladovej efektívnosti.</w:t>
      </w:r>
      <w:r w:rsidR="008317DA">
        <w:rPr>
          <w:color w:val="auto"/>
          <w:szCs w:val="22"/>
        </w:rPr>
        <w:t xml:space="preserve"> </w:t>
      </w:r>
      <w:r>
        <w:t>Odpoveďou na ďalší vážny problém v slovenskom zdravotníctve</w:t>
      </w:r>
      <w:r w:rsidR="008317DA">
        <w:t>,</w:t>
      </w:r>
      <w:r>
        <w:t xml:space="preserve"> nedostatok všeobecných lekárov, malo byť zavedenie rezidentského programu. </w:t>
      </w:r>
      <w:r w:rsidR="00110E8B">
        <w:t>Podklady pre hodnotenie rezidentského programu a liekovej politiky boli získané rýchlou kontrolou v rezorte zdravotníctva.</w:t>
      </w:r>
      <w:bookmarkStart w:id="51" w:name="_Toc42768883"/>
      <w:bookmarkEnd w:id="51"/>
    </w:p>
    <w:p w14:paraId="0F052B5A" w14:textId="628527E9" w:rsidR="00FD0986" w:rsidRPr="008B0098" w:rsidRDefault="00FD0986" w:rsidP="007534CE">
      <w:pPr>
        <w:pStyle w:val="Nadpis3"/>
        <w:numPr>
          <w:ilvl w:val="2"/>
          <w:numId w:val="23"/>
        </w:numPr>
      </w:pPr>
      <w:bookmarkStart w:id="52" w:name="_Toc43218081"/>
      <w:r w:rsidRPr="008B0098">
        <w:t>Oddlženie zdravotníckych zariadení</w:t>
      </w:r>
      <w:bookmarkEnd w:id="52"/>
    </w:p>
    <w:p w14:paraId="14CC343F" w14:textId="664B4825" w:rsidR="00CD2D36" w:rsidRDefault="00FD0986" w:rsidP="00595B6E">
      <w:pPr>
        <w:pStyle w:val="Zkladntext"/>
        <w:jc w:val="both"/>
        <w:rPr>
          <w:i/>
          <w:sz w:val="18"/>
        </w:rPr>
      </w:pPr>
      <w:r>
        <w:rPr>
          <w:szCs w:val="22"/>
        </w:rPr>
        <w:t>K 31.</w:t>
      </w:r>
      <w:r w:rsidR="0059028D">
        <w:rPr>
          <w:szCs w:val="22"/>
        </w:rPr>
        <w:t xml:space="preserve"> </w:t>
      </w:r>
      <w:r>
        <w:rPr>
          <w:szCs w:val="22"/>
        </w:rPr>
        <w:t>12.</w:t>
      </w:r>
      <w:r w:rsidR="0059028D">
        <w:rPr>
          <w:szCs w:val="22"/>
        </w:rPr>
        <w:t xml:space="preserve"> </w:t>
      </w:r>
      <w:r>
        <w:rPr>
          <w:szCs w:val="22"/>
        </w:rPr>
        <w:t xml:space="preserve">2019 bol v rezorte zdravotníctva celkový stav </w:t>
      </w:r>
      <w:r w:rsidRPr="003E11C1">
        <w:rPr>
          <w:szCs w:val="22"/>
        </w:rPr>
        <w:t>záväzkov</w:t>
      </w:r>
      <w:r w:rsidRPr="003E11C1">
        <w:rPr>
          <w:rStyle w:val="Odkaznapoznmkupodiarou"/>
          <w:szCs w:val="22"/>
        </w:rPr>
        <w:footnoteReference w:id="15"/>
      </w:r>
      <w:r w:rsidRPr="003E11C1">
        <w:rPr>
          <w:szCs w:val="22"/>
        </w:rPr>
        <w:t xml:space="preserve"> </w:t>
      </w:r>
      <w:r>
        <w:rPr>
          <w:szCs w:val="22"/>
        </w:rPr>
        <w:t>spolu na úrovni istiny vo výške 1 391,97 mil. eur a v porovnaní s rokom 2018 klesol o </w:t>
      </w:r>
      <w:r w:rsidR="0047177D">
        <w:rPr>
          <w:szCs w:val="22"/>
        </w:rPr>
        <w:t>8</w:t>
      </w:r>
      <w:r>
        <w:rPr>
          <w:szCs w:val="22"/>
        </w:rPr>
        <w:t>,</w:t>
      </w:r>
      <w:r w:rsidR="0047177D">
        <w:rPr>
          <w:szCs w:val="22"/>
        </w:rPr>
        <w:t>1 %</w:t>
      </w:r>
      <w:r>
        <w:rPr>
          <w:szCs w:val="22"/>
        </w:rPr>
        <w:t xml:space="preserve">. </w:t>
      </w:r>
      <w:r w:rsidR="003163C0" w:rsidRPr="003163C0">
        <w:rPr>
          <w:szCs w:val="22"/>
        </w:rPr>
        <w:t>O finančnom zdraví zdravotníckych zariadení vypovedajú predovšetkým záväzky po lehote splatnosti, ktoré v rezorte zdravotníctva k 31.</w:t>
      </w:r>
      <w:r w:rsidR="0047177D">
        <w:rPr>
          <w:szCs w:val="22"/>
        </w:rPr>
        <w:t xml:space="preserve"> </w:t>
      </w:r>
      <w:r w:rsidR="003163C0" w:rsidRPr="003163C0">
        <w:rPr>
          <w:szCs w:val="22"/>
        </w:rPr>
        <w:t>12.</w:t>
      </w:r>
      <w:r w:rsidR="0047177D">
        <w:rPr>
          <w:szCs w:val="22"/>
        </w:rPr>
        <w:t xml:space="preserve"> </w:t>
      </w:r>
      <w:r w:rsidR="003163C0" w:rsidRPr="003163C0">
        <w:rPr>
          <w:szCs w:val="22"/>
        </w:rPr>
        <w:t>2019 klesli medziročne o 181,30 mil. eur, z toho najviac u príspevkových organizácií v pôsobnosti MZ SR (vrátane univerzitných a fakultných nemocníc). Tento pokles bol spôsobený pokračovaním realizácie procesov oddlžovania na základe koncepcie oddlž</w:t>
      </w:r>
      <w:r w:rsidR="0096251B">
        <w:rPr>
          <w:szCs w:val="22"/>
        </w:rPr>
        <w:t>e</w:t>
      </w:r>
      <w:r w:rsidR="003163C0" w:rsidRPr="003163C0">
        <w:rPr>
          <w:szCs w:val="22"/>
        </w:rPr>
        <w:t>nia zdravotníckych zariadení.</w:t>
      </w:r>
    </w:p>
    <w:p w14:paraId="0905CB55" w14:textId="77777777" w:rsidR="00FD0986" w:rsidRPr="003D3DE4" w:rsidRDefault="00FD0986" w:rsidP="00FD0986">
      <w:pPr>
        <w:pStyle w:val="Zkladntext"/>
        <w:spacing w:after="0"/>
        <w:jc w:val="both"/>
        <w:rPr>
          <w:b/>
          <w:szCs w:val="22"/>
        </w:rPr>
      </w:pPr>
      <w:r>
        <w:rPr>
          <w:b/>
          <w:szCs w:val="22"/>
        </w:rPr>
        <w:t>Vývoj záväzkov spolu a po lehote splatnosti v rezorte zdravotníctva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8"/>
        <w:gridCol w:w="1155"/>
        <w:gridCol w:w="1098"/>
        <w:gridCol w:w="1155"/>
        <w:gridCol w:w="1116"/>
        <w:gridCol w:w="1116"/>
        <w:gridCol w:w="1098"/>
      </w:tblGrid>
      <w:tr w:rsidR="00FD0986" w:rsidRPr="00B848F9" w14:paraId="551D50F3" w14:textId="77777777" w:rsidTr="00766DF2">
        <w:trPr>
          <w:trHeight w:val="283"/>
        </w:trPr>
        <w:tc>
          <w:tcPr>
            <w:tcW w:w="1395" w:type="pct"/>
            <w:shd w:val="clear" w:color="000000" w:fill="0070C0"/>
            <w:noWrap/>
            <w:vAlign w:val="center"/>
            <w:hideMark/>
          </w:tcPr>
          <w:p w14:paraId="3E561FC5" w14:textId="02DCBEBE" w:rsidR="00FD0986" w:rsidRPr="00B848F9" w:rsidRDefault="001F4222" w:rsidP="007516B2">
            <w:pPr>
              <w:jc w:val="center"/>
              <w:rPr>
                <w:rFonts w:eastAsia="Times New Roman" w:cs="Times New Roman"/>
                <w:b/>
                <w:bCs/>
                <w:color w:val="FFFFFF"/>
                <w:sz w:val="20"/>
                <w:szCs w:val="20"/>
              </w:rPr>
            </w:pPr>
            <w:r>
              <w:rPr>
                <w:rFonts w:eastAsia="Times New Roman" w:cs="Times New Roman"/>
                <w:b/>
                <w:bCs/>
                <w:color w:val="FFFFFF"/>
                <w:sz w:val="20"/>
                <w:szCs w:val="20"/>
              </w:rPr>
              <w:t>Ukazovateľ (</w:t>
            </w:r>
            <w:r w:rsidR="00FD0986" w:rsidRPr="00B848F9">
              <w:rPr>
                <w:rFonts w:eastAsia="Times New Roman" w:cs="Times New Roman"/>
                <w:b/>
                <w:bCs/>
                <w:color w:val="FFFFFF"/>
                <w:sz w:val="20"/>
                <w:szCs w:val="20"/>
              </w:rPr>
              <w:t>v mil. eur</w:t>
            </w:r>
            <w:r>
              <w:rPr>
                <w:rFonts w:eastAsia="Times New Roman" w:cs="Times New Roman"/>
                <w:b/>
                <w:bCs/>
                <w:color w:val="FFFFFF"/>
                <w:sz w:val="20"/>
                <w:szCs w:val="20"/>
              </w:rPr>
              <w:t>)</w:t>
            </w:r>
          </w:p>
        </w:tc>
        <w:tc>
          <w:tcPr>
            <w:tcW w:w="618" w:type="pct"/>
            <w:shd w:val="clear" w:color="000000" w:fill="0070C0"/>
            <w:noWrap/>
            <w:vAlign w:val="center"/>
            <w:hideMark/>
          </w:tcPr>
          <w:p w14:paraId="090DA2A2" w14:textId="77777777" w:rsidR="00FD0986" w:rsidRPr="00B848F9" w:rsidRDefault="00FD0986" w:rsidP="007516B2">
            <w:pPr>
              <w:jc w:val="center"/>
              <w:rPr>
                <w:rFonts w:eastAsia="Times New Roman" w:cs="Times New Roman"/>
                <w:b/>
                <w:bCs/>
                <w:color w:val="FFFFFF"/>
                <w:sz w:val="20"/>
                <w:szCs w:val="20"/>
              </w:rPr>
            </w:pPr>
            <w:r w:rsidRPr="00B848F9">
              <w:rPr>
                <w:rFonts w:eastAsia="Times New Roman" w:cs="Times New Roman"/>
                <w:b/>
                <w:bCs/>
                <w:color w:val="FFFFFF"/>
                <w:sz w:val="20"/>
                <w:szCs w:val="20"/>
              </w:rPr>
              <w:t>k 31.12.2014</w:t>
            </w:r>
          </w:p>
        </w:tc>
        <w:tc>
          <w:tcPr>
            <w:tcW w:w="587" w:type="pct"/>
            <w:shd w:val="clear" w:color="000000" w:fill="0070C0"/>
            <w:noWrap/>
            <w:vAlign w:val="center"/>
            <w:hideMark/>
          </w:tcPr>
          <w:p w14:paraId="6B24E110" w14:textId="77777777" w:rsidR="00FD0986" w:rsidRPr="00B848F9" w:rsidRDefault="00FD0986" w:rsidP="007516B2">
            <w:pPr>
              <w:jc w:val="center"/>
              <w:rPr>
                <w:rFonts w:eastAsia="Times New Roman" w:cs="Times New Roman"/>
                <w:b/>
                <w:bCs/>
                <w:color w:val="FFFFFF"/>
                <w:sz w:val="20"/>
                <w:szCs w:val="20"/>
              </w:rPr>
            </w:pPr>
            <w:r w:rsidRPr="00B848F9">
              <w:rPr>
                <w:rFonts w:eastAsia="Times New Roman" w:cs="Times New Roman"/>
                <w:b/>
                <w:bCs/>
                <w:color w:val="FFFFFF"/>
                <w:sz w:val="20"/>
                <w:szCs w:val="20"/>
              </w:rPr>
              <w:t>k 31.12.2015</w:t>
            </w:r>
          </w:p>
        </w:tc>
        <w:tc>
          <w:tcPr>
            <w:tcW w:w="618" w:type="pct"/>
            <w:shd w:val="clear" w:color="000000" w:fill="0070C0"/>
            <w:noWrap/>
            <w:vAlign w:val="center"/>
            <w:hideMark/>
          </w:tcPr>
          <w:p w14:paraId="00DB1635" w14:textId="77777777" w:rsidR="00FD0986" w:rsidRPr="00B848F9" w:rsidRDefault="00FD0986" w:rsidP="007516B2">
            <w:pPr>
              <w:jc w:val="center"/>
              <w:rPr>
                <w:rFonts w:eastAsia="Times New Roman" w:cs="Times New Roman"/>
                <w:b/>
                <w:bCs/>
                <w:color w:val="FFFFFF"/>
                <w:sz w:val="20"/>
                <w:szCs w:val="20"/>
              </w:rPr>
            </w:pPr>
            <w:r w:rsidRPr="00B848F9">
              <w:rPr>
                <w:rFonts w:eastAsia="Times New Roman" w:cs="Times New Roman"/>
                <w:b/>
                <w:bCs/>
                <w:color w:val="FFFFFF"/>
                <w:sz w:val="20"/>
                <w:szCs w:val="20"/>
              </w:rPr>
              <w:t>k 31.12.2016</w:t>
            </w:r>
          </w:p>
        </w:tc>
        <w:tc>
          <w:tcPr>
            <w:tcW w:w="597" w:type="pct"/>
            <w:shd w:val="clear" w:color="000000" w:fill="0070C0"/>
            <w:noWrap/>
            <w:vAlign w:val="center"/>
            <w:hideMark/>
          </w:tcPr>
          <w:p w14:paraId="6FEF983D" w14:textId="77777777" w:rsidR="00FD0986" w:rsidRPr="00B848F9" w:rsidRDefault="00FD0986" w:rsidP="007516B2">
            <w:pPr>
              <w:jc w:val="center"/>
              <w:rPr>
                <w:rFonts w:eastAsia="Times New Roman" w:cs="Times New Roman"/>
                <w:b/>
                <w:bCs/>
                <w:color w:val="FFFFFF"/>
                <w:sz w:val="20"/>
                <w:szCs w:val="20"/>
              </w:rPr>
            </w:pPr>
            <w:r w:rsidRPr="00B848F9">
              <w:rPr>
                <w:rFonts w:eastAsia="Times New Roman" w:cs="Times New Roman"/>
                <w:b/>
                <w:bCs/>
                <w:color w:val="FFFFFF"/>
                <w:sz w:val="20"/>
                <w:szCs w:val="20"/>
              </w:rPr>
              <w:t>k 31.12.2017</w:t>
            </w:r>
          </w:p>
        </w:tc>
        <w:tc>
          <w:tcPr>
            <w:tcW w:w="597" w:type="pct"/>
            <w:shd w:val="clear" w:color="000000" w:fill="0070C0"/>
            <w:noWrap/>
            <w:vAlign w:val="center"/>
            <w:hideMark/>
          </w:tcPr>
          <w:p w14:paraId="55B043B6" w14:textId="77777777" w:rsidR="00FD0986" w:rsidRPr="00B848F9" w:rsidRDefault="00FD0986" w:rsidP="007516B2">
            <w:pPr>
              <w:jc w:val="center"/>
              <w:rPr>
                <w:rFonts w:eastAsia="Times New Roman" w:cs="Times New Roman"/>
                <w:b/>
                <w:bCs/>
                <w:color w:val="FFFFFF"/>
                <w:sz w:val="20"/>
                <w:szCs w:val="20"/>
              </w:rPr>
            </w:pPr>
            <w:r w:rsidRPr="00B848F9">
              <w:rPr>
                <w:rFonts w:eastAsia="Times New Roman" w:cs="Times New Roman"/>
                <w:b/>
                <w:bCs/>
                <w:color w:val="FFFFFF"/>
                <w:sz w:val="20"/>
                <w:szCs w:val="20"/>
              </w:rPr>
              <w:t>k 31.12.2018</w:t>
            </w:r>
          </w:p>
        </w:tc>
        <w:tc>
          <w:tcPr>
            <w:tcW w:w="587" w:type="pct"/>
            <w:shd w:val="clear" w:color="000000" w:fill="0070C0"/>
            <w:noWrap/>
            <w:vAlign w:val="center"/>
            <w:hideMark/>
          </w:tcPr>
          <w:p w14:paraId="6622838B" w14:textId="77777777" w:rsidR="00FD0986" w:rsidRPr="00B848F9" w:rsidRDefault="00FD0986" w:rsidP="007516B2">
            <w:pPr>
              <w:jc w:val="center"/>
              <w:rPr>
                <w:rFonts w:eastAsia="Times New Roman" w:cs="Times New Roman"/>
                <w:b/>
                <w:bCs/>
                <w:color w:val="FFFFFF"/>
                <w:sz w:val="20"/>
                <w:szCs w:val="20"/>
              </w:rPr>
            </w:pPr>
            <w:r w:rsidRPr="00B848F9">
              <w:rPr>
                <w:rFonts w:eastAsia="Times New Roman" w:cs="Times New Roman"/>
                <w:b/>
                <w:bCs/>
                <w:color w:val="FFFFFF"/>
                <w:sz w:val="20"/>
                <w:szCs w:val="20"/>
              </w:rPr>
              <w:t>k 31.12.2019</w:t>
            </w:r>
          </w:p>
        </w:tc>
      </w:tr>
      <w:tr w:rsidR="00FD0986" w:rsidRPr="00B848F9" w14:paraId="73BCC969" w14:textId="77777777" w:rsidTr="00766DF2">
        <w:trPr>
          <w:trHeight w:val="20"/>
        </w:trPr>
        <w:tc>
          <w:tcPr>
            <w:tcW w:w="1395" w:type="pct"/>
            <w:shd w:val="clear" w:color="auto" w:fill="auto"/>
            <w:noWrap/>
            <w:vAlign w:val="bottom"/>
            <w:hideMark/>
          </w:tcPr>
          <w:p w14:paraId="60B751DE" w14:textId="77777777" w:rsidR="00FD0986" w:rsidRPr="00B848F9" w:rsidRDefault="00FD0986" w:rsidP="007516B2">
            <w:pPr>
              <w:rPr>
                <w:rFonts w:eastAsia="Times New Roman" w:cs="Times New Roman"/>
                <w:b/>
                <w:bCs/>
                <w:color w:val="000000"/>
                <w:sz w:val="20"/>
                <w:szCs w:val="20"/>
              </w:rPr>
            </w:pPr>
            <w:r w:rsidRPr="00B848F9">
              <w:rPr>
                <w:rFonts w:eastAsia="Times New Roman" w:cs="Times New Roman"/>
                <w:b/>
                <w:bCs/>
                <w:color w:val="000000"/>
                <w:sz w:val="20"/>
                <w:szCs w:val="20"/>
              </w:rPr>
              <w:t>Záväzky na úrovni istiny spolu</w:t>
            </w:r>
          </w:p>
        </w:tc>
        <w:tc>
          <w:tcPr>
            <w:tcW w:w="618" w:type="pct"/>
            <w:shd w:val="clear" w:color="auto" w:fill="auto"/>
            <w:noWrap/>
            <w:vAlign w:val="bottom"/>
            <w:hideMark/>
          </w:tcPr>
          <w:p w14:paraId="73CC9872" w14:textId="77777777" w:rsidR="00FD0986" w:rsidRPr="00B17EE5" w:rsidRDefault="00FD0986" w:rsidP="007516B2">
            <w:pPr>
              <w:jc w:val="right"/>
              <w:rPr>
                <w:rFonts w:eastAsia="Times New Roman" w:cs="Times New Roman"/>
                <w:b/>
                <w:color w:val="000000"/>
                <w:sz w:val="20"/>
                <w:szCs w:val="20"/>
              </w:rPr>
            </w:pPr>
            <w:r w:rsidRPr="00B17EE5">
              <w:rPr>
                <w:rFonts w:eastAsia="Times New Roman" w:cs="Times New Roman"/>
                <w:b/>
                <w:color w:val="000000"/>
                <w:sz w:val="20"/>
                <w:szCs w:val="20"/>
              </w:rPr>
              <w:t>1 242,33</w:t>
            </w:r>
          </w:p>
        </w:tc>
        <w:tc>
          <w:tcPr>
            <w:tcW w:w="587" w:type="pct"/>
            <w:shd w:val="clear" w:color="auto" w:fill="auto"/>
            <w:noWrap/>
            <w:vAlign w:val="bottom"/>
            <w:hideMark/>
          </w:tcPr>
          <w:p w14:paraId="0B0155B6" w14:textId="77777777" w:rsidR="00FD0986" w:rsidRPr="00B17EE5" w:rsidRDefault="00FD0986" w:rsidP="007516B2">
            <w:pPr>
              <w:jc w:val="right"/>
              <w:rPr>
                <w:rFonts w:eastAsia="Times New Roman" w:cs="Times New Roman"/>
                <w:b/>
                <w:color w:val="000000"/>
                <w:sz w:val="20"/>
                <w:szCs w:val="20"/>
              </w:rPr>
            </w:pPr>
            <w:r w:rsidRPr="00B17EE5">
              <w:rPr>
                <w:rFonts w:eastAsia="Times New Roman" w:cs="Times New Roman"/>
                <w:b/>
                <w:color w:val="000000"/>
                <w:sz w:val="20"/>
                <w:szCs w:val="20"/>
              </w:rPr>
              <w:t>1 377,82</w:t>
            </w:r>
          </w:p>
        </w:tc>
        <w:tc>
          <w:tcPr>
            <w:tcW w:w="618" w:type="pct"/>
            <w:shd w:val="clear" w:color="auto" w:fill="auto"/>
            <w:noWrap/>
            <w:vAlign w:val="bottom"/>
            <w:hideMark/>
          </w:tcPr>
          <w:p w14:paraId="4D41EA2D" w14:textId="77777777" w:rsidR="00FD0986" w:rsidRPr="00B17EE5" w:rsidRDefault="00FD0986" w:rsidP="007516B2">
            <w:pPr>
              <w:jc w:val="right"/>
              <w:rPr>
                <w:rFonts w:eastAsia="Times New Roman" w:cs="Times New Roman"/>
                <w:b/>
                <w:color w:val="000000"/>
                <w:sz w:val="20"/>
                <w:szCs w:val="20"/>
              </w:rPr>
            </w:pPr>
            <w:r w:rsidRPr="00B17EE5">
              <w:rPr>
                <w:rFonts w:eastAsia="Times New Roman" w:cs="Times New Roman"/>
                <w:b/>
                <w:color w:val="000000"/>
                <w:sz w:val="20"/>
                <w:szCs w:val="20"/>
              </w:rPr>
              <w:t>1 382,39</w:t>
            </w:r>
          </w:p>
        </w:tc>
        <w:tc>
          <w:tcPr>
            <w:tcW w:w="597" w:type="pct"/>
            <w:shd w:val="clear" w:color="auto" w:fill="auto"/>
            <w:noWrap/>
            <w:vAlign w:val="bottom"/>
            <w:hideMark/>
          </w:tcPr>
          <w:p w14:paraId="74C1AFFD" w14:textId="77777777" w:rsidR="00FD0986" w:rsidRPr="00B17EE5" w:rsidRDefault="00FD0986" w:rsidP="007516B2">
            <w:pPr>
              <w:jc w:val="right"/>
              <w:rPr>
                <w:rFonts w:eastAsia="Times New Roman" w:cs="Times New Roman"/>
                <w:b/>
                <w:color w:val="000000"/>
                <w:sz w:val="20"/>
                <w:szCs w:val="20"/>
              </w:rPr>
            </w:pPr>
            <w:r w:rsidRPr="00B17EE5">
              <w:rPr>
                <w:rFonts w:eastAsia="Times New Roman" w:cs="Times New Roman"/>
                <w:b/>
                <w:color w:val="000000"/>
                <w:sz w:val="20"/>
                <w:szCs w:val="20"/>
              </w:rPr>
              <w:t>1 463,73</w:t>
            </w:r>
          </w:p>
        </w:tc>
        <w:tc>
          <w:tcPr>
            <w:tcW w:w="597" w:type="pct"/>
            <w:shd w:val="clear" w:color="auto" w:fill="auto"/>
            <w:noWrap/>
            <w:vAlign w:val="bottom"/>
            <w:hideMark/>
          </w:tcPr>
          <w:p w14:paraId="45896F7A" w14:textId="77777777" w:rsidR="00FD0986" w:rsidRPr="00B17EE5" w:rsidRDefault="00FD0986" w:rsidP="007516B2">
            <w:pPr>
              <w:jc w:val="right"/>
              <w:rPr>
                <w:rFonts w:eastAsia="Times New Roman" w:cs="Times New Roman"/>
                <w:b/>
                <w:color w:val="000000"/>
                <w:sz w:val="20"/>
                <w:szCs w:val="20"/>
              </w:rPr>
            </w:pPr>
            <w:r w:rsidRPr="00B17EE5">
              <w:rPr>
                <w:rFonts w:eastAsia="Times New Roman" w:cs="Times New Roman"/>
                <w:b/>
                <w:color w:val="000000"/>
                <w:sz w:val="20"/>
                <w:szCs w:val="20"/>
              </w:rPr>
              <w:t>1 514,72</w:t>
            </w:r>
          </w:p>
        </w:tc>
        <w:tc>
          <w:tcPr>
            <w:tcW w:w="587" w:type="pct"/>
            <w:shd w:val="clear" w:color="auto" w:fill="auto"/>
            <w:noWrap/>
            <w:vAlign w:val="bottom"/>
            <w:hideMark/>
          </w:tcPr>
          <w:p w14:paraId="44866AD2" w14:textId="77777777" w:rsidR="00FD0986" w:rsidRPr="00B17EE5" w:rsidRDefault="00FD0986" w:rsidP="007516B2">
            <w:pPr>
              <w:jc w:val="right"/>
              <w:rPr>
                <w:rFonts w:eastAsia="Times New Roman" w:cs="Times New Roman"/>
                <w:b/>
                <w:color w:val="000000"/>
                <w:sz w:val="20"/>
                <w:szCs w:val="20"/>
              </w:rPr>
            </w:pPr>
            <w:r w:rsidRPr="00B17EE5">
              <w:rPr>
                <w:rFonts w:eastAsia="Times New Roman" w:cs="Times New Roman"/>
                <w:b/>
                <w:color w:val="000000"/>
                <w:sz w:val="20"/>
                <w:szCs w:val="20"/>
              </w:rPr>
              <w:t>1 391,97</w:t>
            </w:r>
          </w:p>
        </w:tc>
      </w:tr>
      <w:tr w:rsidR="00FD0986" w:rsidRPr="00B848F9" w14:paraId="123FEAC4" w14:textId="77777777" w:rsidTr="00766DF2">
        <w:trPr>
          <w:trHeight w:val="20"/>
        </w:trPr>
        <w:tc>
          <w:tcPr>
            <w:tcW w:w="1395" w:type="pct"/>
            <w:shd w:val="clear" w:color="auto" w:fill="auto"/>
            <w:noWrap/>
            <w:vAlign w:val="bottom"/>
            <w:hideMark/>
          </w:tcPr>
          <w:p w14:paraId="2C87BA28" w14:textId="77777777" w:rsidR="00FD0986" w:rsidRPr="00B848F9" w:rsidRDefault="00FD0986" w:rsidP="007516B2">
            <w:pPr>
              <w:rPr>
                <w:rFonts w:eastAsia="Times New Roman" w:cs="Times New Roman"/>
                <w:color w:val="000000"/>
                <w:sz w:val="20"/>
                <w:szCs w:val="20"/>
              </w:rPr>
            </w:pPr>
            <w:r w:rsidRPr="00B848F9">
              <w:rPr>
                <w:rFonts w:eastAsia="Times New Roman" w:cs="Times New Roman"/>
                <w:color w:val="000000"/>
                <w:sz w:val="20"/>
                <w:szCs w:val="20"/>
              </w:rPr>
              <w:t xml:space="preserve"> - medziročná zmena</w:t>
            </w:r>
          </w:p>
        </w:tc>
        <w:tc>
          <w:tcPr>
            <w:tcW w:w="618" w:type="pct"/>
            <w:shd w:val="clear" w:color="auto" w:fill="auto"/>
            <w:noWrap/>
            <w:vAlign w:val="bottom"/>
            <w:hideMark/>
          </w:tcPr>
          <w:p w14:paraId="6DFD517E"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-11,43</w:t>
            </w:r>
          </w:p>
        </w:tc>
        <w:tc>
          <w:tcPr>
            <w:tcW w:w="587" w:type="pct"/>
            <w:shd w:val="clear" w:color="auto" w:fill="auto"/>
            <w:noWrap/>
            <w:vAlign w:val="bottom"/>
            <w:hideMark/>
          </w:tcPr>
          <w:p w14:paraId="2A2C3B1F"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135,49</w:t>
            </w:r>
          </w:p>
        </w:tc>
        <w:tc>
          <w:tcPr>
            <w:tcW w:w="618" w:type="pct"/>
            <w:shd w:val="clear" w:color="auto" w:fill="auto"/>
            <w:noWrap/>
            <w:vAlign w:val="bottom"/>
            <w:hideMark/>
          </w:tcPr>
          <w:p w14:paraId="7DE4E0E9"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4,57</w:t>
            </w:r>
          </w:p>
        </w:tc>
        <w:tc>
          <w:tcPr>
            <w:tcW w:w="597" w:type="pct"/>
            <w:shd w:val="clear" w:color="auto" w:fill="auto"/>
            <w:noWrap/>
            <w:vAlign w:val="bottom"/>
            <w:hideMark/>
          </w:tcPr>
          <w:p w14:paraId="509543E1"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81,34</w:t>
            </w:r>
          </w:p>
        </w:tc>
        <w:tc>
          <w:tcPr>
            <w:tcW w:w="597" w:type="pct"/>
            <w:shd w:val="clear" w:color="auto" w:fill="auto"/>
            <w:noWrap/>
            <w:vAlign w:val="bottom"/>
            <w:hideMark/>
          </w:tcPr>
          <w:p w14:paraId="0959E4AF"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50,99</w:t>
            </w:r>
          </w:p>
        </w:tc>
        <w:tc>
          <w:tcPr>
            <w:tcW w:w="587" w:type="pct"/>
            <w:shd w:val="clear" w:color="auto" w:fill="auto"/>
            <w:noWrap/>
            <w:vAlign w:val="bottom"/>
            <w:hideMark/>
          </w:tcPr>
          <w:p w14:paraId="58A6CE29"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-122,75</w:t>
            </w:r>
          </w:p>
        </w:tc>
      </w:tr>
      <w:tr w:rsidR="00FD0986" w:rsidRPr="00B848F9" w14:paraId="2C89823B" w14:textId="77777777" w:rsidTr="00766DF2">
        <w:trPr>
          <w:trHeight w:val="20"/>
        </w:trPr>
        <w:tc>
          <w:tcPr>
            <w:tcW w:w="1395" w:type="pct"/>
            <w:shd w:val="clear" w:color="auto" w:fill="auto"/>
            <w:noWrap/>
            <w:vAlign w:val="bottom"/>
            <w:hideMark/>
          </w:tcPr>
          <w:p w14:paraId="391E1BF3" w14:textId="77777777" w:rsidR="00FD0986" w:rsidRPr="00B848F9" w:rsidRDefault="00FD0986" w:rsidP="007516B2">
            <w:pPr>
              <w:rPr>
                <w:rFonts w:eastAsia="Times New Roman" w:cs="Times New Roman"/>
                <w:color w:val="000000"/>
                <w:sz w:val="20"/>
                <w:szCs w:val="20"/>
              </w:rPr>
            </w:pPr>
            <w:r w:rsidRPr="00B848F9">
              <w:rPr>
                <w:rFonts w:eastAsia="Times New Roman" w:cs="Times New Roman"/>
                <w:color w:val="000000"/>
                <w:sz w:val="20"/>
                <w:szCs w:val="20"/>
              </w:rPr>
              <w:t>z toho: PO v pôsobnosti MZ SR*</w:t>
            </w:r>
          </w:p>
        </w:tc>
        <w:tc>
          <w:tcPr>
            <w:tcW w:w="618" w:type="pct"/>
            <w:shd w:val="clear" w:color="auto" w:fill="auto"/>
            <w:noWrap/>
            <w:vAlign w:val="bottom"/>
            <w:hideMark/>
          </w:tcPr>
          <w:p w14:paraId="5322FC56"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473,69</w:t>
            </w:r>
          </w:p>
        </w:tc>
        <w:tc>
          <w:tcPr>
            <w:tcW w:w="587" w:type="pct"/>
            <w:shd w:val="clear" w:color="auto" w:fill="auto"/>
            <w:noWrap/>
            <w:vAlign w:val="bottom"/>
            <w:hideMark/>
          </w:tcPr>
          <w:p w14:paraId="00375EE4"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589,94</w:t>
            </w:r>
          </w:p>
        </w:tc>
        <w:tc>
          <w:tcPr>
            <w:tcW w:w="618" w:type="pct"/>
            <w:shd w:val="clear" w:color="auto" w:fill="auto"/>
            <w:noWrap/>
            <w:vAlign w:val="bottom"/>
            <w:hideMark/>
          </w:tcPr>
          <w:p w14:paraId="673FF6AA"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702,13</w:t>
            </w:r>
          </w:p>
        </w:tc>
        <w:tc>
          <w:tcPr>
            <w:tcW w:w="597" w:type="pct"/>
            <w:shd w:val="clear" w:color="auto" w:fill="auto"/>
            <w:noWrap/>
            <w:vAlign w:val="bottom"/>
            <w:hideMark/>
          </w:tcPr>
          <w:p w14:paraId="1BE6CD8D"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833,69</w:t>
            </w:r>
          </w:p>
        </w:tc>
        <w:tc>
          <w:tcPr>
            <w:tcW w:w="597" w:type="pct"/>
            <w:shd w:val="clear" w:color="auto" w:fill="auto"/>
            <w:noWrap/>
            <w:vAlign w:val="bottom"/>
            <w:hideMark/>
          </w:tcPr>
          <w:p w14:paraId="00684A68"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880,35</w:t>
            </w:r>
          </w:p>
        </w:tc>
        <w:tc>
          <w:tcPr>
            <w:tcW w:w="587" w:type="pct"/>
            <w:shd w:val="clear" w:color="auto" w:fill="auto"/>
            <w:noWrap/>
            <w:vAlign w:val="bottom"/>
            <w:hideMark/>
          </w:tcPr>
          <w:p w14:paraId="3BFB2364"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811,74</w:t>
            </w:r>
          </w:p>
        </w:tc>
      </w:tr>
      <w:tr w:rsidR="00FD0986" w:rsidRPr="00B848F9" w14:paraId="2F62775F" w14:textId="77777777" w:rsidTr="00766DF2">
        <w:trPr>
          <w:trHeight w:val="20"/>
        </w:trPr>
        <w:tc>
          <w:tcPr>
            <w:tcW w:w="1395" w:type="pct"/>
            <w:shd w:val="clear" w:color="auto" w:fill="auto"/>
            <w:noWrap/>
            <w:vAlign w:val="bottom"/>
            <w:hideMark/>
          </w:tcPr>
          <w:p w14:paraId="3255DD90" w14:textId="77777777" w:rsidR="00FD0986" w:rsidRPr="00B848F9" w:rsidRDefault="00FD0986" w:rsidP="007516B2">
            <w:pPr>
              <w:rPr>
                <w:rFonts w:eastAsia="Times New Roman" w:cs="Times New Roman"/>
                <w:color w:val="000000"/>
                <w:sz w:val="20"/>
                <w:szCs w:val="20"/>
              </w:rPr>
            </w:pPr>
            <w:r w:rsidRPr="00B848F9">
              <w:rPr>
                <w:rFonts w:eastAsia="Times New Roman" w:cs="Times New Roman"/>
                <w:color w:val="000000"/>
                <w:sz w:val="20"/>
                <w:szCs w:val="20"/>
              </w:rPr>
              <w:t xml:space="preserve"> - medziročná zmena</w:t>
            </w:r>
          </w:p>
        </w:tc>
        <w:tc>
          <w:tcPr>
            <w:tcW w:w="618" w:type="pct"/>
            <w:shd w:val="clear" w:color="auto" w:fill="auto"/>
            <w:noWrap/>
            <w:vAlign w:val="bottom"/>
            <w:hideMark/>
          </w:tcPr>
          <w:p w14:paraId="2321A5C5"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70,15</w:t>
            </w:r>
          </w:p>
        </w:tc>
        <w:tc>
          <w:tcPr>
            <w:tcW w:w="587" w:type="pct"/>
            <w:shd w:val="clear" w:color="auto" w:fill="auto"/>
            <w:noWrap/>
            <w:vAlign w:val="bottom"/>
            <w:hideMark/>
          </w:tcPr>
          <w:p w14:paraId="5CE142D8"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116,25</w:t>
            </w:r>
          </w:p>
        </w:tc>
        <w:tc>
          <w:tcPr>
            <w:tcW w:w="618" w:type="pct"/>
            <w:shd w:val="clear" w:color="auto" w:fill="auto"/>
            <w:noWrap/>
            <w:vAlign w:val="bottom"/>
            <w:hideMark/>
          </w:tcPr>
          <w:p w14:paraId="48CE2EDC"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112,19</w:t>
            </w:r>
          </w:p>
        </w:tc>
        <w:tc>
          <w:tcPr>
            <w:tcW w:w="597" w:type="pct"/>
            <w:shd w:val="clear" w:color="auto" w:fill="auto"/>
            <w:noWrap/>
            <w:vAlign w:val="bottom"/>
            <w:hideMark/>
          </w:tcPr>
          <w:p w14:paraId="28E89852"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131,56</w:t>
            </w:r>
          </w:p>
        </w:tc>
        <w:tc>
          <w:tcPr>
            <w:tcW w:w="597" w:type="pct"/>
            <w:shd w:val="clear" w:color="auto" w:fill="auto"/>
            <w:noWrap/>
            <w:vAlign w:val="bottom"/>
            <w:hideMark/>
          </w:tcPr>
          <w:p w14:paraId="7E2858ED"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46,66</w:t>
            </w:r>
          </w:p>
        </w:tc>
        <w:tc>
          <w:tcPr>
            <w:tcW w:w="587" w:type="pct"/>
            <w:shd w:val="clear" w:color="auto" w:fill="auto"/>
            <w:noWrap/>
            <w:vAlign w:val="bottom"/>
            <w:hideMark/>
          </w:tcPr>
          <w:p w14:paraId="6CE885D0"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-68,61</w:t>
            </w:r>
          </w:p>
        </w:tc>
      </w:tr>
      <w:tr w:rsidR="00FD0986" w:rsidRPr="00B848F9" w14:paraId="606696DF" w14:textId="77777777" w:rsidTr="00766DF2">
        <w:trPr>
          <w:trHeight w:val="20"/>
        </w:trPr>
        <w:tc>
          <w:tcPr>
            <w:tcW w:w="1395" w:type="pct"/>
            <w:shd w:val="clear" w:color="auto" w:fill="auto"/>
            <w:noWrap/>
            <w:vAlign w:val="bottom"/>
            <w:hideMark/>
          </w:tcPr>
          <w:p w14:paraId="6F8A4642" w14:textId="77777777" w:rsidR="00FD0986" w:rsidRPr="00B848F9" w:rsidRDefault="00FD0986" w:rsidP="007516B2">
            <w:pPr>
              <w:rPr>
                <w:rFonts w:eastAsia="Times New Roman" w:cs="Times New Roman"/>
                <w:b/>
                <w:bCs/>
                <w:color w:val="000000"/>
                <w:sz w:val="20"/>
                <w:szCs w:val="20"/>
              </w:rPr>
            </w:pPr>
            <w:r w:rsidRPr="00B848F9">
              <w:rPr>
                <w:rFonts w:eastAsia="Times New Roman" w:cs="Times New Roman"/>
                <w:b/>
                <w:bCs/>
                <w:color w:val="000000"/>
                <w:sz w:val="20"/>
                <w:szCs w:val="20"/>
              </w:rPr>
              <w:t>Záväzky PLS** (istina) spolu</w:t>
            </w:r>
          </w:p>
        </w:tc>
        <w:tc>
          <w:tcPr>
            <w:tcW w:w="618" w:type="pct"/>
            <w:shd w:val="clear" w:color="auto" w:fill="auto"/>
            <w:noWrap/>
            <w:vAlign w:val="bottom"/>
            <w:hideMark/>
          </w:tcPr>
          <w:p w14:paraId="26B64E82" w14:textId="77777777" w:rsidR="00FD0986" w:rsidRPr="00B17EE5" w:rsidRDefault="00FD0986" w:rsidP="007516B2">
            <w:pPr>
              <w:jc w:val="right"/>
              <w:rPr>
                <w:rFonts w:eastAsia="Times New Roman" w:cs="Times New Roman"/>
                <w:b/>
                <w:color w:val="000000"/>
                <w:sz w:val="20"/>
                <w:szCs w:val="20"/>
              </w:rPr>
            </w:pPr>
            <w:r w:rsidRPr="00B17EE5">
              <w:rPr>
                <w:rFonts w:eastAsia="Times New Roman" w:cs="Times New Roman"/>
                <w:b/>
                <w:color w:val="000000"/>
                <w:sz w:val="20"/>
                <w:szCs w:val="20"/>
              </w:rPr>
              <w:t>430,53</w:t>
            </w:r>
          </w:p>
        </w:tc>
        <w:tc>
          <w:tcPr>
            <w:tcW w:w="587" w:type="pct"/>
            <w:shd w:val="clear" w:color="auto" w:fill="auto"/>
            <w:noWrap/>
            <w:vAlign w:val="bottom"/>
            <w:hideMark/>
          </w:tcPr>
          <w:p w14:paraId="3AEEA6DF" w14:textId="77777777" w:rsidR="00FD0986" w:rsidRPr="00B17EE5" w:rsidRDefault="00FD0986" w:rsidP="007516B2">
            <w:pPr>
              <w:jc w:val="right"/>
              <w:rPr>
                <w:rFonts w:eastAsia="Times New Roman" w:cs="Times New Roman"/>
                <w:b/>
                <w:color w:val="000000"/>
                <w:sz w:val="20"/>
                <w:szCs w:val="20"/>
              </w:rPr>
            </w:pPr>
            <w:r w:rsidRPr="00B17EE5">
              <w:rPr>
                <w:rFonts w:eastAsia="Times New Roman" w:cs="Times New Roman"/>
                <w:b/>
                <w:color w:val="000000"/>
                <w:sz w:val="20"/>
                <w:szCs w:val="20"/>
              </w:rPr>
              <w:t>549,87</w:t>
            </w:r>
          </w:p>
        </w:tc>
        <w:tc>
          <w:tcPr>
            <w:tcW w:w="618" w:type="pct"/>
            <w:shd w:val="clear" w:color="auto" w:fill="auto"/>
            <w:noWrap/>
            <w:vAlign w:val="bottom"/>
            <w:hideMark/>
          </w:tcPr>
          <w:p w14:paraId="70848416" w14:textId="77777777" w:rsidR="00FD0986" w:rsidRPr="00B17EE5" w:rsidRDefault="00FD0986" w:rsidP="007516B2">
            <w:pPr>
              <w:jc w:val="right"/>
              <w:rPr>
                <w:rFonts w:eastAsia="Times New Roman" w:cs="Times New Roman"/>
                <w:b/>
                <w:color w:val="000000"/>
                <w:sz w:val="20"/>
                <w:szCs w:val="20"/>
              </w:rPr>
            </w:pPr>
            <w:r w:rsidRPr="00B17EE5">
              <w:rPr>
                <w:rFonts w:eastAsia="Times New Roman" w:cs="Times New Roman"/>
                <w:b/>
                <w:color w:val="000000"/>
                <w:sz w:val="20"/>
                <w:szCs w:val="20"/>
              </w:rPr>
              <w:t>647,24</w:t>
            </w:r>
          </w:p>
        </w:tc>
        <w:tc>
          <w:tcPr>
            <w:tcW w:w="597" w:type="pct"/>
            <w:shd w:val="clear" w:color="auto" w:fill="auto"/>
            <w:noWrap/>
            <w:vAlign w:val="bottom"/>
            <w:hideMark/>
          </w:tcPr>
          <w:p w14:paraId="26CC4059" w14:textId="77777777" w:rsidR="00FD0986" w:rsidRPr="00B17EE5" w:rsidRDefault="00FD0986" w:rsidP="007516B2">
            <w:pPr>
              <w:jc w:val="right"/>
              <w:rPr>
                <w:rFonts w:eastAsia="Times New Roman" w:cs="Times New Roman"/>
                <w:b/>
                <w:color w:val="000000"/>
                <w:sz w:val="20"/>
                <w:szCs w:val="20"/>
              </w:rPr>
            </w:pPr>
            <w:r w:rsidRPr="00B17EE5">
              <w:rPr>
                <w:rFonts w:eastAsia="Times New Roman" w:cs="Times New Roman"/>
                <w:b/>
                <w:color w:val="000000"/>
                <w:sz w:val="20"/>
                <w:szCs w:val="20"/>
              </w:rPr>
              <w:t>791,13</w:t>
            </w:r>
          </w:p>
        </w:tc>
        <w:tc>
          <w:tcPr>
            <w:tcW w:w="597" w:type="pct"/>
            <w:shd w:val="clear" w:color="auto" w:fill="auto"/>
            <w:noWrap/>
            <w:vAlign w:val="bottom"/>
            <w:hideMark/>
          </w:tcPr>
          <w:p w14:paraId="04CD4FA8" w14:textId="77777777" w:rsidR="00FD0986" w:rsidRPr="00B17EE5" w:rsidRDefault="00FD0986" w:rsidP="007516B2">
            <w:pPr>
              <w:jc w:val="right"/>
              <w:rPr>
                <w:rFonts w:eastAsia="Times New Roman" w:cs="Times New Roman"/>
                <w:b/>
                <w:color w:val="000000"/>
                <w:sz w:val="20"/>
                <w:szCs w:val="20"/>
              </w:rPr>
            </w:pPr>
            <w:r w:rsidRPr="00B17EE5">
              <w:rPr>
                <w:rFonts w:eastAsia="Times New Roman" w:cs="Times New Roman"/>
                <w:b/>
                <w:color w:val="000000"/>
                <w:sz w:val="20"/>
                <w:szCs w:val="20"/>
              </w:rPr>
              <w:t>780,99</w:t>
            </w:r>
          </w:p>
        </w:tc>
        <w:tc>
          <w:tcPr>
            <w:tcW w:w="587" w:type="pct"/>
            <w:shd w:val="clear" w:color="auto" w:fill="auto"/>
            <w:noWrap/>
            <w:vAlign w:val="bottom"/>
            <w:hideMark/>
          </w:tcPr>
          <w:p w14:paraId="537591C8" w14:textId="77777777" w:rsidR="00FD0986" w:rsidRPr="00B17EE5" w:rsidRDefault="00FD0986" w:rsidP="007516B2">
            <w:pPr>
              <w:jc w:val="right"/>
              <w:rPr>
                <w:rFonts w:eastAsia="Times New Roman" w:cs="Times New Roman"/>
                <w:b/>
                <w:color w:val="000000"/>
                <w:sz w:val="20"/>
                <w:szCs w:val="20"/>
              </w:rPr>
            </w:pPr>
            <w:r w:rsidRPr="00B17EE5">
              <w:rPr>
                <w:rFonts w:eastAsia="Times New Roman" w:cs="Times New Roman"/>
                <w:b/>
                <w:color w:val="000000"/>
                <w:sz w:val="20"/>
                <w:szCs w:val="20"/>
              </w:rPr>
              <w:t>599,69</w:t>
            </w:r>
          </w:p>
        </w:tc>
      </w:tr>
      <w:tr w:rsidR="00FD0986" w:rsidRPr="00B848F9" w14:paraId="6F732C37" w14:textId="77777777" w:rsidTr="00766DF2">
        <w:trPr>
          <w:trHeight w:val="20"/>
        </w:trPr>
        <w:tc>
          <w:tcPr>
            <w:tcW w:w="1395" w:type="pct"/>
            <w:shd w:val="clear" w:color="auto" w:fill="auto"/>
            <w:noWrap/>
            <w:vAlign w:val="bottom"/>
            <w:hideMark/>
          </w:tcPr>
          <w:p w14:paraId="5AB6D475" w14:textId="77777777" w:rsidR="00FD0986" w:rsidRPr="00B848F9" w:rsidRDefault="00FD0986" w:rsidP="007516B2">
            <w:pPr>
              <w:rPr>
                <w:rFonts w:eastAsia="Times New Roman" w:cs="Times New Roman"/>
                <w:color w:val="000000"/>
                <w:sz w:val="20"/>
                <w:szCs w:val="20"/>
              </w:rPr>
            </w:pPr>
            <w:r w:rsidRPr="00B848F9">
              <w:rPr>
                <w:rFonts w:eastAsia="Times New Roman" w:cs="Times New Roman"/>
                <w:color w:val="000000"/>
                <w:sz w:val="20"/>
                <w:szCs w:val="20"/>
              </w:rPr>
              <w:t xml:space="preserve"> - medziročná zmena</w:t>
            </w:r>
          </w:p>
        </w:tc>
        <w:tc>
          <w:tcPr>
            <w:tcW w:w="618" w:type="pct"/>
            <w:shd w:val="clear" w:color="auto" w:fill="auto"/>
            <w:noWrap/>
            <w:vAlign w:val="bottom"/>
            <w:hideMark/>
          </w:tcPr>
          <w:p w14:paraId="3301787A"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93,49</w:t>
            </w:r>
          </w:p>
        </w:tc>
        <w:tc>
          <w:tcPr>
            <w:tcW w:w="587" w:type="pct"/>
            <w:shd w:val="clear" w:color="auto" w:fill="auto"/>
            <w:noWrap/>
            <w:vAlign w:val="bottom"/>
            <w:hideMark/>
          </w:tcPr>
          <w:p w14:paraId="5A77B058"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119,34</w:t>
            </w:r>
          </w:p>
        </w:tc>
        <w:tc>
          <w:tcPr>
            <w:tcW w:w="618" w:type="pct"/>
            <w:shd w:val="clear" w:color="auto" w:fill="auto"/>
            <w:noWrap/>
            <w:vAlign w:val="bottom"/>
            <w:hideMark/>
          </w:tcPr>
          <w:p w14:paraId="3CB4F982"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97,37</w:t>
            </w:r>
          </w:p>
        </w:tc>
        <w:tc>
          <w:tcPr>
            <w:tcW w:w="597" w:type="pct"/>
            <w:shd w:val="clear" w:color="auto" w:fill="auto"/>
            <w:noWrap/>
            <w:vAlign w:val="bottom"/>
            <w:hideMark/>
          </w:tcPr>
          <w:p w14:paraId="05D4CC64"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143,89</w:t>
            </w:r>
          </w:p>
        </w:tc>
        <w:tc>
          <w:tcPr>
            <w:tcW w:w="597" w:type="pct"/>
            <w:shd w:val="clear" w:color="auto" w:fill="auto"/>
            <w:noWrap/>
            <w:vAlign w:val="bottom"/>
            <w:hideMark/>
          </w:tcPr>
          <w:p w14:paraId="4FB1DBD6"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-10,14</w:t>
            </w:r>
          </w:p>
        </w:tc>
        <w:tc>
          <w:tcPr>
            <w:tcW w:w="587" w:type="pct"/>
            <w:shd w:val="clear" w:color="auto" w:fill="auto"/>
            <w:noWrap/>
            <w:vAlign w:val="bottom"/>
            <w:hideMark/>
          </w:tcPr>
          <w:p w14:paraId="754B93D4"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-181,30</w:t>
            </w:r>
          </w:p>
        </w:tc>
      </w:tr>
      <w:tr w:rsidR="00FD0986" w:rsidRPr="00B848F9" w14:paraId="30F8FF67" w14:textId="77777777" w:rsidTr="00766DF2">
        <w:trPr>
          <w:trHeight w:val="20"/>
        </w:trPr>
        <w:tc>
          <w:tcPr>
            <w:tcW w:w="1395" w:type="pct"/>
            <w:shd w:val="clear" w:color="auto" w:fill="auto"/>
            <w:noWrap/>
            <w:vAlign w:val="bottom"/>
            <w:hideMark/>
          </w:tcPr>
          <w:p w14:paraId="30743218" w14:textId="77777777" w:rsidR="00FD0986" w:rsidRPr="00B848F9" w:rsidRDefault="00FD0986" w:rsidP="007516B2">
            <w:pPr>
              <w:rPr>
                <w:rFonts w:eastAsia="Times New Roman" w:cs="Times New Roman"/>
                <w:color w:val="000000"/>
                <w:sz w:val="20"/>
                <w:szCs w:val="20"/>
              </w:rPr>
            </w:pPr>
            <w:r w:rsidRPr="00B848F9">
              <w:rPr>
                <w:rFonts w:eastAsia="Times New Roman" w:cs="Times New Roman"/>
                <w:color w:val="000000"/>
                <w:sz w:val="20"/>
                <w:szCs w:val="20"/>
              </w:rPr>
              <w:t>z toho: PO v pôsobnosti MZ SR*</w:t>
            </w:r>
          </w:p>
        </w:tc>
        <w:tc>
          <w:tcPr>
            <w:tcW w:w="618" w:type="pct"/>
            <w:shd w:val="clear" w:color="auto" w:fill="auto"/>
            <w:noWrap/>
            <w:vAlign w:val="bottom"/>
            <w:hideMark/>
          </w:tcPr>
          <w:p w14:paraId="74B27CC9"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334,18</w:t>
            </w:r>
          </w:p>
        </w:tc>
        <w:tc>
          <w:tcPr>
            <w:tcW w:w="587" w:type="pct"/>
            <w:shd w:val="clear" w:color="auto" w:fill="auto"/>
            <w:noWrap/>
            <w:vAlign w:val="bottom"/>
            <w:hideMark/>
          </w:tcPr>
          <w:p w14:paraId="7E6A2274"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442,41</w:t>
            </w:r>
          </w:p>
        </w:tc>
        <w:tc>
          <w:tcPr>
            <w:tcW w:w="618" w:type="pct"/>
            <w:shd w:val="clear" w:color="auto" w:fill="auto"/>
            <w:noWrap/>
            <w:vAlign w:val="bottom"/>
            <w:hideMark/>
          </w:tcPr>
          <w:p w14:paraId="48B8AAA9"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547,16</w:t>
            </w:r>
          </w:p>
        </w:tc>
        <w:tc>
          <w:tcPr>
            <w:tcW w:w="597" w:type="pct"/>
            <w:shd w:val="clear" w:color="auto" w:fill="auto"/>
            <w:noWrap/>
            <w:vAlign w:val="bottom"/>
            <w:hideMark/>
          </w:tcPr>
          <w:p w14:paraId="6F77EC3C"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679,24</w:t>
            </w:r>
          </w:p>
        </w:tc>
        <w:tc>
          <w:tcPr>
            <w:tcW w:w="597" w:type="pct"/>
            <w:shd w:val="clear" w:color="auto" w:fill="auto"/>
            <w:noWrap/>
            <w:vAlign w:val="bottom"/>
            <w:hideMark/>
          </w:tcPr>
          <w:p w14:paraId="66AEA7A4"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667,06</w:t>
            </w:r>
          </w:p>
        </w:tc>
        <w:tc>
          <w:tcPr>
            <w:tcW w:w="587" w:type="pct"/>
            <w:shd w:val="clear" w:color="auto" w:fill="auto"/>
            <w:noWrap/>
            <w:vAlign w:val="bottom"/>
            <w:hideMark/>
          </w:tcPr>
          <w:p w14:paraId="55622381"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541,80</w:t>
            </w:r>
          </w:p>
        </w:tc>
      </w:tr>
      <w:tr w:rsidR="00FD0986" w:rsidRPr="00B848F9" w14:paraId="0F079FB1" w14:textId="77777777" w:rsidTr="00766DF2">
        <w:trPr>
          <w:trHeight w:val="20"/>
        </w:trPr>
        <w:tc>
          <w:tcPr>
            <w:tcW w:w="1395" w:type="pct"/>
            <w:shd w:val="clear" w:color="auto" w:fill="auto"/>
            <w:noWrap/>
            <w:vAlign w:val="bottom"/>
            <w:hideMark/>
          </w:tcPr>
          <w:p w14:paraId="5B6AEFB4" w14:textId="77777777" w:rsidR="00FD0986" w:rsidRPr="00B848F9" w:rsidRDefault="00FD0986" w:rsidP="007516B2">
            <w:pPr>
              <w:rPr>
                <w:rFonts w:eastAsia="Times New Roman" w:cs="Times New Roman"/>
                <w:color w:val="000000"/>
                <w:sz w:val="20"/>
                <w:szCs w:val="20"/>
              </w:rPr>
            </w:pPr>
            <w:r w:rsidRPr="00B848F9">
              <w:rPr>
                <w:rFonts w:eastAsia="Times New Roman" w:cs="Times New Roman"/>
                <w:color w:val="000000"/>
                <w:sz w:val="20"/>
                <w:szCs w:val="20"/>
              </w:rPr>
              <w:t xml:space="preserve"> - medziročná zmena</w:t>
            </w:r>
          </w:p>
        </w:tc>
        <w:tc>
          <w:tcPr>
            <w:tcW w:w="618" w:type="pct"/>
            <w:shd w:val="clear" w:color="auto" w:fill="auto"/>
            <w:noWrap/>
            <w:vAlign w:val="bottom"/>
            <w:hideMark/>
          </w:tcPr>
          <w:p w14:paraId="307AABB3"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87,37</w:t>
            </w:r>
          </w:p>
        </w:tc>
        <w:tc>
          <w:tcPr>
            <w:tcW w:w="587" w:type="pct"/>
            <w:shd w:val="clear" w:color="auto" w:fill="auto"/>
            <w:noWrap/>
            <w:vAlign w:val="bottom"/>
            <w:hideMark/>
          </w:tcPr>
          <w:p w14:paraId="6D19CDAA"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108,23</w:t>
            </w:r>
          </w:p>
        </w:tc>
        <w:tc>
          <w:tcPr>
            <w:tcW w:w="618" w:type="pct"/>
            <w:shd w:val="clear" w:color="auto" w:fill="auto"/>
            <w:noWrap/>
            <w:vAlign w:val="bottom"/>
            <w:hideMark/>
          </w:tcPr>
          <w:p w14:paraId="11F3D238"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104,75</w:t>
            </w:r>
          </w:p>
        </w:tc>
        <w:tc>
          <w:tcPr>
            <w:tcW w:w="597" w:type="pct"/>
            <w:shd w:val="clear" w:color="auto" w:fill="auto"/>
            <w:noWrap/>
            <w:vAlign w:val="bottom"/>
            <w:hideMark/>
          </w:tcPr>
          <w:p w14:paraId="51D471B4"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132,08</w:t>
            </w:r>
          </w:p>
        </w:tc>
        <w:tc>
          <w:tcPr>
            <w:tcW w:w="597" w:type="pct"/>
            <w:shd w:val="clear" w:color="auto" w:fill="auto"/>
            <w:noWrap/>
            <w:vAlign w:val="bottom"/>
            <w:hideMark/>
          </w:tcPr>
          <w:p w14:paraId="5E1AEB8B"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-12,18</w:t>
            </w:r>
          </w:p>
        </w:tc>
        <w:tc>
          <w:tcPr>
            <w:tcW w:w="587" w:type="pct"/>
            <w:shd w:val="clear" w:color="auto" w:fill="auto"/>
            <w:noWrap/>
            <w:vAlign w:val="bottom"/>
            <w:hideMark/>
          </w:tcPr>
          <w:p w14:paraId="49CB1594" w14:textId="77777777" w:rsidR="00FD0986" w:rsidRPr="00B848F9" w:rsidRDefault="00FD0986" w:rsidP="007516B2">
            <w:pPr>
              <w:jc w:val="right"/>
              <w:rPr>
                <w:rFonts w:eastAsia="Times New Roman" w:cs="Times New Roman"/>
                <w:color w:val="000000"/>
                <w:sz w:val="20"/>
                <w:szCs w:val="20"/>
              </w:rPr>
            </w:pPr>
            <w:r w:rsidRPr="00B848F9">
              <w:rPr>
                <w:rFonts w:eastAsia="Times New Roman" w:cs="Times New Roman"/>
                <w:color w:val="000000"/>
                <w:sz w:val="20"/>
                <w:szCs w:val="20"/>
              </w:rPr>
              <w:t>-125,26</w:t>
            </w:r>
          </w:p>
        </w:tc>
      </w:tr>
    </w:tbl>
    <w:p w14:paraId="3286035F" w14:textId="77777777" w:rsidR="00FD0986" w:rsidRPr="0039341A" w:rsidRDefault="00FD0986" w:rsidP="00FD0986">
      <w:pPr>
        <w:pStyle w:val="Zkladntext"/>
        <w:jc w:val="both"/>
        <w:rPr>
          <w:i/>
          <w:sz w:val="18"/>
        </w:rPr>
      </w:pPr>
      <w:r w:rsidRPr="0039341A">
        <w:rPr>
          <w:i/>
          <w:sz w:val="18"/>
        </w:rPr>
        <w:t>Zdroj: MZ SR, * Príspevkové organizácie v pôsobnosti MZ SR (vrátane univerzitných a fakultných nemocníc), ** Záväzky po lehote splatnosti</w:t>
      </w:r>
    </w:p>
    <w:p w14:paraId="15A195EB" w14:textId="447E0F8F" w:rsidR="00DA23A2" w:rsidRDefault="00DA23A2" w:rsidP="00DA23A2">
      <w:pPr>
        <w:pStyle w:val="Zkladntext"/>
        <w:jc w:val="both"/>
        <w:rPr>
          <w:szCs w:val="22"/>
        </w:rPr>
      </w:pPr>
      <w:r w:rsidRPr="00DA23A2">
        <w:rPr>
          <w:szCs w:val="22"/>
        </w:rPr>
        <w:t xml:space="preserve">V pôsobnosti MZ SR je ťažiskových 13 najväčších univerzitných a fakultných nemocníc, u ktorých záväzky po lehote splatnosti </w:t>
      </w:r>
      <w:r>
        <w:rPr>
          <w:szCs w:val="22"/>
        </w:rPr>
        <w:t>v minulom ro</w:t>
      </w:r>
      <w:r w:rsidRPr="00DA23A2">
        <w:rPr>
          <w:szCs w:val="22"/>
        </w:rPr>
        <w:t>k</w:t>
      </w:r>
      <w:r>
        <w:rPr>
          <w:szCs w:val="22"/>
        </w:rPr>
        <w:t>u</w:t>
      </w:r>
      <w:r w:rsidRPr="00DA23A2">
        <w:rPr>
          <w:szCs w:val="22"/>
        </w:rPr>
        <w:t xml:space="preserve"> klesli medziročne o 126,5 mil. eur</w:t>
      </w:r>
      <w:r w:rsidR="00595B6E">
        <w:rPr>
          <w:szCs w:val="22"/>
        </w:rPr>
        <w:t xml:space="preserve"> (Graf 23)</w:t>
      </w:r>
      <w:r w:rsidRPr="00DA23A2">
        <w:rPr>
          <w:szCs w:val="22"/>
        </w:rPr>
        <w:t xml:space="preserve">. V rámci oddlžovania si tieto zdravotnícke zariadenia v roku 2019 zo svojho účtovníctva reálne odpísali 273,48 mil. eur (v roku 2018 </w:t>
      </w:r>
      <w:r w:rsidR="007F2A20">
        <w:rPr>
          <w:szCs w:val="22"/>
        </w:rPr>
        <w:t xml:space="preserve">to bolo </w:t>
      </w:r>
      <w:r w:rsidRPr="00DA23A2">
        <w:rPr>
          <w:szCs w:val="22"/>
        </w:rPr>
        <w:t xml:space="preserve">102,13 mil. eur). Podľa </w:t>
      </w:r>
      <w:r w:rsidRPr="0017477A">
        <w:rPr>
          <w:i/>
          <w:szCs w:val="22"/>
        </w:rPr>
        <w:t>Informácie o vývoji dlhu v rezorte zdravotníctva za rok 2019</w:t>
      </w:r>
      <w:r w:rsidR="00934BC8">
        <w:rPr>
          <w:i/>
          <w:szCs w:val="22"/>
        </w:rPr>
        <w:t xml:space="preserve"> </w:t>
      </w:r>
      <w:r w:rsidR="00934BC8">
        <w:rPr>
          <w:rFonts w:eastAsia="Calibri"/>
        </w:rPr>
        <w:t>–</w:t>
      </w:r>
      <w:r w:rsidRPr="0017477A">
        <w:rPr>
          <w:szCs w:val="22"/>
        </w:rPr>
        <w:t xml:space="preserve"> </w:t>
      </w:r>
      <w:r w:rsidRPr="00DA23A2">
        <w:rPr>
          <w:szCs w:val="22"/>
        </w:rPr>
        <w:t>ak by sa do výsledkov nezohľadnila jednorazová transakcia súvisiaca s</w:t>
      </w:r>
      <w:r w:rsidR="007F2A20">
        <w:rPr>
          <w:szCs w:val="22"/>
        </w:rPr>
        <w:t> </w:t>
      </w:r>
      <w:r w:rsidRPr="00DA23A2">
        <w:rPr>
          <w:szCs w:val="22"/>
        </w:rPr>
        <w:t>oddlžovaním</w:t>
      </w:r>
      <w:r w:rsidR="007F2A20">
        <w:rPr>
          <w:szCs w:val="22"/>
        </w:rPr>
        <w:t>,</w:t>
      </w:r>
      <w:r w:rsidRPr="00DA23A2">
        <w:rPr>
          <w:szCs w:val="22"/>
        </w:rPr>
        <w:t xml:space="preserve"> priemerné mesačné tempo rastu záväzkov po lehote splatnosti by sa zvýšilo z 9,34 mil. eur v roku 2018</w:t>
      </w:r>
      <w:r w:rsidR="00CD2D36">
        <w:rPr>
          <w:szCs w:val="22"/>
        </w:rPr>
        <w:t xml:space="preserve"> na 12,24 mil. eur v roku 2019.</w:t>
      </w:r>
    </w:p>
    <w:tbl>
      <w:tblPr>
        <w:tblStyle w:val="Mriekatabuky"/>
        <w:tblW w:w="5000" w:type="pct"/>
        <w:tblBorders>
          <w:left w:val="none" w:sz="0" w:space="0" w:color="auto"/>
          <w:right w:val="none" w:sz="0" w:space="0" w:color="auto"/>
        </w:tblBorders>
        <w:tblLook w:val="04A0" w:firstRow="1" w:lastRow="0" w:firstColumn="1" w:lastColumn="0" w:noHBand="0" w:noVBand="1"/>
      </w:tblPr>
      <w:tblGrid>
        <w:gridCol w:w="9356"/>
      </w:tblGrid>
      <w:tr w:rsidR="00595B6E" w:rsidRPr="00B95FE3" w14:paraId="71A4305F" w14:textId="77777777" w:rsidTr="006E4416">
        <w:trPr>
          <w:trHeight w:hRule="exact" w:val="283"/>
        </w:trPr>
        <w:tc>
          <w:tcPr>
            <w:tcW w:w="5000" w:type="pct"/>
            <w:shd w:val="clear" w:color="auto" w:fill="0070C0"/>
          </w:tcPr>
          <w:p w14:paraId="0EF1E9D4" w14:textId="5B01CCA8" w:rsidR="00595B6E" w:rsidRPr="00B95FE3" w:rsidRDefault="00595B6E" w:rsidP="006E4416">
            <w:pPr>
              <w:pStyle w:val="Zkladntext"/>
              <w:jc w:val="both"/>
              <w:rPr>
                <w:b/>
                <w:color w:val="FFFFFF" w:themeColor="background1"/>
                <w:szCs w:val="22"/>
              </w:rPr>
            </w:pPr>
            <w:r>
              <w:rPr>
                <w:b/>
                <w:color w:val="FFFFFF" w:themeColor="background1"/>
                <w:szCs w:val="22"/>
              </w:rPr>
              <w:t xml:space="preserve">Graf 23: </w:t>
            </w:r>
            <w:r w:rsidRPr="00B95FE3">
              <w:rPr>
                <w:b/>
                <w:color w:val="FFFFFF" w:themeColor="background1"/>
                <w:szCs w:val="22"/>
              </w:rPr>
              <w:t>Vývoj záväzkov univerzitných a fakultných nemocníc</w:t>
            </w:r>
            <w:r w:rsidR="003052AD">
              <w:rPr>
                <w:b/>
                <w:color w:val="FFFFFF" w:themeColor="background1"/>
                <w:szCs w:val="22"/>
              </w:rPr>
              <w:t xml:space="preserve"> v rokoch 2013 až 2019</w:t>
            </w:r>
          </w:p>
        </w:tc>
      </w:tr>
      <w:tr w:rsidR="00595B6E" w14:paraId="3DC7F767" w14:textId="77777777" w:rsidTr="006E4416">
        <w:trPr>
          <w:trHeight w:val="2268"/>
        </w:trPr>
        <w:tc>
          <w:tcPr>
            <w:tcW w:w="5000" w:type="pct"/>
          </w:tcPr>
          <w:p w14:paraId="42E09BDB" w14:textId="37E29DFF" w:rsidR="00595B6E" w:rsidRDefault="003052AD" w:rsidP="006E4416">
            <w:pPr>
              <w:pStyle w:val="Zkladntext"/>
              <w:jc w:val="both"/>
              <w:rPr>
                <w:szCs w:val="22"/>
              </w:rPr>
            </w:pPr>
            <w:r>
              <w:rPr>
                <w:noProof/>
              </w:rPr>
              <w:drawing>
                <wp:inline distT="0" distB="0" distL="0" distR="0" wp14:anchorId="0BD41116" wp14:editId="34F71CE2">
                  <wp:extent cx="5875020" cy="1991995"/>
                  <wp:effectExtent l="0" t="0" r="0" b="825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14:paraId="3B6AF1E6" w14:textId="77777777" w:rsidR="00595B6E" w:rsidRDefault="00595B6E" w:rsidP="00595B6E">
      <w:pPr>
        <w:pStyle w:val="Zkladntext"/>
        <w:jc w:val="both"/>
        <w:rPr>
          <w:i/>
          <w:sz w:val="18"/>
        </w:rPr>
      </w:pPr>
      <w:r w:rsidRPr="0039341A">
        <w:rPr>
          <w:i/>
          <w:sz w:val="18"/>
        </w:rPr>
        <w:t>Zdroj: MZ SR</w:t>
      </w:r>
    </w:p>
    <w:p w14:paraId="0CDFB88C" w14:textId="5A9D8632" w:rsidR="00CD2D36" w:rsidRPr="007F2A20" w:rsidRDefault="00CD2D36" w:rsidP="00CD2D36">
      <w:pPr>
        <w:pStyle w:val="Zkladntext"/>
        <w:jc w:val="both"/>
        <w:rPr>
          <w:szCs w:val="22"/>
        </w:rPr>
      </w:pPr>
      <w:r w:rsidRPr="007F2A20">
        <w:rPr>
          <w:szCs w:val="22"/>
        </w:rPr>
        <w:t>Z pohľadu štruktúry záväzkov po lehote splatnosti</w:t>
      </w:r>
      <w:r w:rsidR="00934BC8">
        <w:rPr>
          <w:szCs w:val="22"/>
        </w:rPr>
        <w:t>,</w:t>
      </w:r>
      <w:r w:rsidRPr="007F2A20">
        <w:rPr>
          <w:szCs w:val="22"/>
        </w:rPr>
        <w:t xml:space="preserve"> dominantné podiely na celkovom dlhu zdravotníckych zariadení v pôsobnosti MZ SR </w:t>
      </w:r>
      <w:r>
        <w:rPr>
          <w:szCs w:val="22"/>
        </w:rPr>
        <w:t>p</w:t>
      </w:r>
      <w:r w:rsidRPr="007F2A20">
        <w:rPr>
          <w:szCs w:val="22"/>
        </w:rPr>
        <w:t xml:space="preserve">redstavovali </w:t>
      </w:r>
      <w:r>
        <w:rPr>
          <w:szCs w:val="22"/>
        </w:rPr>
        <w:t xml:space="preserve">v roku 2019 </w:t>
      </w:r>
      <w:r w:rsidRPr="007F2A20">
        <w:rPr>
          <w:szCs w:val="22"/>
        </w:rPr>
        <w:t xml:space="preserve">záväzky voči verejných financiám (Sociálnej poisťovni, daňovým </w:t>
      </w:r>
      <w:r w:rsidRPr="007F2A20">
        <w:rPr>
          <w:szCs w:val="22"/>
        </w:rPr>
        <w:lastRenderedPageBreak/>
        <w:t xml:space="preserve">úradom a zdravotným poisťovniam) </w:t>
      </w:r>
      <w:r w:rsidR="00934BC8">
        <w:rPr>
          <w:rFonts w:eastAsia="Calibri"/>
        </w:rPr>
        <w:t>–</w:t>
      </w:r>
      <w:r>
        <w:rPr>
          <w:szCs w:val="22"/>
        </w:rPr>
        <w:t xml:space="preserve"> </w:t>
      </w:r>
      <w:r w:rsidRPr="007F2A20">
        <w:rPr>
          <w:szCs w:val="22"/>
        </w:rPr>
        <w:t>39,3 %, iné záväzky 23,6 % a záväzky voči dodávateľom liekov a zdravotníckeho materiálu 23,1 %.</w:t>
      </w:r>
    </w:p>
    <w:p w14:paraId="1BD4C057" w14:textId="7C20AB00" w:rsidR="00CD2D36" w:rsidRPr="007F2A20" w:rsidRDefault="00CD2D36" w:rsidP="00CD2D36">
      <w:pPr>
        <w:pStyle w:val="Zkladntext"/>
        <w:jc w:val="both"/>
        <w:rPr>
          <w:szCs w:val="22"/>
        </w:rPr>
      </w:pPr>
      <w:r w:rsidRPr="00F074E3">
        <w:rPr>
          <w:szCs w:val="22"/>
        </w:rPr>
        <w:t>Za hlavné dôvody pokračujúceho rastu zadlženosti zdravotníckych zariadení možn</w:t>
      </w:r>
      <w:r w:rsidR="005B001E">
        <w:rPr>
          <w:szCs w:val="22"/>
        </w:rPr>
        <w:t>o</w:t>
      </w:r>
      <w:r w:rsidRPr="00F074E3">
        <w:rPr>
          <w:szCs w:val="22"/>
        </w:rPr>
        <w:t xml:space="preserve"> považovať generovanie prevádzkových strát v nemocniciach.</w:t>
      </w:r>
      <w:r w:rsidRPr="00F074E3">
        <w:rPr>
          <w:b/>
          <w:szCs w:val="22"/>
        </w:rPr>
        <w:t xml:space="preserve"> </w:t>
      </w:r>
      <w:r w:rsidRPr="007F2A20">
        <w:rPr>
          <w:szCs w:val="22"/>
        </w:rPr>
        <w:t>V štruktúre prevádzkových nákladov najvyšší podiel predstav</w:t>
      </w:r>
      <w:r>
        <w:rPr>
          <w:szCs w:val="22"/>
        </w:rPr>
        <w:t>ujú</w:t>
      </w:r>
      <w:r w:rsidRPr="007F2A20">
        <w:rPr>
          <w:szCs w:val="22"/>
        </w:rPr>
        <w:t xml:space="preserve"> osobné náklady, ktor</w:t>
      </w:r>
      <w:r>
        <w:rPr>
          <w:szCs w:val="22"/>
        </w:rPr>
        <w:t>ých podiel vzrástol</w:t>
      </w:r>
      <w:r w:rsidRPr="007F2A20">
        <w:rPr>
          <w:szCs w:val="22"/>
        </w:rPr>
        <w:t xml:space="preserve"> zo 68,2 % v roku 2014 na 72,5 % v roku 2019. </w:t>
      </w:r>
      <w:r w:rsidRPr="00F074E3">
        <w:rPr>
          <w:b/>
          <w:szCs w:val="22"/>
        </w:rPr>
        <w:t>NKÚ SR opakovane upozorňuje, že medziročný rast výnosov od zdravotných poisťovní nepo</w:t>
      </w:r>
      <w:r>
        <w:rPr>
          <w:b/>
          <w:szCs w:val="22"/>
        </w:rPr>
        <w:t>krýva</w:t>
      </w:r>
      <w:r w:rsidRPr="00F074E3">
        <w:rPr>
          <w:b/>
          <w:szCs w:val="22"/>
        </w:rPr>
        <w:t xml:space="preserve"> rast prevádzkových nákladov nemocníc.</w:t>
      </w:r>
      <w:r w:rsidRPr="007F2A20">
        <w:rPr>
          <w:szCs w:val="22"/>
        </w:rPr>
        <w:t xml:space="preserve"> </w:t>
      </w:r>
    </w:p>
    <w:p w14:paraId="4FC704AF" w14:textId="05321B37" w:rsidR="00AC4666" w:rsidRDefault="001E39B6" w:rsidP="007534CE">
      <w:pPr>
        <w:pStyle w:val="Nadpis3"/>
        <w:numPr>
          <w:ilvl w:val="2"/>
          <w:numId w:val="23"/>
        </w:numPr>
      </w:pPr>
      <w:bookmarkStart w:id="53" w:name="_Toc43218082"/>
      <w:r w:rsidRPr="001E39B6">
        <w:t>Lieková politika</w:t>
      </w:r>
      <w:bookmarkEnd w:id="53"/>
    </w:p>
    <w:p w14:paraId="6130EC47" w14:textId="2189C7EA" w:rsidR="00F8063F" w:rsidRDefault="00EF6E3A" w:rsidP="007C3EDF">
      <w:pPr>
        <w:spacing w:before="120" w:after="120"/>
        <w:jc w:val="both"/>
      </w:pPr>
      <w:r w:rsidRPr="00C720FD">
        <w:rPr>
          <w:rFonts w:cs="ArialMT"/>
        </w:rPr>
        <w:t>Výška nákladov na lieky z</w:t>
      </w:r>
      <w:r w:rsidR="005B001E">
        <w:rPr>
          <w:rFonts w:cs="ArialMT"/>
        </w:rPr>
        <w:t>o</w:t>
      </w:r>
      <w:r w:rsidRPr="00C720FD">
        <w:rPr>
          <w:rFonts w:cs="ArialMT"/>
        </w:rPr>
        <w:t> </w:t>
      </w:r>
      <w:r>
        <w:rPr>
          <w:rFonts w:cs="ArialMT"/>
        </w:rPr>
        <w:t>VZP</w:t>
      </w:r>
      <w:r w:rsidRPr="00C720FD">
        <w:rPr>
          <w:rFonts w:cs="ArialMT"/>
        </w:rPr>
        <w:t xml:space="preserve"> medziročne </w:t>
      </w:r>
      <w:r>
        <w:rPr>
          <w:rFonts w:cs="ArialMT"/>
        </w:rPr>
        <w:t>vz</w:t>
      </w:r>
      <w:r w:rsidRPr="00C720FD">
        <w:rPr>
          <w:rFonts w:cs="ArialMT"/>
        </w:rPr>
        <w:t>rástla</w:t>
      </w:r>
      <w:r>
        <w:rPr>
          <w:rFonts w:cs="ArialMT"/>
        </w:rPr>
        <w:t xml:space="preserve"> o</w:t>
      </w:r>
      <w:r w:rsidR="00A2381F">
        <w:rPr>
          <w:rFonts w:cs="ArialMT"/>
        </w:rPr>
        <w:t> </w:t>
      </w:r>
      <w:r>
        <w:rPr>
          <w:rFonts w:cs="ArialMT"/>
        </w:rPr>
        <w:t>5</w:t>
      </w:r>
      <w:r w:rsidR="00A2381F">
        <w:rPr>
          <w:rFonts w:cs="ArialMT"/>
        </w:rPr>
        <w:t xml:space="preserve"> </w:t>
      </w:r>
      <w:r>
        <w:rPr>
          <w:rFonts w:cs="ArialMT"/>
        </w:rPr>
        <w:t xml:space="preserve">%, keď </w:t>
      </w:r>
      <w:r w:rsidRPr="00C720FD">
        <w:rPr>
          <w:rFonts w:cs="ArialMT"/>
        </w:rPr>
        <w:t>v roku 2019 dosiahla úroveň</w:t>
      </w:r>
      <w:r>
        <w:rPr>
          <w:rFonts w:cs="ArialMT"/>
        </w:rPr>
        <w:t xml:space="preserve"> cca</w:t>
      </w:r>
      <w:r w:rsidRPr="00C720FD">
        <w:rPr>
          <w:rFonts w:cs="ArialMT"/>
        </w:rPr>
        <w:t xml:space="preserve"> </w:t>
      </w:r>
      <w:r w:rsidRPr="00C720FD">
        <w:rPr>
          <w:color w:val="000000" w:themeColor="text1"/>
        </w:rPr>
        <w:t>1</w:t>
      </w:r>
      <w:r>
        <w:rPr>
          <w:color w:val="000000" w:themeColor="text1"/>
        </w:rPr>
        <w:t>,4 mld.</w:t>
      </w:r>
      <w:r w:rsidRPr="00C720FD">
        <w:rPr>
          <w:color w:val="000000" w:themeColor="text1"/>
        </w:rPr>
        <w:t xml:space="preserve"> eur. Najnákladnejšiu časť tvorila skupina</w:t>
      </w:r>
      <w:r w:rsidRPr="00C720FD">
        <w:rPr>
          <w:rFonts w:cs="ArialMT"/>
        </w:rPr>
        <w:t xml:space="preserve"> Cytost</w:t>
      </w:r>
      <w:r>
        <w:rPr>
          <w:rFonts w:cs="ArialMT"/>
        </w:rPr>
        <w:t>atík a imunomodulátorov</w:t>
      </w:r>
      <w:r w:rsidR="00796375">
        <w:rPr>
          <w:rStyle w:val="Odkaznapoznmkupodiarou"/>
          <w:rFonts w:cs="ArialMT"/>
        </w:rPr>
        <w:footnoteReference w:id="16"/>
      </w:r>
      <w:r>
        <w:rPr>
          <w:rFonts w:cs="ArialMT"/>
        </w:rPr>
        <w:t>, ktorej</w:t>
      </w:r>
      <w:r w:rsidRPr="00C720FD">
        <w:rPr>
          <w:rFonts w:cs="ArialMT"/>
        </w:rPr>
        <w:t xml:space="preserve"> výška výdavkov pre systém</w:t>
      </w:r>
      <w:r>
        <w:rPr>
          <w:rFonts w:cs="ArialMT"/>
        </w:rPr>
        <w:t xml:space="preserve"> VZP tvorila takmer 30 % z celkových nákladov na lieky.</w:t>
      </w:r>
      <w:r w:rsidRPr="008136D3">
        <w:t xml:space="preserve"> Významnú časť</w:t>
      </w:r>
      <w:r w:rsidRPr="008136D3">
        <w:rPr>
          <w:rFonts w:cs="ArialMT"/>
        </w:rPr>
        <w:t xml:space="preserve"> nákladov na lieky z</w:t>
      </w:r>
      <w:r w:rsidR="005B001E">
        <w:rPr>
          <w:rFonts w:cs="ArialMT"/>
        </w:rPr>
        <w:t>o</w:t>
      </w:r>
      <w:r>
        <w:rPr>
          <w:rFonts w:cs="ArialMT"/>
        </w:rPr>
        <w:t> VZP</w:t>
      </w:r>
      <w:r w:rsidRPr="008136D3">
        <w:rPr>
          <w:rFonts w:cs="ArialMT"/>
        </w:rPr>
        <w:t xml:space="preserve"> </w:t>
      </w:r>
      <w:r w:rsidR="00E04A1F">
        <w:rPr>
          <w:rFonts w:cs="ArialMT"/>
        </w:rPr>
        <w:t>predstavovali</w:t>
      </w:r>
      <w:r>
        <w:rPr>
          <w:rFonts w:cs="ArialMT"/>
        </w:rPr>
        <w:t xml:space="preserve"> aj</w:t>
      </w:r>
      <w:r w:rsidRPr="008136D3">
        <w:rPr>
          <w:rFonts w:cs="ArialMT"/>
        </w:rPr>
        <w:t xml:space="preserve"> antibiotiká</w:t>
      </w:r>
      <w:r w:rsidR="007C3EDF">
        <w:rPr>
          <w:rFonts w:cs="ArialMT"/>
        </w:rPr>
        <w:t>;</w:t>
      </w:r>
      <w:r w:rsidRPr="008136D3">
        <w:rPr>
          <w:rFonts w:cs="ArialMT"/>
        </w:rPr>
        <w:t xml:space="preserve"> výška výdavkov </w:t>
      </w:r>
      <w:r>
        <w:rPr>
          <w:rFonts w:cs="ArialMT"/>
        </w:rPr>
        <w:t>na klasifikačnú skupinu,</w:t>
      </w:r>
      <w:r>
        <w:t xml:space="preserve"> do ktorej antibiotika patria, tvorila 8 %.</w:t>
      </w:r>
      <w:r>
        <w:rPr>
          <w:rFonts w:cs="ArialMT"/>
        </w:rPr>
        <w:t xml:space="preserve"> </w:t>
      </w:r>
      <w:r w:rsidR="004056B4">
        <w:rPr>
          <w:rFonts w:cs="ArialMT"/>
        </w:rPr>
        <w:t xml:space="preserve">Kontrola NKÚ SR potvrdila, že </w:t>
      </w:r>
      <w:r>
        <w:rPr>
          <w:rFonts w:cs="ArialMT"/>
        </w:rPr>
        <w:t xml:space="preserve">MZ SR  </w:t>
      </w:r>
      <w:r w:rsidR="009F5868">
        <w:rPr>
          <w:rFonts w:cs="ArialMT"/>
        </w:rPr>
        <w:t>v roku 2019 ne</w:t>
      </w:r>
      <w:r w:rsidR="00E04A1F">
        <w:rPr>
          <w:rFonts w:cs="ArialMT"/>
        </w:rPr>
        <w:t>realizovalo</w:t>
      </w:r>
      <w:r w:rsidR="009F5868">
        <w:rPr>
          <w:rFonts w:cs="ArialMT"/>
        </w:rPr>
        <w:t xml:space="preserve"> </w:t>
      </w:r>
      <w:r>
        <w:rPr>
          <w:rFonts w:cs="ArialMT"/>
        </w:rPr>
        <w:t>žiadn</w:t>
      </w:r>
      <w:r w:rsidR="00E04A1F">
        <w:rPr>
          <w:rFonts w:cs="ArialMT"/>
        </w:rPr>
        <w:t>e</w:t>
      </w:r>
      <w:r w:rsidRPr="00C720FD">
        <w:rPr>
          <w:rFonts w:cs="ArialMT"/>
        </w:rPr>
        <w:t xml:space="preserve"> opatren</w:t>
      </w:r>
      <w:r w:rsidR="00E04A1F">
        <w:rPr>
          <w:rFonts w:cs="ArialMT"/>
        </w:rPr>
        <w:t>ia</w:t>
      </w:r>
      <w:r w:rsidRPr="00C720FD">
        <w:rPr>
          <w:rFonts w:cs="ArialMT"/>
        </w:rPr>
        <w:t xml:space="preserve"> súvisiac</w:t>
      </w:r>
      <w:r w:rsidR="00E04A1F">
        <w:rPr>
          <w:rFonts w:cs="ArialMT"/>
        </w:rPr>
        <w:t>e</w:t>
      </w:r>
      <w:r w:rsidRPr="00C720FD">
        <w:rPr>
          <w:rFonts w:cs="ArialMT"/>
        </w:rPr>
        <w:t xml:space="preserve"> s nadspotrebou antibiotík.</w:t>
      </w:r>
      <w:r w:rsidR="00F8063F">
        <w:rPr>
          <w:rFonts w:cs="ArialMT"/>
        </w:rPr>
        <w:t xml:space="preserve"> Okrem tohto opatrenia</w:t>
      </w:r>
      <w:r w:rsidRPr="00C720FD">
        <w:rPr>
          <w:rFonts w:cs="ArialMT"/>
        </w:rPr>
        <w:t xml:space="preserve"> </w:t>
      </w:r>
      <w:r>
        <w:t xml:space="preserve">MZ SR </w:t>
      </w:r>
      <w:r w:rsidR="00E04A1F">
        <w:t>v minulom roku nerealizovalo</w:t>
      </w:r>
      <w:r w:rsidRPr="00C720FD">
        <w:rPr>
          <w:rFonts w:cs="ArialMT"/>
        </w:rPr>
        <w:t xml:space="preserve"> </w:t>
      </w:r>
      <w:r w:rsidR="00E04A1F">
        <w:rPr>
          <w:rFonts w:cs="ArialMT"/>
        </w:rPr>
        <w:t xml:space="preserve">ani </w:t>
      </w:r>
      <w:r w:rsidR="00F8063F">
        <w:rPr>
          <w:rFonts w:cs="ArialMT"/>
        </w:rPr>
        <w:t xml:space="preserve">ďalšie </w:t>
      </w:r>
      <w:r w:rsidRPr="00C720FD">
        <w:rPr>
          <w:rFonts w:cs="ArialMT"/>
        </w:rPr>
        <w:t>opatren</w:t>
      </w:r>
      <w:r w:rsidR="00E04A1F">
        <w:rPr>
          <w:rFonts w:cs="ArialMT"/>
        </w:rPr>
        <w:t>ia</w:t>
      </w:r>
      <w:r w:rsidRPr="00C720FD">
        <w:rPr>
          <w:rFonts w:cs="ArialMT"/>
        </w:rPr>
        <w:t xml:space="preserve"> súvisiac</w:t>
      </w:r>
      <w:r w:rsidR="00E04A1F">
        <w:rPr>
          <w:rFonts w:cs="ArialMT"/>
        </w:rPr>
        <w:t>e</w:t>
      </w:r>
      <w:r w:rsidRPr="00C720FD">
        <w:rPr>
          <w:rFonts w:cs="ArialMT"/>
        </w:rPr>
        <w:t xml:space="preserve"> s revíziou úhrad liekov, ktoré boli navrhnuté v revízii výdavkov na zdravotníctvo</w:t>
      </w:r>
      <w:r>
        <w:rPr>
          <w:rStyle w:val="Odkaznapoznmkupodiarou"/>
          <w:rFonts w:cs="ArialMT"/>
        </w:rPr>
        <w:footnoteReference w:id="17"/>
      </w:r>
      <w:r w:rsidRPr="00C720FD">
        <w:rPr>
          <w:color w:val="000000"/>
        </w:rPr>
        <w:t>.</w:t>
      </w:r>
      <w:r w:rsidRPr="00C720FD">
        <w:rPr>
          <w:rFonts w:eastAsia="Times New Roman" w:cs="Times New Roman"/>
          <w:color w:val="000000" w:themeColor="text1"/>
          <w:szCs w:val="24"/>
          <w:lang w:eastAsia="sk-SK"/>
        </w:rPr>
        <w:t xml:space="preserve"> </w:t>
      </w:r>
      <w:r>
        <w:rPr>
          <w:rFonts w:eastAsia="Times New Roman" w:cs="Times New Roman"/>
          <w:color w:val="000000" w:themeColor="text1"/>
          <w:szCs w:val="24"/>
          <w:lang w:eastAsia="sk-SK"/>
        </w:rPr>
        <w:t xml:space="preserve">V revízii bolo navrhnuté </w:t>
      </w:r>
      <w:r w:rsidR="00FC7F52">
        <w:rPr>
          <w:rFonts w:eastAsia="Times New Roman" w:cs="Times New Roman"/>
          <w:color w:val="000000" w:themeColor="text1"/>
          <w:szCs w:val="24"/>
          <w:lang w:eastAsia="sk-SK"/>
        </w:rPr>
        <w:t xml:space="preserve">aj </w:t>
      </w:r>
      <w:r>
        <w:rPr>
          <w:rFonts w:eastAsia="Times New Roman" w:cs="Times New Roman"/>
          <w:color w:val="000000" w:themeColor="text1"/>
          <w:szCs w:val="24"/>
          <w:lang w:eastAsia="sk-SK"/>
        </w:rPr>
        <w:t>opatrenie</w:t>
      </w:r>
      <w:r w:rsidR="00E04A1F">
        <w:rPr>
          <w:rFonts w:eastAsia="Times New Roman" w:cs="Times New Roman"/>
          <w:color w:val="000000" w:themeColor="text1"/>
          <w:szCs w:val="24"/>
          <w:lang w:eastAsia="sk-SK"/>
        </w:rPr>
        <w:t xml:space="preserve"> zamerané na</w:t>
      </w:r>
      <w:r>
        <w:rPr>
          <w:rFonts w:eastAsia="Times New Roman" w:cs="Times New Roman"/>
          <w:color w:val="000000" w:themeColor="text1"/>
          <w:szCs w:val="24"/>
          <w:lang w:eastAsia="sk-SK"/>
        </w:rPr>
        <w:t xml:space="preserve"> p</w:t>
      </w:r>
      <w:r w:rsidRPr="00C720FD">
        <w:rPr>
          <w:rFonts w:eastAsia="Times New Roman" w:cs="Times New Roman"/>
          <w:color w:val="000000" w:themeColor="text1"/>
          <w:szCs w:val="24"/>
          <w:lang w:eastAsia="sk-SK"/>
        </w:rPr>
        <w:t>rehodnot</w:t>
      </w:r>
      <w:r w:rsidR="00E04A1F">
        <w:rPr>
          <w:rFonts w:eastAsia="Times New Roman" w:cs="Times New Roman"/>
          <w:color w:val="000000" w:themeColor="text1"/>
          <w:szCs w:val="24"/>
          <w:lang w:eastAsia="sk-SK"/>
        </w:rPr>
        <w:t>enie</w:t>
      </w:r>
      <w:r w:rsidRPr="00C720FD">
        <w:rPr>
          <w:rFonts w:eastAsia="Times New Roman" w:cs="Times New Roman"/>
          <w:color w:val="000000" w:themeColor="text1"/>
          <w:szCs w:val="24"/>
          <w:lang w:eastAsia="sk-SK"/>
        </w:rPr>
        <w:t xml:space="preserve"> úhrady pri liekoch, ktoré nespĺňajú podmienky nákladovej efektivity (potenciál </w:t>
      </w:r>
      <w:r w:rsidR="006163F5">
        <w:rPr>
          <w:rFonts w:eastAsia="Times New Roman" w:cs="Times New Roman"/>
          <w:color w:val="000000" w:themeColor="text1"/>
          <w:szCs w:val="24"/>
          <w:lang w:eastAsia="sk-SK"/>
        </w:rPr>
        <w:t xml:space="preserve">úspor </w:t>
      </w:r>
      <w:r w:rsidRPr="00C720FD">
        <w:rPr>
          <w:rFonts w:eastAsia="Times New Roman" w:cs="Times New Roman"/>
          <w:color w:val="000000" w:themeColor="text1"/>
          <w:szCs w:val="24"/>
          <w:lang w:eastAsia="sk-SK"/>
        </w:rPr>
        <w:t>45 mil. eur)</w:t>
      </w:r>
      <w:r w:rsidR="00FC7F52">
        <w:rPr>
          <w:rFonts w:eastAsia="Times New Roman" w:cs="Times New Roman"/>
          <w:color w:val="000000" w:themeColor="text1"/>
          <w:szCs w:val="24"/>
          <w:lang w:eastAsia="sk-SK"/>
        </w:rPr>
        <w:t>, ktoré taktiež nebolo zo strany MZ SR zrealizované</w:t>
      </w:r>
      <w:r w:rsidRPr="00C720FD">
        <w:rPr>
          <w:rFonts w:eastAsia="Times New Roman" w:cs="Times New Roman"/>
          <w:color w:val="000000" w:themeColor="text1"/>
          <w:szCs w:val="24"/>
          <w:lang w:eastAsia="sk-SK"/>
        </w:rPr>
        <w:t>.</w:t>
      </w:r>
      <w:r>
        <w:rPr>
          <w:rFonts w:eastAsia="Times New Roman" w:cs="Times New Roman"/>
          <w:color w:val="000000" w:themeColor="text1"/>
          <w:szCs w:val="24"/>
          <w:lang w:eastAsia="sk-SK"/>
        </w:rPr>
        <w:t xml:space="preserve"> </w:t>
      </w:r>
      <w:r w:rsidR="00E04A1F">
        <w:rPr>
          <w:rFonts w:cs="ArialMT"/>
        </w:rPr>
        <w:t xml:space="preserve">Tieto </w:t>
      </w:r>
      <w:r>
        <w:rPr>
          <w:rFonts w:cs="ArialMT"/>
        </w:rPr>
        <w:t>skutočnos</w:t>
      </w:r>
      <w:r w:rsidR="00E04A1F">
        <w:rPr>
          <w:rFonts w:cs="ArialMT"/>
        </w:rPr>
        <w:t xml:space="preserve">ti </w:t>
      </w:r>
      <w:r w:rsidRPr="00C720FD">
        <w:rPr>
          <w:color w:val="000000"/>
        </w:rPr>
        <w:t>prispieva</w:t>
      </w:r>
      <w:r w:rsidR="00E04A1F">
        <w:rPr>
          <w:color w:val="000000"/>
        </w:rPr>
        <w:t>jú</w:t>
      </w:r>
      <w:r w:rsidRPr="00C720FD">
        <w:rPr>
          <w:color w:val="000000"/>
        </w:rPr>
        <w:t xml:space="preserve"> k neefektívnemu vynakladaniu finančných prostriedkov </w:t>
      </w:r>
      <w:r>
        <w:rPr>
          <w:color w:val="000000"/>
        </w:rPr>
        <w:t>na lieky v SR.</w:t>
      </w:r>
    </w:p>
    <w:p w14:paraId="70FA169B" w14:textId="5612CA76" w:rsidR="007C3EDF" w:rsidRPr="008136D3" w:rsidRDefault="007C3EDF" w:rsidP="007C3EDF">
      <w:pPr>
        <w:spacing w:before="120" w:after="120"/>
        <w:jc w:val="both"/>
        <w:rPr>
          <w:rFonts w:cs="ArialMT"/>
        </w:rPr>
      </w:pPr>
      <w:r w:rsidRPr="008136D3">
        <w:t>V kontexte starnutia populácie</w:t>
      </w:r>
      <w:r>
        <w:t>, zmien vo farmakoterapii, výskytu</w:t>
      </w:r>
      <w:r w:rsidRPr="008136D3">
        <w:t xml:space="preserve"> </w:t>
      </w:r>
      <w:r>
        <w:t>chronických ochorení</w:t>
      </w:r>
      <w:r w:rsidR="005B001E">
        <w:t>,</w:t>
      </w:r>
      <w:r>
        <w:t xml:space="preserve"> ako aj viacerých ďalších faktorov </w:t>
      </w:r>
      <w:r w:rsidRPr="008136D3">
        <w:t xml:space="preserve">sa očakáva, že spotreba liekov </w:t>
      </w:r>
      <w:r w:rsidR="00F1508C" w:rsidRPr="008136D3">
        <w:t>a výška nákladov na lieky z</w:t>
      </w:r>
      <w:r w:rsidR="005B001E">
        <w:t>o</w:t>
      </w:r>
      <w:r w:rsidR="00F1508C">
        <w:t xml:space="preserve"> VZP </w:t>
      </w:r>
      <w:r w:rsidRPr="008136D3">
        <w:t>bud</w:t>
      </w:r>
      <w:r w:rsidR="00F1508C">
        <w:t>ú</w:t>
      </w:r>
      <w:r w:rsidRPr="008136D3">
        <w:t xml:space="preserve"> </w:t>
      </w:r>
      <w:r w:rsidR="00F1508C">
        <w:t>na</w:t>
      </w:r>
      <w:r w:rsidRPr="008136D3">
        <w:t xml:space="preserve">ďalej </w:t>
      </w:r>
      <w:r>
        <w:t>výrazne</w:t>
      </w:r>
      <w:r w:rsidRPr="008136D3">
        <w:t xml:space="preserve"> rásť.</w:t>
      </w:r>
      <w:r>
        <w:t xml:space="preserve"> </w:t>
      </w:r>
      <w:r w:rsidRPr="008136D3">
        <w:t xml:space="preserve">Daný fakt vytvára významný tlak na </w:t>
      </w:r>
      <w:r>
        <w:t xml:space="preserve">financovanie </w:t>
      </w:r>
      <w:r w:rsidRPr="008136D3">
        <w:t>celého systému v</w:t>
      </w:r>
      <w:r>
        <w:t> </w:t>
      </w:r>
      <w:r w:rsidRPr="008136D3">
        <w:t>budúcnosti</w:t>
      </w:r>
      <w:r>
        <w:t>, pričom existuje riziko finančnej neudržateľnosti takého systému.</w:t>
      </w:r>
      <w:r w:rsidRPr="008136D3">
        <w:t xml:space="preserve"> </w:t>
      </w:r>
    </w:p>
    <w:p w14:paraId="6B1405BB" w14:textId="2323751C" w:rsidR="00EF6E3A" w:rsidRPr="00F1508C" w:rsidRDefault="004056B4" w:rsidP="00CA4572">
      <w:pPr>
        <w:spacing w:before="120" w:after="120"/>
        <w:jc w:val="both"/>
        <w:rPr>
          <w:rFonts w:cs="Times New Roman"/>
          <w:b/>
          <w:color w:val="000000" w:themeColor="text1"/>
        </w:rPr>
      </w:pPr>
      <w:r>
        <w:rPr>
          <w:color w:val="000000" w:themeColor="text1"/>
        </w:rPr>
        <w:t xml:space="preserve">Dôležitým aktérom v procese vstupovania liekov na trh v SR je kategorizačná komisia MZ SR pre lieky. </w:t>
      </w:r>
      <w:r w:rsidR="00EF6E3A" w:rsidRPr="00C720FD">
        <w:rPr>
          <w:color w:val="000000" w:themeColor="text1"/>
        </w:rPr>
        <w:t xml:space="preserve">V roku 2019 </w:t>
      </w:r>
      <w:r>
        <w:rPr>
          <w:color w:val="000000" w:themeColor="text1"/>
        </w:rPr>
        <w:t>táto komisia</w:t>
      </w:r>
      <w:r w:rsidR="00EF6E3A" w:rsidRPr="00C720FD">
        <w:rPr>
          <w:color w:val="000000" w:themeColor="text1"/>
        </w:rPr>
        <w:t xml:space="preserve"> vydala odborné odporúčanie </w:t>
      </w:r>
      <w:r w:rsidR="00555AC6">
        <w:rPr>
          <w:color w:val="000000" w:themeColor="text1"/>
        </w:rPr>
        <w:t>pre</w:t>
      </w:r>
      <w:r w:rsidR="00EF6E3A" w:rsidRPr="00C720FD">
        <w:rPr>
          <w:color w:val="000000" w:themeColor="text1"/>
        </w:rPr>
        <w:t xml:space="preserve"> 144 liekov. Z</w:t>
      </w:r>
      <w:r>
        <w:rPr>
          <w:color w:val="000000" w:themeColor="text1"/>
        </w:rPr>
        <w:t xml:space="preserve"> týchto </w:t>
      </w:r>
      <w:r w:rsidR="00EF6E3A" w:rsidRPr="00C720FD">
        <w:rPr>
          <w:color w:val="000000" w:themeColor="text1"/>
        </w:rPr>
        <w:t>liekov</w:t>
      </w:r>
      <w:r>
        <w:rPr>
          <w:color w:val="000000" w:themeColor="text1"/>
        </w:rPr>
        <w:t xml:space="preserve"> nebolo do</w:t>
      </w:r>
      <w:r w:rsidR="00EF6E3A" w:rsidRPr="00C720FD">
        <w:rPr>
          <w:color w:val="000000" w:themeColor="text1"/>
        </w:rPr>
        <w:t xml:space="preserve"> kategorizačného zoznamu liekov</w:t>
      </w:r>
      <w:r>
        <w:rPr>
          <w:color w:val="000000" w:themeColor="text1"/>
        </w:rPr>
        <w:t xml:space="preserve"> zaradených 47</w:t>
      </w:r>
      <w:r w:rsidR="00EF6E3A" w:rsidRPr="00C720FD">
        <w:rPr>
          <w:color w:val="000000" w:themeColor="text1"/>
        </w:rPr>
        <w:t>.</w:t>
      </w:r>
      <w:r w:rsidR="00F8063F">
        <w:rPr>
          <w:color w:val="000000" w:themeColor="text1"/>
        </w:rPr>
        <w:t xml:space="preserve"> </w:t>
      </w:r>
      <w:r w:rsidR="00F8063F" w:rsidRPr="00C720FD">
        <w:rPr>
          <w:rFonts w:cs="Times New Roman"/>
          <w:color w:val="000000" w:themeColor="text1"/>
        </w:rPr>
        <w:t>V zmysle med</w:t>
      </w:r>
      <w:r w:rsidR="00F8063F">
        <w:rPr>
          <w:rFonts w:cs="Times New Roman"/>
          <w:color w:val="000000" w:themeColor="text1"/>
        </w:rPr>
        <w:t>zinárodných odborných odporúčaní</w:t>
      </w:r>
      <w:r w:rsidR="00F8063F" w:rsidRPr="00C720FD">
        <w:rPr>
          <w:rFonts w:cs="Times New Roman"/>
          <w:color w:val="000000" w:themeColor="text1"/>
        </w:rPr>
        <w:t xml:space="preserve"> pre hodnotenie nákladovej efektivity je dostupnosť elektronického modelu </w:t>
      </w:r>
      <w:r w:rsidR="00F8063F">
        <w:rPr>
          <w:rFonts w:cs="Times New Roman"/>
          <w:color w:val="000000" w:themeColor="text1"/>
        </w:rPr>
        <w:t>základným</w:t>
      </w:r>
      <w:r w:rsidR="00F8063F" w:rsidRPr="00C720FD">
        <w:rPr>
          <w:rFonts w:cs="Times New Roman"/>
          <w:color w:val="000000" w:themeColor="text1"/>
        </w:rPr>
        <w:t xml:space="preserve"> prvkom pre proces hodnotenia. </w:t>
      </w:r>
      <w:r w:rsidR="00EF6E3A" w:rsidRPr="00C720FD">
        <w:rPr>
          <w:color w:val="000000" w:themeColor="text1"/>
        </w:rPr>
        <w:t xml:space="preserve">V roku 2019 </w:t>
      </w:r>
      <w:r w:rsidR="00F8063F">
        <w:rPr>
          <w:color w:val="000000" w:themeColor="text1"/>
        </w:rPr>
        <w:t xml:space="preserve">však </w:t>
      </w:r>
      <w:r w:rsidR="00EF6E3A" w:rsidRPr="00C720FD">
        <w:rPr>
          <w:color w:val="000000" w:themeColor="text1"/>
        </w:rPr>
        <w:t>bola posudzovaná nákladová efektivita v zmysle platnej legislatívy na základe farmako-ekonomického modelu v elektronick</w:t>
      </w:r>
      <w:r w:rsidR="00EF6E3A">
        <w:rPr>
          <w:color w:val="000000" w:themeColor="text1"/>
        </w:rPr>
        <w:t>ej forme u 15 </w:t>
      </w:r>
      <w:r w:rsidR="00EF6E3A" w:rsidRPr="00C720FD">
        <w:rPr>
          <w:color w:val="000000" w:themeColor="text1"/>
        </w:rPr>
        <w:t xml:space="preserve">liekov. </w:t>
      </w:r>
      <w:r w:rsidR="00F8063F">
        <w:rPr>
          <w:color w:val="000000" w:themeColor="text1"/>
        </w:rPr>
        <w:t xml:space="preserve">MZ SR nepredložilo </w:t>
      </w:r>
      <w:r w:rsidR="00EF6E3A" w:rsidRPr="00C720FD">
        <w:rPr>
          <w:rFonts w:cs="ArialMT"/>
        </w:rPr>
        <w:t>zdôvodnenie</w:t>
      </w:r>
      <w:r w:rsidR="00EF6E3A" w:rsidRPr="00C720FD">
        <w:rPr>
          <w:rFonts w:cs="Times New Roman"/>
          <w:color w:val="000000" w:themeColor="text1"/>
        </w:rPr>
        <w:t xml:space="preserve"> výberu liekov, u ktorých </w:t>
      </w:r>
      <w:r w:rsidR="00F8063F">
        <w:rPr>
          <w:rFonts w:cs="Times New Roman"/>
          <w:color w:val="000000" w:themeColor="text1"/>
        </w:rPr>
        <w:t>ne</w:t>
      </w:r>
      <w:r w:rsidR="00EF6E3A" w:rsidRPr="00C720FD">
        <w:rPr>
          <w:rFonts w:cs="Times New Roman"/>
          <w:color w:val="000000" w:themeColor="text1"/>
        </w:rPr>
        <w:t xml:space="preserve">boli farmako-ekonomické modely v elektronickej forme vyžadované zo strany MZ SR. </w:t>
      </w:r>
      <w:r w:rsidR="00EF6E3A" w:rsidRPr="00F1508C">
        <w:rPr>
          <w:rFonts w:cs="Times New Roman"/>
          <w:b/>
          <w:color w:val="000000" w:themeColor="text1"/>
        </w:rPr>
        <w:t xml:space="preserve">Netransparentnosť v procese posudzovania farmako-ekonomických modelov v elektronickej forme pre proces hodnotenia nákladovej efektivity liekov </w:t>
      </w:r>
      <w:r w:rsidR="00EF6E3A" w:rsidRPr="00F1508C">
        <w:rPr>
          <w:rFonts w:cs="Times New Roman"/>
          <w:b/>
        </w:rPr>
        <w:t>prispieva k neefektívnemu vynakladaniu finančných prostriedkov na lieky z</w:t>
      </w:r>
      <w:r w:rsidR="005B001E">
        <w:rPr>
          <w:rFonts w:cs="Times New Roman"/>
          <w:b/>
        </w:rPr>
        <w:t>o</w:t>
      </w:r>
      <w:r w:rsidR="00EF6E3A" w:rsidRPr="00F1508C">
        <w:rPr>
          <w:rFonts w:cs="Times New Roman"/>
          <w:b/>
        </w:rPr>
        <w:t> VZP v SR</w:t>
      </w:r>
      <w:r w:rsidR="00EF6E3A" w:rsidRPr="00F1508C">
        <w:rPr>
          <w:rFonts w:cs="Times New Roman"/>
          <w:b/>
          <w:color w:val="000000" w:themeColor="text1"/>
        </w:rPr>
        <w:t>.</w:t>
      </w:r>
    </w:p>
    <w:p w14:paraId="7A2CD303" w14:textId="28176101" w:rsidR="00EF6E3A" w:rsidRDefault="009736E2" w:rsidP="00CA4572">
      <w:pPr>
        <w:spacing w:before="120" w:after="120"/>
        <w:jc w:val="both"/>
        <w:rPr>
          <w:rFonts w:cs="Times New Roman"/>
          <w:color w:val="000000" w:themeColor="text1"/>
        </w:rPr>
      </w:pPr>
      <w:r>
        <w:rPr>
          <w:color w:val="000000" w:themeColor="text1"/>
        </w:rPr>
        <w:t>NKÚ SR</w:t>
      </w:r>
      <w:r w:rsidR="00EF6E3A" w:rsidRPr="00C720FD">
        <w:rPr>
          <w:rFonts w:cs="Times New Roman"/>
        </w:rPr>
        <w:t xml:space="preserve"> konštatuje, že na MZ SR existujú </w:t>
      </w:r>
      <w:r w:rsidR="006163F5">
        <w:rPr>
          <w:rFonts w:cs="Times New Roman"/>
        </w:rPr>
        <w:t>významné</w:t>
      </w:r>
      <w:r w:rsidR="00EF6E3A" w:rsidRPr="00C720FD">
        <w:rPr>
          <w:rFonts w:cs="Times New Roman"/>
        </w:rPr>
        <w:t xml:space="preserve"> problémy v oblasti </w:t>
      </w:r>
      <w:r w:rsidR="00F8063F">
        <w:rPr>
          <w:rFonts w:cs="Times New Roman"/>
        </w:rPr>
        <w:t>metodológie hodnotenia zdravotníckych technológií (</w:t>
      </w:r>
      <w:r w:rsidR="00EF6E3A" w:rsidRPr="00C720FD">
        <w:rPr>
          <w:rFonts w:cs="Times New Roman"/>
        </w:rPr>
        <w:t>HTA</w:t>
      </w:r>
      <w:r w:rsidR="00F8063F">
        <w:rPr>
          <w:rFonts w:cs="Times New Roman"/>
        </w:rPr>
        <w:t>)</w:t>
      </w:r>
      <w:r w:rsidR="00EF6E3A" w:rsidRPr="00C720FD">
        <w:rPr>
          <w:rFonts w:cs="Times New Roman"/>
        </w:rPr>
        <w:t xml:space="preserve">, </w:t>
      </w:r>
      <w:r w:rsidR="005B001E">
        <w:rPr>
          <w:rFonts w:cs="Times New Roman"/>
        </w:rPr>
        <w:t>pretože</w:t>
      </w:r>
      <w:r w:rsidR="00EF6E3A" w:rsidRPr="00C720FD">
        <w:rPr>
          <w:rFonts w:cs="Times New Roman"/>
        </w:rPr>
        <w:t xml:space="preserve"> sa nedod</w:t>
      </w:r>
      <w:r w:rsidR="00EF6E3A">
        <w:rPr>
          <w:rFonts w:cs="Times New Roman"/>
        </w:rPr>
        <w:t xml:space="preserve">ržiavajú medzinárodné odporúčania (napr. </w:t>
      </w:r>
      <w:r w:rsidR="00EF6E3A" w:rsidRPr="00C720FD">
        <w:rPr>
          <w:rFonts w:cs="Times New Roman"/>
        </w:rPr>
        <w:t>EUnetHTA</w:t>
      </w:r>
      <w:r w:rsidR="00EF6E3A">
        <w:rPr>
          <w:rFonts w:cs="Times New Roman"/>
        </w:rPr>
        <w:t xml:space="preserve"> odporúčané postupy</w:t>
      </w:r>
      <w:r w:rsidR="00EF6E3A" w:rsidRPr="00C720FD">
        <w:rPr>
          <w:rFonts w:cs="Times New Roman"/>
        </w:rPr>
        <w:t>)</w:t>
      </w:r>
      <w:r>
        <w:rPr>
          <w:rFonts w:cs="Times New Roman"/>
        </w:rPr>
        <w:t>,</w:t>
      </w:r>
      <w:r w:rsidR="00EF6E3A" w:rsidRPr="00C720FD">
        <w:rPr>
          <w:rFonts w:cs="Times New Roman"/>
        </w:rPr>
        <w:t xml:space="preserve"> ako aj</w:t>
      </w:r>
      <w:r w:rsidR="00EF6E3A">
        <w:rPr>
          <w:rFonts w:cs="Times New Roman"/>
        </w:rPr>
        <w:t xml:space="preserve"> </w:t>
      </w:r>
      <w:r w:rsidR="006163F5">
        <w:rPr>
          <w:rFonts w:cs="Times New Roman"/>
        </w:rPr>
        <w:t>závažné</w:t>
      </w:r>
      <w:r w:rsidR="00EF6E3A">
        <w:rPr>
          <w:rFonts w:cs="Times New Roman"/>
        </w:rPr>
        <w:t xml:space="preserve"> rezervy</w:t>
      </w:r>
      <w:r w:rsidR="00EF6E3A" w:rsidRPr="00C720FD">
        <w:rPr>
          <w:rFonts w:cs="Times New Roman"/>
        </w:rPr>
        <w:t> v oblasti per</w:t>
      </w:r>
      <w:r w:rsidR="00EF6E3A">
        <w:rPr>
          <w:rFonts w:cs="Times New Roman"/>
        </w:rPr>
        <w:t>sonálnych kapacít na HTA</w:t>
      </w:r>
      <w:r w:rsidR="00EF6E3A" w:rsidRPr="00C720FD">
        <w:rPr>
          <w:rFonts w:cs="Times New Roman"/>
        </w:rPr>
        <w:t xml:space="preserve">, čo </w:t>
      </w:r>
      <w:r>
        <w:rPr>
          <w:rFonts w:cs="Times New Roman"/>
        </w:rPr>
        <w:t xml:space="preserve">tiež </w:t>
      </w:r>
      <w:r w:rsidR="00EF6E3A" w:rsidRPr="00C720FD">
        <w:rPr>
          <w:rFonts w:cs="Times New Roman"/>
        </w:rPr>
        <w:t>prispieva k neefektívnemu vynakladaniu finančných prostriedkov na lieky z</w:t>
      </w:r>
      <w:r w:rsidR="005B001E">
        <w:rPr>
          <w:rFonts w:cs="Times New Roman"/>
        </w:rPr>
        <w:t>o</w:t>
      </w:r>
      <w:r w:rsidR="00EF6E3A" w:rsidRPr="00C720FD">
        <w:rPr>
          <w:rFonts w:cs="Times New Roman"/>
        </w:rPr>
        <w:t> </w:t>
      </w:r>
      <w:r w:rsidR="00F1508C">
        <w:rPr>
          <w:rFonts w:cs="Times New Roman"/>
        </w:rPr>
        <w:t>VZP</w:t>
      </w:r>
      <w:r w:rsidR="00EF6E3A" w:rsidRPr="00C720FD">
        <w:rPr>
          <w:rFonts w:cs="Times New Roman"/>
        </w:rPr>
        <w:t xml:space="preserve"> v SR</w:t>
      </w:r>
      <w:r w:rsidR="00EF6E3A" w:rsidRPr="00C720FD">
        <w:rPr>
          <w:rFonts w:cs="Times New Roman"/>
          <w:color w:val="000000" w:themeColor="text1"/>
        </w:rPr>
        <w:t>.</w:t>
      </w:r>
    </w:p>
    <w:p w14:paraId="101EFAAF" w14:textId="77777777" w:rsidR="001E39B6" w:rsidRPr="00A85B55" w:rsidRDefault="001E39B6" w:rsidP="007534CE">
      <w:pPr>
        <w:pStyle w:val="Nadpis3"/>
        <w:numPr>
          <w:ilvl w:val="2"/>
          <w:numId w:val="23"/>
        </w:numPr>
      </w:pPr>
      <w:bookmarkStart w:id="54" w:name="_Toc43218083"/>
      <w:r w:rsidRPr="00A85B55">
        <w:t>Rezidentské štúdium</w:t>
      </w:r>
      <w:bookmarkEnd w:id="54"/>
    </w:p>
    <w:p w14:paraId="18510FA3" w14:textId="6BC71CD1" w:rsidR="001E39B6" w:rsidRPr="00A85B55" w:rsidRDefault="001E39B6" w:rsidP="00932797">
      <w:pPr>
        <w:spacing w:before="120" w:after="120"/>
        <w:jc w:val="both"/>
        <w:rPr>
          <w:color w:val="000000" w:themeColor="text1"/>
        </w:rPr>
      </w:pPr>
      <w:r w:rsidRPr="00A85B55">
        <w:rPr>
          <w:color w:val="000000" w:themeColor="text1"/>
        </w:rPr>
        <w:t xml:space="preserve">Rezidentské štúdium bolo do roku 2018 vedené pod názvom </w:t>
      </w:r>
      <w:r w:rsidR="00F1508C">
        <w:rPr>
          <w:color w:val="000000" w:themeColor="text1"/>
        </w:rPr>
        <w:t>R</w:t>
      </w:r>
      <w:r w:rsidRPr="00A85B55">
        <w:rPr>
          <w:color w:val="000000" w:themeColor="text1"/>
        </w:rPr>
        <w:t xml:space="preserve">ezidentský program, ktorý vznikol v roku 2012 ako reakcia na nedostatok všeobecných lekárov pre dospelých a všeobecných lekárov pre deti a dorast v praxi, na ich zvyšujúci sa vekový priemer a postupnú kompetenčnú degradáciu oboch odborov. Rezidentský program pôvodne predstavoval podporu ďalšieho vzdelávania zdravotníckych pracovníkov v špecializačných odboroch všeobecné lekárstvo a pediatria. MZ SR v roku 2019 rozšírilo rezidentské štúdium o ďalšie špecializačné odbory. </w:t>
      </w:r>
      <w:r w:rsidR="00932797">
        <w:rPr>
          <w:color w:val="000000" w:themeColor="text1"/>
        </w:rPr>
        <w:t xml:space="preserve">Za hlavné benefity </w:t>
      </w:r>
      <w:r w:rsidR="00595B6E">
        <w:rPr>
          <w:color w:val="000000" w:themeColor="text1"/>
        </w:rPr>
        <w:t>pre absolventov tohto</w:t>
      </w:r>
      <w:r w:rsidR="00932797">
        <w:rPr>
          <w:color w:val="000000" w:themeColor="text1"/>
        </w:rPr>
        <w:t xml:space="preserve"> programu / štúdia sa považovalo r</w:t>
      </w:r>
      <w:r w:rsidRPr="00A85B55">
        <w:rPr>
          <w:color w:val="000000" w:themeColor="text1"/>
        </w:rPr>
        <w:t>ozšírenie kompeten</w:t>
      </w:r>
      <w:r w:rsidR="00932797">
        <w:rPr>
          <w:color w:val="000000" w:themeColor="text1"/>
        </w:rPr>
        <w:t>c</w:t>
      </w:r>
      <w:r w:rsidRPr="00A85B55">
        <w:rPr>
          <w:color w:val="000000" w:themeColor="text1"/>
        </w:rPr>
        <w:t>ií pre všeobecných lekárov a iných špecialistov</w:t>
      </w:r>
      <w:r w:rsidR="00932797">
        <w:rPr>
          <w:color w:val="000000" w:themeColor="text1"/>
        </w:rPr>
        <w:t>, p</w:t>
      </w:r>
      <w:r w:rsidRPr="00A85B55">
        <w:rPr>
          <w:color w:val="000000" w:themeColor="text1"/>
        </w:rPr>
        <w:t>redpoklad primeraného finančného ohodnotenia</w:t>
      </w:r>
      <w:r w:rsidR="00932797">
        <w:rPr>
          <w:color w:val="000000" w:themeColor="text1"/>
        </w:rPr>
        <w:t>, i</w:t>
      </w:r>
      <w:r w:rsidRPr="00A85B55">
        <w:rPr>
          <w:color w:val="000000" w:themeColor="text1"/>
        </w:rPr>
        <w:t>stota zamestnania na celom území Slovenska</w:t>
      </w:r>
      <w:r w:rsidR="00932797">
        <w:rPr>
          <w:color w:val="000000" w:themeColor="text1"/>
        </w:rPr>
        <w:t xml:space="preserve"> a s</w:t>
      </w:r>
      <w:r w:rsidRPr="00A85B55">
        <w:rPr>
          <w:color w:val="000000" w:themeColor="text1"/>
        </w:rPr>
        <w:t>amostatná ambulantná prax a nezávislosť.</w:t>
      </w:r>
    </w:p>
    <w:p w14:paraId="78D1A632" w14:textId="4D10C9D7" w:rsidR="001E39B6" w:rsidRDefault="001E39B6" w:rsidP="00CA4572">
      <w:pPr>
        <w:spacing w:before="120" w:after="120"/>
        <w:jc w:val="both"/>
        <w:rPr>
          <w:color w:val="000000" w:themeColor="text1"/>
        </w:rPr>
      </w:pPr>
      <w:r w:rsidRPr="00A85B55">
        <w:rPr>
          <w:color w:val="000000" w:themeColor="text1"/>
        </w:rPr>
        <w:t>R</w:t>
      </w:r>
      <w:r>
        <w:rPr>
          <w:color w:val="000000" w:themeColor="text1"/>
        </w:rPr>
        <w:t xml:space="preserve">ezidentský program </w:t>
      </w:r>
      <w:r w:rsidRPr="00A85B55">
        <w:rPr>
          <w:color w:val="000000" w:themeColor="text1"/>
        </w:rPr>
        <w:t>naštartoval pozitívne, čo sa prejavilo na počte zaradených rezidentov. K 1.</w:t>
      </w:r>
      <w:r w:rsidR="00932797">
        <w:rPr>
          <w:color w:val="000000" w:themeColor="text1"/>
        </w:rPr>
        <w:t xml:space="preserve"> </w:t>
      </w:r>
      <w:r w:rsidRPr="00A85B55">
        <w:rPr>
          <w:color w:val="000000" w:themeColor="text1"/>
        </w:rPr>
        <w:t>10.</w:t>
      </w:r>
      <w:r w:rsidR="00932797">
        <w:rPr>
          <w:color w:val="000000" w:themeColor="text1"/>
        </w:rPr>
        <w:t xml:space="preserve"> </w:t>
      </w:r>
      <w:r w:rsidRPr="00A85B55">
        <w:rPr>
          <w:color w:val="000000" w:themeColor="text1"/>
        </w:rPr>
        <w:t xml:space="preserve">2014 bolo na univerzity, ktoré sa na projekte zúčastňujú, prijatých 72 rezidentov. </w:t>
      </w:r>
    </w:p>
    <w:p w14:paraId="181C1081" w14:textId="77777777" w:rsidR="00D52FBD" w:rsidRDefault="00D52FBD" w:rsidP="00CA4572">
      <w:pPr>
        <w:spacing w:before="120" w:after="120"/>
        <w:jc w:val="both"/>
        <w:rPr>
          <w:color w:val="000000" w:themeColor="text1"/>
        </w:rPr>
      </w:pPr>
    </w:p>
    <w:tbl>
      <w:tblPr>
        <w:tblStyle w:val="Mriekatabuky"/>
        <w:tblW w:w="5000" w:type="pct"/>
        <w:tblBorders>
          <w:left w:val="none" w:sz="0" w:space="0" w:color="auto"/>
          <w:right w:val="none" w:sz="0" w:space="0" w:color="auto"/>
        </w:tblBorders>
        <w:tblLook w:val="04A0" w:firstRow="1" w:lastRow="0" w:firstColumn="1" w:lastColumn="0" w:noHBand="0" w:noVBand="1"/>
      </w:tblPr>
      <w:tblGrid>
        <w:gridCol w:w="9356"/>
      </w:tblGrid>
      <w:tr w:rsidR="001E39B6" w:rsidRPr="00A85B55" w14:paraId="786A5AE9" w14:textId="77777777" w:rsidTr="005C2708">
        <w:trPr>
          <w:trHeight w:val="283"/>
        </w:trPr>
        <w:tc>
          <w:tcPr>
            <w:tcW w:w="5000" w:type="pct"/>
            <w:shd w:val="clear" w:color="auto" w:fill="0070C0"/>
          </w:tcPr>
          <w:p w14:paraId="1DE1BF08" w14:textId="68A8523E" w:rsidR="001E39B6" w:rsidRPr="00A85B55" w:rsidRDefault="00CD2D36" w:rsidP="00702EEB">
            <w:pPr>
              <w:jc w:val="both"/>
              <w:rPr>
                <w:b/>
                <w:color w:val="FFFFFF" w:themeColor="background1"/>
              </w:rPr>
            </w:pPr>
            <w:r>
              <w:rPr>
                <w:b/>
                <w:color w:val="FFFFFF" w:themeColor="background1"/>
              </w:rPr>
              <w:lastRenderedPageBreak/>
              <w:t>Graf 2</w:t>
            </w:r>
            <w:r w:rsidR="00702EEB">
              <w:rPr>
                <w:b/>
                <w:color w:val="FFFFFF" w:themeColor="background1"/>
              </w:rPr>
              <w:t>4</w:t>
            </w:r>
            <w:r>
              <w:rPr>
                <w:b/>
                <w:color w:val="FFFFFF" w:themeColor="background1"/>
              </w:rPr>
              <w:t xml:space="preserve">: </w:t>
            </w:r>
            <w:r w:rsidR="001E39B6" w:rsidRPr="00A85B55">
              <w:rPr>
                <w:b/>
                <w:color w:val="FFFFFF" w:themeColor="background1"/>
              </w:rPr>
              <w:t>Počet rezidentov zaradených do rezidentského programu</w:t>
            </w:r>
            <w:r w:rsidR="008B0098">
              <w:rPr>
                <w:b/>
                <w:color w:val="FFFFFF" w:themeColor="background1"/>
              </w:rPr>
              <w:t xml:space="preserve"> </w:t>
            </w:r>
            <w:r w:rsidR="00595B6E">
              <w:rPr>
                <w:b/>
                <w:color w:val="FFFFFF" w:themeColor="background1"/>
              </w:rPr>
              <w:t xml:space="preserve">v špecializačných odboroch všeobecné lekárstvo a pediatria </w:t>
            </w:r>
            <w:r w:rsidR="008B0098">
              <w:rPr>
                <w:b/>
                <w:color w:val="FFFFFF" w:themeColor="background1"/>
              </w:rPr>
              <w:t xml:space="preserve">v rokoch 2014 </w:t>
            </w:r>
            <w:r w:rsidR="00595B6E">
              <w:rPr>
                <w:b/>
                <w:color w:val="FFFFFF" w:themeColor="background1"/>
              </w:rPr>
              <w:t>–</w:t>
            </w:r>
            <w:r w:rsidR="008B0098">
              <w:rPr>
                <w:b/>
                <w:color w:val="FFFFFF" w:themeColor="background1"/>
              </w:rPr>
              <w:t xml:space="preserve"> 2019</w:t>
            </w:r>
          </w:p>
        </w:tc>
      </w:tr>
      <w:tr w:rsidR="001E39B6" w:rsidRPr="00A85B55" w14:paraId="4FF04F3C" w14:textId="77777777" w:rsidTr="005C2708">
        <w:trPr>
          <w:trHeight w:val="283"/>
        </w:trPr>
        <w:tc>
          <w:tcPr>
            <w:tcW w:w="5000" w:type="pct"/>
          </w:tcPr>
          <w:p w14:paraId="232EA803" w14:textId="74A396E1" w:rsidR="001E39B6" w:rsidRPr="00A85B55" w:rsidRDefault="00702EEB" w:rsidP="00CA4572">
            <w:pPr>
              <w:jc w:val="both"/>
            </w:pPr>
            <w:r>
              <w:rPr>
                <w:noProof/>
                <w:lang w:eastAsia="sk-SK"/>
              </w:rPr>
              <w:drawing>
                <wp:inline distT="0" distB="0" distL="0" distR="0" wp14:anchorId="42E03D35" wp14:editId="601DB5DF">
                  <wp:extent cx="5844540" cy="2171700"/>
                  <wp:effectExtent l="0" t="0" r="381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14:paraId="511C89F6" w14:textId="615EDD9D" w:rsidR="001E39B6" w:rsidRPr="008B0098" w:rsidRDefault="001E39B6" w:rsidP="008B0098">
      <w:pPr>
        <w:spacing w:after="120"/>
        <w:jc w:val="both"/>
        <w:rPr>
          <w:i/>
          <w:sz w:val="18"/>
          <w:szCs w:val="20"/>
        </w:rPr>
      </w:pPr>
      <w:r w:rsidRPr="008B0098">
        <w:rPr>
          <w:i/>
          <w:sz w:val="18"/>
          <w:szCs w:val="20"/>
        </w:rPr>
        <w:t>Z</w:t>
      </w:r>
      <w:r w:rsidR="008B0098">
        <w:rPr>
          <w:i/>
          <w:sz w:val="18"/>
          <w:szCs w:val="20"/>
        </w:rPr>
        <w:t>droj: MZ SR</w:t>
      </w:r>
    </w:p>
    <w:p w14:paraId="341C2CE2" w14:textId="35B194E6" w:rsidR="00ED4B2F" w:rsidRDefault="00ED4B2F" w:rsidP="00CA4572">
      <w:pPr>
        <w:jc w:val="both"/>
      </w:pPr>
      <w:r>
        <w:t>Rozhodujúci podiel na počte zaradených rezidentov predstavovala Slovenská zdravotnícka univerzita</w:t>
      </w:r>
      <w:r w:rsidR="00BE512B">
        <w:t xml:space="preserve"> (Graf 2</w:t>
      </w:r>
      <w:r w:rsidR="00702EEB">
        <w:t>4</w:t>
      </w:r>
      <w:r w:rsidR="00BE512B">
        <w:t>)</w:t>
      </w:r>
      <w:r>
        <w:t>. Jej počty v ďalších rokoch s výnimkou rokov 2016 a 2019 klesali, zo 61 v roku 2014 na 38 rezidentov v roku 2019. Celkový výrazný pokles počtu zaradených rezidentov zo 72 v roku 2014 na 36 v roku 2018 sa zastavil a od roku 2019 sa prejavilo oživenie záujmu uchádzačov o rezidentské štúdium. Medziročný prírastok počtu rezidentov na Slovenskej zdravotníckej univerzite v roku 2019 nepresiahol úrov</w:t>
      </w:r>
      <w:r w:rsidR="005B001E">
        <w:t xml:space="preserve">eň </w:t>
      </w:r>
      <w:r w:rsidR="005C43C0">
        <w:t xml:space="preserve">z </w:t>
      </w:r>
      <w:r>
        <w:t xml:space="preserve">predchádzajúcich rokov. </w:t>
      </w:r>
    </w:p>
    <w:p w14:paraId="06A18074" w14:textId="22F233A2" w:rsidR="001E39B6" w:rsidRDefault="001E39B6" w:rsidP="00CA4572">
      <w:pPr>
        <w:spacing w:before="120" w:after="120"/>
        <w:jc w:val="both"/>
      </w:pPr>
      <w:r w:rsidRPr="00B82544">
        <w:t>Na základe údajov z </w:t>
      </w:r>
      <w:r>
        <w:t>NCZI za roky 2016</w:t>
      </w:r>
      <w:r w:rsidR="00CB7202">
        <w:t xml:space="preserve"> </w:t>
      </w:r>
      <w:r w:rsidR="001446D8">
        <w:t>až</w:t>
      </w:r>
      <w:r w:rsidR="00CB7202">
        <w:t xml:space="preserve"> </w:t>
      </w:r>
      <w:r>
        <w:t>2018</w:t>
      </w:r>
      <w:r w:rsidRPr="00B82544">
        <w:t xml:space="preserve"> možno konštatovať, že rezidentské štúdium</w:t>
      </w:r>
      <w:r>
        <w:t xml:space="preserve"> zatiaľ </w:t>
      </w:r>
      <w:r w:rsidRPr="00B82544">
        <w:t>neodstránilo pretrvávajúce riziko zhoršovania dostupnosti a kvality primárnej zdravotnej starostlivosti</w:t>
      </w:r>
      <w:r>
        <w:t>.</w:t>
      </w:r>
      <w:r w:rsidR="00CB7202">
        <w:t xml:space="preserve"> </w:t>
      </w:r>
      <w:r w:rsidRPr="008F4371">
        <w:rPr>
          <w:b/>
        </w:rPr>
        <w:t>Počet ambulancií všeobecných lekárov pre dospelých</w:t>
      </w:r>
      <w:r>
        <w:t xml:space="preserve"> na Slovensku podľa NCZI poklesol z 2 088 v roku 2013 na 1</w:t>
      </w:r>
      <w:r w:rsidR="00BE512B">
        <w:t xml:space="preserve"> </w:t>
      </w:r>
      <w:r>
        <w:t>951 v roku 2018, t. j. o 137.</w:t>
      </w:r>
      <w:r w:rsidR="008B0098">
        <w:t xml:space="preserve"> </w:t>
      </w:r>
      <w:r w:rsidRPr="00CD7383">
        <w:rPr>
          <w:b/>
        </w:rPr>
        <w:t>Počet ambulancií všeobecných lekárov pre deti a dorast</w:t>
      </w:r>
      <w:r>
        <w:t xml:space="preserve"> poklesol z 1 110 v roku 2013 na 995 v roku 2018, t. j. o 115. </w:t>
      </w:r>
    </w:p>
    <w:p w14:paraId="46009ACD" w14:textId="4AC13CA6" w:rsidR="001E39B6" w:rsidRDefault="001E39B6" w:rsidP="00CA4572">
      <w:pPr>
        <w:spacing w:before="120" w:after="120"/>
        <w:jc w:val="both"/>
      </w:pPr>
      <w:r>
        <w:t>Napriek tomu, že súčasná legislatíva umožňuje financovať zo ŠR rezidentské štúdium aj v iných špecializačných odboroch</w:t>
      </w:r>
      <w:r w:rsidR="00CB7202">
        <w:t>,</w:t>
      </w:r>
      <w:r>
        <w:t xml:space="preserve"> podľa NKÚ SR rozšírenie rezidentského štúdia o ďalšie špecializačné odbory nebolo v súlade s jedným zo základných cieľov rezidentského programu: „Všeobecné lekárstvo sebe – nastavenie rezidentského programu pre potreby primárneho kontaktu“. Rezidentský program vznikol len pre finančnú podporu špecializačných odborov všeobecné lekárstvo a</w:t>
      </w:r>
      <w:r w:rsidR="00CB7202">
        <w:t> </w:t>
      </w:r>
      <w:r>
        <w:t>pediatria</w:t>
      </w:r>
      <w:r w:rsidR="00CB7202">
        <w:t>,</w:t>
      </w:r>
      <w:r>
        <w:t xml:space="preserve"> predovšetkým na doplnenie stavu lekárov do všeobecných ambulancií pre dospelých a pre deti a dorast.</w:t>
      </w:r>
    </w:p>
    <w:p w14:paraId="203F746E" w14:textId="5AA93182" w:rsidR="001E39B6" w:rsidRDefault="001E39B6" w:rsidP="00CA4572">
      <w:pPr>
        <w:spacing w:before="120" w:after="120"/>
        <w:jc w:val="both"/>
      </w:pPr>
      <w:r>
        <w:t>Z medziročného vývoja počtu ambulancií všeobecných lekárov pre dospelých a všeobecných lekárov pre deti a dorast vyplýva, že rezidentské štúdium zatiaľ výraznejšie neprisp</w:t>
      </w:r>
      <w:r w:rsidR="00304426">
        <w:t>elo</w:t>
      </w:r>
      <w:r>
        <w:t xml:space="preserve"> k plneniu svojho cieľa. Preto je potrebné zamerať pozornosť </w:t>
      </w:r>
      <w:r w:rsidR="00B73BC0">
        <w:t xml:space="preserve">najmä na </w:t>
      </w:r>
      <w:r>
        <w:t>príčin</w:t>
      </w:r>
      <w:r w:rsidR="00B73BC0">
        <w:t>y</w:t>
      </w:r>
      <w:r>
        <w:t xml:space="preserve"> a riešeni</w:t>
      </w:r>
      <w:r w:rsidR="00B73BC0">
        <w:t>e</w:t>
      </w:r>
      <w:r>
        <w:t xml:space="preserve"> poklesu záujmu uchádzačov o špecializačné odbory všeobecné lekárstvo a pediatria.</w:t>
      </w:r>
    </w:p>
    <w:p w14:paraId="3D625E27" w14:textId="080ED6A6" w:rsidR="0062190C" w:rsidRPr="001F4222" w:rsidRDefault="0062190C" w:rsidP="007534CE">
      <w:pPr>
        <w:pStyle w:val="Nadpis2"/>
        <w:numPr>
          <w:ilvl w:val="1"/>
          <w:numId w:val="23"/>
        </w:numPr>
      </w:pPr>
      <w:bookmarkStart w:id="55" w:name="_Toc43218084"/>
      <w:r w:rsidRPr="001F4222">
        <w:t>Ministerstvo dopravy a výstavby SR</w:t>
      </w:r>
      <w:bookmarkEnd w:id="55"/>
    </w:p>
    <w:p w14:paraId="63B0657D" w14:textId="7CDDF16F" w:rsidR="0055022C" w:rsidRDefault="003A0142" w:rsidP="0039341A">
      <w:pPr>
        <w:pStyle w:val="Bezriadkovania"/>
        <w:spacing w:after="120"/>
        <w:jc w:val="both"/>
        <w:rPr>
          <w:rFonts w:eastAsiaTheme="minorHAnsi" w:cstheme="minorBidi"/>
          <w:color w:val="000000"/>
          <w:szCs w:val="22"/>
        </w:rPr>
      </w:pPr>
      <w:r>
        <w:rPr>
          <w:rFonts w:eastAsiaTheme="minorHAnsi" w:cstheme="minorBidi"/>
          <w:color w:val="000000"/>
          <w:szCs w:val="22"/>
        </w:rPr>
        <w:t>V</w:t>
      </w:r>
      <w:r w:rsidR="00B95F2B">
        <w:rPr>
          <w:rFonts w:eastAsiaTheme="minorHAnsi" w:cstheme="minorBidi"/>
          <w:color w:val="000000"/>
          <w:szCs w:val="22"/>
        </w:rPr>
        <w:t> roku 2019 sa zopakoval rovnaký s</w:t>
      </w:r>
      <w:r w:rsidR="0055022C" w:rsidRPr="002B7CCC">
        <w:rPr>
          <w:rFonts w:eastAsiaTheme="minorHAnsi" w:cstheme="minorBidi"/>
          <w:color w:val="000000"/>
          <w:szCs w:val="22"/>
        </w:rPr>
        <w:t>cenár s čerpaním výdavkov</w:t>
      </w:r>
      <w:r w:rsidR="00B95F2B">
        <w:rPr>
          <w:rFonts w:eastAsiaTheme="minorHAnsi" w:cstheme="minorBidi"/>
          <w:color w:val="000000"/>
          <w:szCs w:val="22"/>
        </w:rPr>
        <w:t xml:space="preserve"> v rezorte dopravy ako</w:t>
      </w:r>
      <w:r w:rsidR="0055022C" w:rsidRPr="002B7CCC">
        <w:rPr>
          <w:rFonts w:eastAsiaTheme="minorHAnsi" w:cstheme="minorBidi"/>
          <w:color w:val="000000"/>
          <w:szCs w:val="22"/>
        </w:rPr>
        <w:t xml:space="preserve"> v</w:t>
      </w:r>
      <w:r w:rsidR="00B13D98">
        <w:rPr>
          <w:rFonts w:eastAsiaTheme="minorHAnsi" w:cstheme="minorBidi"/>
          <w:color w:val="000000"/>
          <w:szCs w:val="22"/>
        </w:rPr>
        <w:t> predchádzajúcom roku</w:t>
      </w:r>
      <w:r w:rsidR="0055022C" w:rsidRPr="002B7CCC">
        <w:rPr>
          <w:rFonts w:eastAsiaTheme="minorHAnsi" w:cstheme="minorBidi"/>
          <w:color w:val="000000"/>
          <w:szCs w:val="22"/>
        </w:rPr>
        <w:t xml:space="preserve"> – na kapitálových výdavkoch</w:t>
      </w:r>
      <w:r w:rsidR="00B13D98">
        <w:rPr>
          <w:rFonts w:eastAsiaTheme="minorHAnsi" w:cstheme="minorBidi"/>
          <w:color w:val="000000"/>
          <w:szCs w:val="22"/>
        </w:rPr>
        <w:t xml:space="preserve"> bola pôvodne rozpočtovaná minimálna suma</w:t>
      </w:r>
      <w:r w:rsidR="0055022C" w:rsidRPr="002B7CCC">
        <w:rPr>
          <w:rFonts w:eastAsiaTheme="minorHAnsi" w:cstheme="minorBidi"/>
          <w:color w:val="000000"/>
          <w:szCs w:val="22"/>
        </w:rPr>
        <w:t xml:space="preserve">, následne začiatkom roka </w:t>
      </w:r>
      <w:r w:rsidR="00B13D98">
        <w:rPr>
          <w:rFonts w:eastAsiaTheme="minorHAnsi" w:cstheme="minorBidi"/>
          <w:color w:val="000000"/>
          <w:szCs w:val="22"/>
        </w:rPr>
        <w:t xml:space="preserve">sa </w:t>
      </w:r>
      <w:r w:rsidR="0055022C" w:rsidRPr="002B7CCC">
        <w:rPr>
          <w:rFonts w:eastAsiaTheme="minorHAnsi" w:cstheme="minorBidi"/>
          <w:color w:val="000000"/>
          <w:szCs w:val="22"/>
        </w:rPr>
        <w:t>presun</w:t>
      </w:r>
      <w:r w:rsidR="00B13D98">
        <w:rPr>
          <w:rFonts w:eastAsiaTheme="minorHAnsi" w:cstheme="minorBidi"/>
          <w:color w:val="000000"/>
          <w:szCs w:val="22"/>
        </w:rPr>
        <w:t>ul veľký objem</w:t>
      </w:r>
      <w:r w:rsidR="0055022C" w:rsidRPr="002B7CCC">
        <w:rPr>
          <w:rFonts w:eastAsiaTheme="minorHAnsi" w:cstheme="minorBidi"/>
          <w:color w:val="000000"/>
          <w:szCs w:val="22"/>
        </w:rPr>
        <w:t xml:space="preserve"> nevyčerpaných európskych prostriedkov z predchádzajúcich období a</w:t>
      </w:r>
      <w:r w:rsidR="00B13D98">
        <w:rPr>
          <w:rFonts w:eastAsiaTheme="minorHAnsi" w:cstheme="minorBidi"/>
          <w:color w:val="000000"/>
          <w:szCs w:val="22"/>
        </w:rPr>
        <w:t xml:space="preserve"> nábeh ich čerpania bol </w:t>
      </w:r>
      <w:r w:rsidR="0055022C" w:rsidRPr="002B7CCC">
        <w:rPr>
          <w:rFonts w:eastAsiaTheme="minorHAnsi" w:cstheme="minorBidi"/>
          <w:color w:val="000000"/>
          <w:szCs w:val="22"/>
        </w:rPr>
        <w:t>pomalý. Presunom týchto prostriedkov došlo</w:t>
      </w:r>
      <w:r w:rsidR="0055022C">
        <w:rPr>
          <w:rFonts w:eastAsiaTheme="minorHAnsi" w:cstheme="minorBidi"/>
          <w:color w:val="000000"/>
          <w:szCs w:val="22"/>
        </w:rPr>
        <w:t xml:space="preserve"> počas roka</w:t>
      </w:r>
      <w:r w:rsidR="0055022C" w:rsidRPr="002B7CCC">
        <w:rPr>
          <w:rFonts w:eastAsiaTheme="minorHAnsi" w:cstheme="minorBidi"/>
          <w:color w:val="000000"/>
          <w:szCs w:val="22"/>
        </w:rPr>
        <w:t xml:space="preserve"> </w:t>
      </w:r>
      <w:r w:rsidR="0055022C" w:rsidRPr="002B7CCC">
        <w:rPr>
          <w:rFonts w:eastAsiaTheme="minorHAnsi" w:cstheme="minorBidi"/>
          <w:b/>
          <w:color w:val="000000"/>
          <w:szCs w:val="22"/>
        </w:rPr>
        <w:t>k navýšeniu pôvodného rozpočtu</w:t>
      </w:r>
      <w:r w:rsidR="0055022C">
        <w:rPr>
          <w:rFonts w:eastAsiaTheme="minorHAnsi" w:cstheme="minorBidi"/>
          <w:b/>
          <w:color w:val="000000"/>
          <w:szCs w:val="22"/>
        </w:rPr>
        <w:t xml:space="preserve"> </w:t>
      </w:r>
      <w:r w:rsidR="0055022C" w:rsidRPr="00E26422">
        <w:rPr>
          <w:rFonts w:eastAsiaTheme="minorHAnsi" w:cstheme="minorBidi"/>
          <w:color w:val="000000"/>
          <w:szCs w:val="22"/>
        </w:rPr>
        <w:t>(1 153 931 tis. eur)</w:t>
      </w:r>
      <w:r w:rsidR="0055022C" w:rsidRPr="002B7CCC">
        <w:rPr>
          <w:rFonts w:eastAsiaTheme="minorHAnsi" w:cstheme="minorBidi"/>
          <w:b/>
          <w:color w:val="000000"/>
          <w:szCs w:val="22"/>
        </w:rPr>
        <w:t xml:space="preserve"> až o 86,6 %</w:t>
      </w:r>
      <w:r w:rsidR="00D35C06">
        <w:rPr>
          <w:rStyle w:val="Odkaznapoznmkupodiarou"/>
          <w:rFonts w:eastAsiaTheme="minorHAnsi" w:cstheme="minorBidi"/>
          <w:b/>
          <w:color w:val="000000"/>
          <w:szCs w:val="22"/>
        </w:rPr>
        <w:footnoteReference w:id="18"/>
      </w:r>
      <w:r w:rsidR="0055022C" w:rsidRPr="00E26422">
        <w:rPr>
          <w:rFonts w:eastAsiaTheme="minorHAnsi" w:cstheme="minorBidi"/>
          <w:color w:val="000000"/>
          <w:szCs w:val="22"/>
        </w:rPr>
        <w:t>.</w:t>
      </w:r>
      <w:r w:rsidR="0055022C" w:rsidRPr="002B7CCC">
        <w:rPr>
          <w:rFonts w:eastAsiaTheme="minorHAnsi" w:cstheme="minorBidi"/>
          <w:color w:val="000000"/>
          <w:szCs w:val="22"/>
        </w:rPr>
        <w:t xml:space="preserve"> Pozitívnou správou je, že situácia so slabým čerpaním eurofondov sa každoročne pomaly zlepšuje</w:t>
      </w:r>
      <w:r w:rsidR="00702EEB">
        <w:rPr>
          <w:rFonts w:eastAsiaTheme="minorHAnsi" w:cstheme="minorBidi"/>
          <w:color w:val="000000"/>
          <w:szCs w:val="22"/>
        </w:rPr>
        <w:t xml:space="preserve"> (Graf 25)</w:t>
      </w:r>
      <w:r w:rsidR="0055022C" w:rsidRPr="002B7CCC">
        <w:rPr>
          <w:rFonts w:eastAsiaTheme="minorHAnsi" w:cstheme="minorBidi"/>
          <w:color w:val="000000"/>
          <w:szCs w:val="22"/>
        </w:rPr>
        <w:t xml:space="preserve">. </w:t>
      </w:r>
      <w:r w:rsidR="0055022C">
        <w:rPr>
          <w:rFonts w:eastAsiaTheme="minorHAnsi" w:cstheme="minorBidi"/>
          <w:color w:val="000000"/>
          <w:szCs w:val="22"/>
        </w:rPr>
        <w:t>Zásluhu na tom má</w:t>
      </w:r>
      <w:r w:rsidR="0055022C" w:rsidRPr="002B7CCC">
        <w:rPr>
          <w:rFonts w:eastAsiaTheme="minorHAnsi" w:cstheme="minorBidi"/>
          <w:color w:val="000000"/>
          <w:szCs w:val="22"/>
        </w:rPr>
        <w:t xml:space="preserve"> najmä výstavba diaľnic, ktorá pri </w:t>
      </w:r>
      <w:r w:rsidR="0055022C" w:rsidRPr="002B7CCC">
        <w:rPr>
          <w:rFonts w:eastAsiaTheme="minorHAnsi" w:cstheme="minorBidi"/>
          <w:b/>
          <w:color w:val="000000"/>
          <w:szCs w:val="22"/>
        </w:rPr>
        <w:t>vybraných projektoch</w:t>
      </w:r>
      <w:r w:rsidR="0055022C" w:rsidRPr="002B7CCC">
        <w:rPr>
          <w:rFonts w:eastAsiaTheme="minorHAnsi" w:cstheme="minorBidi"/>
          <w:color w:val="000000"/>
          <w:szCs w:val="22"/>
        </w:rPr>
        <w:t xml:space="preserve"> napredovala podľa plánov aj v roku 2019. Veľa projektov, nielen v oblasti cestnej infraštruktúry, však stále mešká.</w:t>
      </w:r>
      <w:r w:rsidR="0055022C">
        <w:rPr>
          <w:rFonts w:eastAsiaTheme="minorHAnsi" w:cstheme="minorBidi"/>
          <w:color w:val="000000"/>
          <w:szCs w:val="22"/>
        </w:rPr>
        <w:t xml:space="preserve"> </w:t>
      </w:r>
    </w:p>
    <w:p w14:paraId="01324D5F" w14:textId="24B48B1D" w:rsidR="0055022C" w:rsidRDefault="0055022C" w:rsidP="0039341A">
      <w:pPr>
        <w:pStyle w:val="Bezriadkovania"/>
        <w:spacing w:after="120"/>
        <w:jc w:val="both"/>
        <w:rPr>
          <w:rFonts w:eastAsiaTheme="minorHAnsi"/>
          <w:szCs w:val="22"/>
        </w:rPr>
      </w:pPr>
      <w:r w:rsidRPr="00E26422">
        <w:rPr>
          <w:rFonts w:eastAsiaTheme="minorHAnsi" w:cstheme="minorBidi"/>
          <w:b/>
          <w:color w:val="000000"/>
          <w:szCs w:val="22"/>
        </w:rPr>
        <w:t>V roku 2019 bol schválený rozpočet prostriedkov EÚ a spolufinancovania vo výške 35 485 tis. eur.</w:t>
      </w:r>
      <w:r>
        <w:rPr>
          <w:rFonts w:eastAsiaTheme="minorHAnsi" w:cstheme="minorBidi"/>
          <w:color w:val="000000"/>
          <w:szCs w:val="22"/>
        </w:rPr>
        <w:t xml:space="preserve"> K 30. 6. 2019 sa navýšil na 909 776 tis. eur a </w:t>
      </w:r>
      <w:r w:rsidRPr="00E26422">
        <w:rPr>
          <w:rFonts w:eastAsiaTheme="minorHAnsi" w:cstheme="minorBidi"/>
          <w:b/>
          <w:color w:val="000000"/>
          <w:szCs w:val="22"/>
        </w:rPr>
        <w:t>nakoniec sa do konca roka vyčerpalo 323 510 tis. eur.</w:t>
      </w:r>
      <w:r>
        <w:rPr>
          <w:rFonts w:eastAsiaTheme="minorHAnsi" w:cstheme="minorBidi"/>
          <w:color w:val="000000"/>
          <w:szCs w:val="22"/>
        </w:rPr>
        <w:t xml:space="preserve"> </w:t>
      </w:r>
      <w:r w:rsidRPr="002B7CCC">
        <w:rPr>
          <w:rFonts w:eastAsiaTheme="minorHAnsi"/>
          <w:b/>
          <w:szCs w:val="22"/>
        </w:rPr>
        <w:t xml:space="preserve">Závislosť </w:t>
      </w:r>
      <w:r w:rsidR="001446D8">
        <w:rPr>
          <w:rFonts w:eastAsiaTheme="minorHAnsi"/>
          <w:b/>
          <w:szCs w:val="22"/>
        </w:rPr>
        <w:t>od</w:t>
      </w:r>
      <w:r w:rsidRPr="002B7CCC">
        <w:rPr>
          <w:rFonts w:eastAsiaTheme="minorHAnsi"/>
          <w:b/>
          <w:szCs w:val="22"/>
        </w:rPr>
        <w:t xml:space="preserve"> čerpan</w:t>
      </w:r>
      <w:r w:rsidR="001446D8">
        <w:rPr>
          <w:rFonts w:eastAsiaTheme="minorHAnsi"/>
          <w:b/>
          <w:szCs w:val="22"/>
        </w:rPr>
        <w:t>ia</w:t>
      </w:r>
      <w:r w:rsidRPr="002B7CCC">
        <w:rPr>
          <w:rFonts w:eastAsiaTheme="minorHAnsi"/>
          <w:b/>
          <w:szCs w:val="22"/>
        </w:rPr>
        <w:t xml:space="preserve"> prostriedkov EÚ je</w:t>
      </w:r>
      <w:r>
        <w:rPr>
          <w:rFonts w:eastAsiaTheme="minorHAnsi"/>
          <w:b/>
          <w:szCs w:val="22"/>
        </w:rPr>
        <w:t xml:space="preserve"> stále</w:t>
      </w:r>
      <w:r w:rsidRPr="002B7CCC">
        <w:rPr>
          <w:rFonts w:eastAsiaTheme="minorHAnsi"/>
          <w:b/>
          <w:szCs w:val="22"/>
        </w:rPr>
        <w:t xml:space="preserve"> príliš vysoká.</w:t>
      </w:r>
      <w:r w:rsidRPr="002B7CCC">
        <w:rPr>
          <w:rFonts w:eastAsiaTheme="minorHAnsi"/>
          <w:szCs w:val="22"/>
        </w:rPr>
        <w:t xml:space="preserve"> Veľká časť finan</w:t>
      </w:r>
      <w:r>
        <w:rPr>
          <w:rFonts w:eastAsiaTheme="minorHAnsi"/>
          <w:szCs w:val="22"/>
        </w:rPr>
        <w:t>covania modernizácie a výstavby</w:t>
      </w:r>
      <w:r w:rsidRPr="002B7CCC">
        <w:rPr>
          <w:rFonts w:eastAsiaTheme="minorHAnsi"/>
          <w:szCs w:val="22"/>
        </w:rPr>
        <w:t xml:space="preserve"> diaľnic, ciest či železníc je prenášaná na vrub prostriedkov z EÚ a len minimum ide zo ŠR (z neho sa zabezpečuje skôr bežný chod kapitoly). </w:t>
      </w:r>
    </w:p>
    <w:p w14:paraId="34BFB027" w14:textId="77777777" w:rsidR="00D52FBD" w:rsidRDefault="00D52FBD" w:rsidP="0039341A">
      <w:pPr>
        <w:pStyle w:val="Bezriadkovania"/>
        <w:spacing w:after="120"/>
        <w:jc w:val="both"/>
        <w:rPr>
          <w:rFonts w:eastAsiaTheme="minorHAnsi"/>
          <w:szCs w:val="22"/>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5022C" w:rsidRPr="002B7CCC" w14:paraId="7A0C40BC" w14:textId="77777777" w:rsidTr="008048E7">
        <w:trPr>
          <w:trHeight w:val="211"/>
        </w:trPr>
        <w:tc>
          <w:tcPr>
            <w:tcW w:w="5000" w:type="pct"/>
            <w:tcBorders>
              <w:top w:val="single" w:sz="4" w:space="0" w:color="auto"/>
              <w:bottom w:val="single" w:sz="4" w:space="0" w:color="auto"/>
            </w:tcBorders>
            <w:shd w:val="clear" w:color="auto" w:fill="0070C0"/>
          </w:tcPr>
          <w:p w14:paraId="01CEEAA4" w14:textId="7A3EF80F" w:rsidR="0055022C" w:rsidRPr="002B7CCC" w:rsidRDefault="00CD2D36" w:rsidP="002E55A3">
            <w:pPr>
              <w:pStyle w:val="Bezriadkovania"/>
              <w:contextualSpacing/>
              <w:rPr>
                <w:b/>
                <w:szCs w:val="22"/>
              </w:rPr>
            </w:pPr>
            <w:r>
              <w:rPr>
                <w:b/>
                <w:color w:val="FFFFFF" w:themeColor="background1"/>
                <w:szCs w:val="22"/>
              </w:rPr>
              <w:t>Graf 2</w:t>
            </w:r>
            <w:r w:rsidR="00702EEB">
              <w:rPr>
                <w:b/>
                <w:color w:val="FFFFFF" w:themeColor="background1"/>
                <w:szCs w:val="22"/>
              </w:rPr>
              <w:t>5</w:t>
            </w:r>
            <w:r>
              <w:rPr>
                <w:b/>
                <w:color w:val="FFFFFF" w:themeColor="background1"/>
                <w:szCs w:val="22"/>
              </w:rPr>
              <w:t xml:space="preserve">: </w:t>
            </w:r>
            <w:r w:rsidR="0055022C" w:rsidRPr="002B7CCC">
              <w:rPr>
                <w:b/>
                <w:color w:val="FFFFFF" w:themeColor="background1"/>
                <w:szCs w:val="22"/>
              </w:rPr>
              <w:t>Podiel čerpania</w:t>
            </w:r>
            <w:r w:rsidR="0055022C">
              <w:rPr>
                <w:b/>
                <w:color w:val="FFFFFF" w:themeColor="background1"/>
                <w:szCs w:val="22"/>
              </w:rPr>
              <w:t xml:space="preserve"> </w:t>
            </w:r>
            <w:r w:rsidR="0055022C" w:rsidRPr="002B7CCC">
              <w:rPr>
                <w:b/>
                <w:color w:val="FFFFFF" w:themeColor="background1"/>
                <w:szCs w:val="22"/>
              </w:rPr>
              <w:t>prioritných osí v</w:t>
            </w:r>
            <w:r w:rsidR="005C7572">
              <w:rPr>
                <w:b/>
                <w:color w:val="FFFFFF" w:themeColor="background1"/>
                <w:szCs w:val="22"/>
              </w:rPr>
              <w:t> rámci OPII na celkovej alokácii</w:t>
            </w:r>
            <w:r w:rsidR="0055022C" w:rsidRPr="002B7CCC">
              <w:rPr>
                <w:b/>
                <w:color w:val="FFFFFF" w:themeColor="background1"/>
                <w:szCs w:val="22"/>
              </w:rPr>
              <w:t xml:space="preserve"> </w:t>
            </w:r>
            <w:r w:rsidR="005C7572">
              <w:rPr>
                <w:b/>
                <w:color w:val="FFFFFF" w:themeColor="background1"/>
                <w:szCs w:val="22"/>
              </w:rPr>
              <w:t>v rokoch 2018 a 2019</w:t>
            </w:r>
          </w:p>
        </w:tc>
      </w:tr>
      <w:tr w:rsidR="0055022C" w:rsidRPr="002B7CCC" w14:paraId="340C7A30" w14:textId="77777777" w:rsidTr="008048E7">
        <w:tblPrEx>
          <w:tblCellMar>
            <w:left w:w="70" w:type="dxa"/>
            <w:right w:w="70" w:type="dxa"/>
          </w:tblCellMar>
        </w:tblPrEx>
        <w:trPr>
          <w:trHeight w:val="3135"/>
        </w:trPr>
        <w:tc>
          <w:tcPr>
            <w:tcW w:w="5000" w:type="pct"/>
            <w:tcBorders>
              <w:top w:val="single" w:sz="4" w:space="0" w:color="auto"/>
              <w:bottom w:val="single" w:sz="4" w:space="0" w:color="auto"/>
            </w:tcBorders>
          </w:tcPr>
          <w:p w14:paraId="431C699D" w14:textId="435007A7" w:rsidR="0055022C" w:rsidRPr="002B7CCC" w:rsidRDefault="00D70902" w:rsidP="00CA4572">
            <w:pPr>
              <w:pStyle w:val="Bezriadkovania"/>
              <w:contextualSpacing/>
            </w:pPr>
            <w:r w:rsidRPr="002B7CCC">
              <w:rPr>
                <w:rFonts w:ascii="Calibri" w:hAnsi="Calibri"/>
                <w:noProof/>
              </w:rPr>
              <w:drawing>
                <wp:inline distT="0" distB="0" distL="0" distR="0" wp14:anchorId="704275D8" wp14:editId="4928B2ED">
                  <wp:extent cx="5890260" cy="2156460"/>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14:paraId="5DB84838" w14:textId="77777777" w:rsidR="0055022C" w:rsidRPr="008B0098" w:rsidRDefault="0055022C" w:rsidP="00CA4572">
      <w:pPr>
        <w:pStyle w:val="Bezriadkovania"/>
        <w:rPr>
          <w:rFonts w:eastAsiaTheme="minorHAnsi"/>
          <w:i/>
          <w:sz w:val="18"/>
          <w:szCs w:val="22"/>
        </w:rPr>
      </w:pPr>
      <w:r w:rsidRPr="008B0098">
        <w:rPr>
          <w:rFonts w:eastAsiaTheme="minorHAnsi"/>
          <w:i/>
          <w:sz w:val="18"/>
          <w:szCs w:val="22"/>
        </w:rPr>
        <w:t>Zdroj: MF SR</w:t>
      </w:r>
    </w:p>
    <w:p w14:paraId="4A677D03" w14:textId="499AF68D" w:rsidR="0055022C" w:rsidRPr="002B7CCC" w:rsidRDefault="0055022C" w:rsidP="00CA4572">
      <w:pPr>
        <w:spacing w:before="120" w:after="120"/>
        <w:jc w:val="both"/>
        <w:rPr>
          <w:rFonts w:eastAsia="Calibri" w:cs="Times New Roman"/>
        </w:rPr>
      </w:pPr>
      <w:r w:rsidRPr="002B7CCC">
        <w:rPr>
          <w:rFonts w:eastAsia="Calibri" w:cs="Times New Roman"/>
          <w:color w:val="000000"/>
          <w:lang w:eastAsia="sk-SK"/>
        </w:rPr>
        <w:t xml:space="preserve">NKÚ SR </w:t>
      </w:r>
      <w:r w:rsidR="005C7572">
        <w:rPr>
          <w:rFonts w:eastAsia="Calibri" w:cs="Times New Roman"/>
          <w:color w:val="000000"/>
          <w:lang w:eastAsia="sk-SK"/>
        </w:rPr>
        <w:t xml:space="preserve">sa </w:t>
      </w:r>
      <w:r w:rsidRPr="002B7CCC">
        <w:rPr>
          <w:rFonts w:eastAsia="Calibri" w:cs="Times New Roman"/>
          <w:color w:val="000000"/>
          <w:lang w:eastAsia="sk-SK"/>
        </w:rPr>
        <w:t>v</w:t>
      </w:r>
      <w:r w:rsidR="005C7572">
        <w:rPr>
          <w:rFonts w:eastAsia="Calibri" w:cs="Times New Roman"/>
          <w:color w:val="000000"/>
          <w:lang w:eastAsia="sk-SK"/>
        </w:rPr>
        <w:t> </w:t>
      </w:r>
      <w:r w:rsidRPr="002B7CCC">
        <w:rPr>
          <w:rFonts w:eastAsia="Calibri" w:cs="Times New Roman"/>
          <w:color w:val="000000"/>
          <w:lang w:eastAsia="sk-SK"/>
        </w:rPr>
        <w:t>rámci</w:t>
      </w:r>
      <w:r w:rsidR="005C7572">
        <w:rPr>
          <w:rFonts w:eastAsia="Calibri" w:cs="Times New Roman"/>
          <w:color w:val="000000"/>
          <w:lang w:eastAsia="sk-SK"/>
        </w:rPr>
        <w:t xml:space="preserve"> rýchlej</w:t>
      </w:r>
      <w:r w:rsidRPr="002B7CCC">
        <w:rPr>
          <w:rFonts w:eastAsia="Calibri" w:cs="Times New Roman"/>
          <w:color w:val="000000"/>
          <w:lang w:eastAsia="sk-SK"/>
        </w:rPr>
        <w:t xml:space="preserve"> kontroly na rezorte dopravy </w:t>
      </w:r>
      <w:r w:rsidR="005C7572">
        <w:rPr>
          <w:rFonts w:eastAsia="Calibri" w:cs="Times New Roman"/>
          <w:color w:val="000000"/>
          <w:lang w:eastAsia="sk-SK"/>
        </w:rPr>
        <w:t>zameral</w:t>
      </w:r>
      <w:r w:rsidRPr="002B7CCC">
        <w:rPr>
          <w:rFonts w:eastAsia="Calibri" w:cs="Times New Roman"/>
          <w:color w:val="000000"/>
          <w:lang w:eastAsia="sk-SK"/>
        </w:rPr>
        <w:t xml:space="preserve"> aj na posúdenie kvality vybraných merateľných ukazovateľov v rámci programovej</w:t>
      </w:r>
      <w:r>
        <w:rPr>
          <w:rFonts w:eastAsia="Calibri" w:cs="Times New Roman"/>
          <w:color w:val="000000"/>
          <w:lang w:eastAsia="sk-SK"/>
        </w:rPr>
        <w:t xml:space="preserve"> štruktúry</w:t>
      </w:r>
      <w:r w:rsidRPr="002B7CCC">
        <w:rPr>
          <w:rFonts w:eastAsia="Calibri" w:cs="Times New Roman"/>
          <w:color w:val="000000"/>
          <w:lang w:eastAsia="sk-SK"/>
        </w:rPr>
        <w:t>.</w:t>
      </w:r>
      <w:r w:rsidR="002A35EF">
        <w:rPr>
          <w:rFonts w:eastAsia="Calibri" w:cs="Times New Roman"/>
          <w:color w:val="000000"/>
          <w:lang w:eastAsia="sk-SK"/>
        </w:rPr>
        <w:t xml:space="preserve"> </w:t>
      </w:r>
      <w:r w:rsidR="002A35EF" w:rsidRPr="002A35EF">
        <w:rPr>
          <w:rFonts w:eastAsia="Calibri" w:cs="Times New Roman"/>
          <w:b/>
          <w:color w:val="000000"/>
          <w:lang w:eastAsia="sk-SK"/>
        </w:rPr>
        <w:t>Predmetom kontroly boli</w:t>
      </w:r>
      <w:r w:rsidRPr="00326081">
        <w:rPr>
          <w:rFonts w:eastAsia="Calibri" w:cs="Times New Roman"/>
          <w:b/>
        </w:rPr>
        <w:t xml:space="preserve"> najdôležitejšie prvky v rámci programovej štruktúry z každej významnej oblasti rezortu – cestná infraštruktúra, železničná infraštruktúra a</w:t>
      </w:r>
      <w:r w:rsidR="001446D8">
        <w:rPr>
          <w:rFonts w:eastAsia="Calibri" w:cs="Times New Roman"/>
          <w:b/>
        </w:rPr>
        <w:t> </w:t>
      </w:r>
      <w:r w:rsidRPr="00326081">
        <w:rPr>
          <w:rFonts w:eastAsia="Calibri" w:cs="Times New Roman"/>
          <w:b/>
        </w:rPr>
        <w:t>OPII</w:t>
      </w:r>
      <w:r w:rsidR="001446D8">
        <w:rPr>
          <w:rFonts w:eastAsia="Calibri" w:cs="Times New Roman"/>
          <w:b/>
        </w:rPr>
        <w:t>,</w:t>
      </w:r>
      <w:r w:rsidRPr="002B7CCC">
        <w:rPr>
          <w:rFonts w:eastAsia="Calibri" w:cs="Times New Roman"/>
        </w:rPr>
        <w:t xml:space="preserve"> </w:t>
      </w:r>
      <w:r w:rsidRPr="00326081">
        <w:rPr>
          <w:rFonts w:eastAsia="Calibri" w:cs="Times New Roman"/>
          <w:b/>
        </w:rPr>
        <w:t>a</w:t>
      </w:r>
      <w:r w:rsidR="001446D8">
        <w:rPr>
          <w:rFonts w:eastAsia="Calibri" w:cs="Times New Roman"/>
          <w:b/>
        </w:rPr>
        <w:t>j</w:t>
      </w:r>
      <w:r w:rsidRPr="00326081">
        <w:rPr>
          <w:rFonts w:eastAsia="Calibri" w:cs="Times New Roman"/>
          <w:b/>
        </w:rPr>
        <w:t> plnenie merateľných ukazovateľov v týchto prvko</w:t>
      </w:r>
      <w:r w:rsidR="003A0142">
        <w:rPr>
          <w:rFonts w:eastAsia="Calibri" w:cs="Times New Roman"/>
          <w:b/>
        </w:rPr>
        <w:t>ch</w:t>
      </w:r>
      <w:r w:rsidRPr="00326081">
        <w:rPr>
          <w:rFonts w:eastAsia="Calibri" w:cs="Times New Roman"/>
          <w:b/>
        </w:rPr>
        <w:t>.</w:t>
      </w:r>
      <w:r w:rsidRPr="002B7CCC">
        <w:rPr>
          <w:rFonts w:eastAsia="Calibri" w:cs="Times New Roman"/>
        </w:rPr>
        <w:t xml:space="preserve"> Je nutné podotknúť, že predovšetkým pri prvkoch spadajúcich pod program OPII nebolo možné za rok 2019 vyhodnotiť plány, </w:t>
      </w:r>
      <w:r w:rsidR="001446D8">
        <w:rPr>
          <w:rFonts w:eastAsia="Calibri" w:cs="Times New Roman"/>
        </w:rPr>
        <w:t>pretože</w:t>
      </w:r>
      <w:r w:rsidRPr="002B7CCC">
        <w:rPr>
          <w:rFonts w:eastAsia="Calibri" w:cs="Times New Roman"/>
        </w:rPr>
        <w:t xml:space="preserve"> v tomto prípade sa nestanovujú každoročne, ale v dlhšom h</w:t>
      </w:r>
      <w:r>
        <w:rPr>
          <w:rFonts w:eastAsia="Calibri" w:cs="Times New Roman"/>
        </w:rPr>
        <w:t>orizonte. V tomto prípade sa</w:t>
      </w:r>
      <w:r w:rsidRPr="002B7CCC">
        <w:rPr>
          <w:rFonts w:eastAsia="Calibri" w:cs="Times New Roman"/>
        </w:rPr>
        <w:t xml:space="preserve"> analyzovalo</w:t>
      </w:r>
      <w:r>
        <w:rPr>
          <w:rFonts w:eastAsia="Calibri" w:cs="Times New Roman"/>
        </w:rPr>
        <w:t xml:space="preserve"> iba</w:t>
      </w:r>
      <w:r w:rsidRPr="002B7CCC">
        <w:rPr>
          <w:rFonts w:eastAsia="Calibri" w:cs="Times New Roman"/>
        </w:rPr>
        <w:t xml:space="preserve"> riziko naplnenia</w:t>
      </w:r>
      <w:r w:rsidR="001446D8">
        <w:rPr>
          <w:rFonts w:eastAsia="Calibri" w:cs="Times New Roman"/>
        </w:rPr>
        <w:t>/</w:t>
      </w:r>
      <w:r w:rsidRPr="002B7CCC">
        <w:rPr>
          <w:rFonts w:eastAsia="Calibri" w:cs="Times New Roman"/>
        </w:rPr>
        <w:t>nenaplnenia daného plánu v budúcnosti. Na iných prvkoch boli nastavené aj čiastkové plány, ktoré sa mali splniť v roku 2018</w:t>
      </w:r>
      <w:r w:rsidR="001446D8">
        <w:rPr>
          <w:rFonts w:eastAsia="Calibri" w:cs="Times New Roman"/>
        </w:rPr>
        <w:t>,</w:t>
      </w:r>
      <w:r w:rsidRPr="002B7CCC">
        <w:rPr>
          <w:rFonts w:eastAsia="Calibri" w:cs="Times New Roman"/>
        </w:rPr>
        <w:t xml:space="preserve"> </w:t>
      </w:r>
      <w:r w:rsidR="001446D8">
        <w:rPr>
          <w:rFonts w:eastAsia="Calibri" w:cs="Times New Roman"/>
        </w:rPr>
        <w:t>no</w:t>
      </w:r>
      <w:r w:rsidRPr="002B7CCC">
        <w:rPr>
          <w:rFonts w:eastAsia="Calibri" w:cs="Times New Roman"/>
        </w:rPr>
        <w:t> keďže sa tak nestalo, naplneni</w:t>
      </w:r>
      <w:r>
        <w:rPr>
          <w:rFonts w:eastAsia="Calibri" w:cs="Times New Roman"/>
        </w:rPr>
        <w:t>e sa posunulo na ďalšie obdobie.</w:t>
      </w:r>
    </w:p>
    <w:p w14:paraId="578C8E2D" w14:textId="0348A23F" w:rsidR="00407144" w:rsidRPr="007534CE" w:rsidRDefault="0055022C" w:rsidP="007534CE">
      <w:pPr>
        <w:spacing w:before="120" w:after="120"/>
        <w:jc w:val="both"/>
        <w:rPr>
          <w:rFonts w:eastAsia="Calibri" w:cs="Times New Roman"/>
        </w:rPr>
      </w:pPr>
      <w:r w:rsidRPr="002F6D22">
        <w:rPr>
          <w:rFonts w:eastAsia="Calibri" w:cs="Times New Roman"/>
        </w:rPr>
        <w:t xml:space="preserve">Aj napriek tomu, že </w:t>
      </w:r>
      <w:r w:rsidRPr="002F6D22">
        <w:rPr>
          <w:rFonts w:eastAsia="Calibri" w:cs="Times New Roman"/>
          <w:color w:val="000000"/>
          <w:lang w:eastAsia="sk-SK"/>
        </w:rPr>
        <w:t xml:space="preserve">monitorovacia správa programovej štruktúry MDV SR za </w:t>
      </w:r>
      <w:r w:rsidR="000C187F" w:rsidRPr="002F6D22">
        <w:rPr>
          <w:rFonts w:eastAsia="Calibri" w:cs="Times New Roman"/>
          <w:color w:val="000000"/>
          <w:lang w:eastAsia="sk-SK"/>
        </w:rPr>
        <w:t>rok 2019</w:t>
      </w:r>
      <w:r w:rsidRPr="002F6D22">
        <w:rPr>
          <w:rFonts w:eastAsia="Calibri" w:cs="Times New Roman"/>
          <w:color w:val="000000"/>
          <w:lang w:eastAsia="sk-SK"/>
        </w:rPr>
        <w:t xml:space="preserve"> bola vypracovaná v súlade s Metodickým pokynom MF SR na usmernenie programového rozpočtovania, </w:t>
      </w:r>
      <w:r w:rsidRPr="002F6D22">
        <w:rPr>
          <w:rFonts w:eastAsia="Calibri" w:cs="Times New Roman"/>
          <w:b/>
          <w:color w:val="000000"/>
          <w:lang w:eastAsia="sk-SK"/>
        </w:rPr>
        <w:t>nie všetky stanovené plány sa podarilo naplniť</w:t>
      </w:r>
      <w:r w:rsidRPr="002F6D22">
        <w:rPr>
          <w:rFonts w:eastAsia="Calibri" w:cs="Times New Roman"/>
          <w:color w:val="000000"/>
          <w:lang w:eastAsia="sk-SK"/>
        </w:rPr>
        <w:t>.</w:t>
      </w:r>
      <w:r w:rsidR="002F6D22">
        <w:rPr>
          <w:rFonts w:eastAsia="Calibri" w:cs="Times New Roman"/>
          <w:color w:val="000000"/>
          <w:lang w:eastAsia="sk-SK"/>
        </w:rPr>
        <w:t xml:space="preserve"> </w:t>
      </w:r>
      <w:r w:rsidRPr="002B7CCC">
        <w:rPr>
          <w:rFonts w:eastAsia="Calibri" w:cs="Times New Roman"/>
        </w:rPr>
        <w:t xml:space="preserve">Celkovo bolo posúdených 13 cieľov, z toho </w:t>
      </w:r>
      <w:r w:rsidR="001446D8">
        <w:rPr>
          <w:rFonts w:eastAsia="Calibri" w:cs="Times New Roman"/>
        </w:rPr>
        <w:t>pri</w:t>
      </w:r>
      <w:r w:rsidRPr="002B7CCC">
        <w:rPr>
          <w:rFonts w:eastAsia="Calibri" w:cs="Times New Roman"/>
        </w:rPr>
        <w:t xml:space="preserve"> 7 boli plány splnené, </w:t>
      </w:r>
      <w:r w:rsidR="001446D8">
        <w:rPr>
          <w:rFonts w:eastAsia="Calibri" w:cs="Times New Roman"/>
        </w:rPr>
        <w:t>pri</w:t>
      </w:r>
      <w:r w:rsidRPr="002B7CCC">
        <w:rPr>
          <w:rFonts w:eastAsia="Calibri" w:cs="Times New Roman"/>
        </w:rPr>
        <w:t xml:space="preserve"> 2 nesplnené a v 4 prípadoch sa v roku 2019 nedali </w:t>
      </w:r>
      <w:r w:rsidR="001446D8">
        <w:rPr>
          <w:rFonts w:eastAsia="Calibri" w:cs="Times New Roman"/>
        </w:rPr>
        <w:t>vy</w:t>
      </w:r>
      <w:r w:rsidRPr="002B7CCC">
        <w:rPr>
          <w:rFonts w:eastAsia="Calibri" w:cs="Times New Roman"/>
        </w:rPr>
        <w:t xml:space="preserve">hodnotiť. </w:t>
      </w:r>
      <w:r w:rsidRPr="002F6D22">
        <w:rPr>
          <w:rFonts w:eastAsia="Calibri" w:cs="Times New Roman"/>
          <w:b/>
        </w:rPr>
        <w:t>Dôležité v tomto prípade však nie sú ani tak počty splnených a nesplnených plánov, ale skôr ich nastavenie. Mnohé sú už pri plánovaní poddimenzované a je preto veľmi jednoduché ich naplniť.</w:t>
      </w:r>
      <w:r w:rsidRPr="002B7CCC">
        <w:rPr>
          <w:rFonts w:eastAsia="Calibri" w:cs="Times New Roman"/>
        </w:rPr>
        <w:t xml:space="preserve"> Príkladom je prvok v rámci cestnej siete, kde bol plán na rok 2019 odovzdať 1 km nových a zrekonštruovaných ciest I. triedy, alebo v prípade modernizácie a rozvoja železničnej dopravnej cesty podporiť iba 1 projekt. Je evidentné, že naplnenie takého plánu je potom veľmi jednoduché. Takto neambiciózne nastavené plány </w:t>
      </w:r>
      <w:r w:rsidR="001446D8">
        <w:rPr>
          <w:rFonts w:eastAsia="Calibri" w:cs="Times New Roman"/>
        </w:rPr>
        <w:t>mnoh</w:t>
      </w:r>
      <w:r w:rsidRPr="002B7CCC">
        <w:rPr>
          <w:rFonts w:eastAsia="Calibri" w:cs="Times New Roman"/>
        </w:rPr>
        <w:t xml:space="preserve">okrát neodrážajú realitu, ktorá najmä v prípade kvality ciest I. triedy alebo železničnej cesty podľa dostupných údajov nie je v uspokojivom stave. </w:t>
      </w:r>
      <w:r w:rsidRPr="002B7CCC">
        <w:t>Druhý extrém sú nadhodnotené plány, ktoré neodrážajú finančné ani časové možnosti MDV SR a jeho podriadených organizácií.</w:t>
      </w:r>
      <w:r w:rsidR="00AD3B6F">
        <w:t xml:space="preserve"> </w:t>
      </w:r>
      <w:r w:rsidR="008B0098" w:rsidRPr="008B0098">
        <w:t>V</w:t>
      </w:r>
      <w:r w:rsidRPr="008B0098">
        <w:t>ybran</w:t>
      </w:r>
      <w:r w:rsidR="008B0098" w:rsidRPr="008B0098">
        <w:t>é</w:t>
      </w:r>
      <w:r w:rsidRPr="008B0098">
        <w:t xml:space="preserve"> merateľn</w:t>
      </w:r>
      <w:r w:rsidR="008B0098" w:rsidRPr="008B0098">
        <w:t>é</w:t>
      </w:r>
      <w:r w:rsidRPr="008B0098">
        <w:t xml:space="preserve"> ukazovate</w:t>
      </w:r>
      <w:r w:rsidR="008B0098" w:rsidRPr="008B0098">
        <w:t>le</w:t>
      </w:r>
      <w:r w:rsidRPr="008B0098">
        <w:t xml:space="preserve"> s jednotlivými plánmi a ich plnením, ktoré sú spomínané v texte </w:t>
      </w:r>
      <w:r w:rsidR="001446D8">
        <w:t>ďalej</w:t>
      </w:r>
      <w:r w:rsidRPr="008B0098">
        <w:t xml:space="preserve">, </w:t>
      </w:r>
      <w:r w:rsidR="008B0098" w:rsidRPr="008B0098">
        <w:t>sú</w:t>
      </w:r>
      <w:r w:rsidRPr="008B0098">
        <w:t xml:space="preserve"> uveden</w:t>
      </w:r>
      <w:r w:rsidR="008B0098" w:rsidRPr="008B0098">
        <w:t>é</w:t>
      </w:r>
      <w:r w:rsidRPr="008B0098">
        <w:t xml:space="preserve"> </w:t>
      </w:r>
      <w:r w:rsidR="008B0098" w:rsidRPr="008B0098">
        <w:t>v Tabuľke</w:t>
      </w:r>
      <w:r w:rsidRPr="008B0098">
        <w:t xml:space="preserve"> </w:t>
      </w:r>
      <w:r w:rsidR="0039341A">
        <w:t>9</w:t>
      </w:r>
      <w:r w:rsidR="008B0098">
        <w:t xml:space="preserve"> </w:t>
      </w:r>
      <w:r w:rsidR="008B0098" w:rsidRPr="008B0098">
        <w:t>v Prílohe</w:t>
      </w:r>
      <w:r w:rsidRPr="008B0098">
        <w:t>.</w:t>
      </w:r>
      <w:r>
        <w:t xml:space="preserve"> </w:t>
      </w:r>
      <w:bookmarkStart w:id="56" w:name="_Toc42768888"/>
      <w:bookmarkEnd w:id="56"/>
    </w:p>
    <w:p w14:paraId="294D3F0A" w14:textId="7832FFCF" w:rsidR="0055022C" w:rsidRPr="00A13819" w:rsidRDefault="0055022C" w:rsidP="007534CE">
      <w:pPr>
        <w:pStyle w:val="Nadpis3"/>
        <w:numPr>
          <w:ilvl w:val="2"/>
          <w:numId w:val="23"/>
        </w:numPr>
      </w:pPr>
      <w:bookmarkStart w:id="57" w:name="_Toc43218085"/>
      <w:r w:rsidRPr="00A13819">
        <w:t>Cestná doprava</w:t>
      </w:r>
      <w:bookmarkEnd w:id="57"/>
    </w:p>
    <w:p w14:paraId="06C60A5C" w14:textId="77777777" w:rsidR="0055022C" w:rsidRPr="002B7CCC" w:rsidRDefault="0055022C" w:rsidP="00CA4572">
      <w:pPr>
        <w:spacing w:before="120" w:after="120"/>
        <w:rPr>
          <w:b/>
        </w:rPr>
      </w:pPr>
      <w:r w:rsidRPr="002B7CCC">
        <w:rPr>
          <w:b/>
        </w:rPr>
        <w:t>Diaľnice a rýchlostné cesty</w:t>
      </w:r>
    </w:p>
    <w:p w14:paraId="7688145E" w14:textId="32748EA0" w:rsidR="0055022C" w:rsidRPr="002B7CCC" w:rsidRDefault="0055022C" w:rsidP="00F21A98">
      <w:pPr>
        <w:pStyle w:val="Bezriadkovania"/>
        <w:spacing w:before="120" w:after="120"/>
        <w:jc w:val="both"/>
        <w:rPr>
          <w:rFonts w:eastAsiaTheme="minorHAnsi"/>
          <w:szCs w:val="22"/>
        </w:rPr>
      </w:pPr>
      <w:r w:rsidRPr="002B7CCC">
        <w:rPr>
          <w:rFonts w:eastAsiaTheme="minorHAnsi"/>
          <w:szCs w:val="22"/>
        </w:rPr>
        <w:t xml:space="preserve">Diaľničná mapa SR sa síce v roku 2019 rozšírila, </w:t>
      </w:r>
      <w:r w:rsidR="00CF3E6D">
        <w:rPr>
          <w:rFonts w:eastAsiaTheme="minorHAnsi"/>
          <w:szCs w:val="22"/>
        </w:rPr>
        <w:t>ale od splnenia</w:t>
      </w:r>
      <w:r w:rsidRPr="002B7CCC">
        <w:rPr>
          <w:rFonts w:eastAsiaTheme="minorHAnsi"/>
          <w:szCs w:val="22"/>
        </w:rPr>
        <w:t xml:space="preserve"> cieľov </w:t>
      </w:r>
      <w:r w:rsidR="00CF3E6D">
        <w:rPr>
          <w:rFonts w:eastAsiaTheme="minorHAnsi"/>
          <w:szCs w:val="22"/>
        </w:rPr>
        <w:t>je to veľmi ďaleko</w:t>
      </w:r>
      <w:r w:rsidRPr="002B7CCC">
        <w:rPr>
          <w:rFonts w:eastAsiaTheme="minorHAnsi"/>
          <w:szCs w:val="22"/>
        </w:rPr>
        <w:t>. Pozitívne je</w:t>
      </w:r>
      <w:r>
        <w:rPr>
          <w:rFonts w:eastAsiaTheme="minorHAnsi"/>
          <w:szCs w:val="22"/>
        </w:rPr>
        <w:t>,</w:t>
      </w:r>
      <w:r w:rsidRPr="002B7CCC">
        <w:rPr>
          <w:rFonts w:eastAsiaTheme="minorHAnsi"/>
          <w:szCs w:val="22"/>
        </w:rPr>
        <w:t xml:space="preserve"> že po </w:t>
      </w:r>
      <w:r w:rsidR="001446D8">
        <w:rPr>
          <w:rFonts w:eastAsiaTheme="minorHAnsi"/>
          <w:szCs w:val="22"/>
        </w:rPr>
        <w:t>dvoch</w:t>
      </w:r>
      <w:r w:rsidRPr="002B7CCC">
        <w:rPr>
          <w:rFonts w:eastAsiaTheme="minorHAnsi"/>
          <w:szCs w:val="22"/>
        </w:rPr>
        <w:t xml:space="preserve"> rokoch stagnovania</w:t>
      </w:r>
      <w:r w:rsidR="002F6D22">
        <w:rPr>
          <w:rFonts w:eastAsiaTheme="minorHAnsi"/>
          <w:szCs w:val="22"/>
        </w:rPr>
        <w:t>,</w:t>
      </w:r>
      <w:r w:rsidRPr="002B7CCC">
        <w:rPr>
          <w:rFonts w:eastAsiaTheme="minorHAnsi"/>
          <w:szCs w:val="22"/>
        </w:rPr>
        <w:t xml:space="preserve"> kedy nebol otvorený žiaden diaľničný úsek, priniesol rok 2019 otvorenie aspoň jedného</w:t>
      </w:r>
      <w:r w:rsidR="0006081E">
        <w:rPr>
          <w:rFonts w:eastAsiaTheme="minorHAnsi"/>
          <w:szCs w:val="22"/>
        </w:rPr>
        <w:t xml:space="preserve"> (financovaný prostredníctvom fondov EÚ)</w:t>
      </w:r>
      <w:r w:rsidRPr="002B7CCC">
        <w:rPr>
          <w:rFonts w:eastAsiaTheme="minorHAnsi"/>
          <w:szCs w:val="22"/>
        </w:rPr>
        <w:t xml:space="preserve">. NKÚ SR konštatuje, že cieľ z programového vyhlásenia vlády o zachovaní vysokého tempa výstavby D a RC sa nepodarilo naplniť. Najväčší cieľ – prepojiť Bratislavu s Košicami súvislou diaľnicou sa nepodarilo dokončiť ani v roku 2019. </w:t>
      </w:r>
    </w:p>
    <w:p w14:paraId="5D825165" w14:textId="07389A05" w:rsidR="0055022C" w:rsidRPr="002B7CCC" w:rsidRDefault="0055022C" w:rsidP="00F21A98">
      <w:pPr>
        <w:pStyle w:val="Bezriadkovania"/>
        <w:spacing w:before="120" w:after="120"/>
        <w:jc w:val="both"/>
        <w:rPr>
          <w:rFonts w:eastAsiaTheme="minorHAnsi"/>
          <w:szCs w:val="22"/>
        </w:rPr>
      </w:pPr>
      <w:r w:rsidRPr="002B7CCC">
        <w:rPr>
          <w:rFonts w:eastAsiaTheme="minorHAnsi"/>
          <w:szCs w:val="22"/>
        </w:rPr>
        <w:t>Výdavky na D a RC sa v programovej štruktúre kapitoly nachádzajú na viacerých položkách. Zjednodušene ich možno rozdeliť na tie, ktoré sú určené na výstavbu nových úsekov (financované predovšetkým z fondov EÚ)</w:t>
      </w:r>
      <w:r w:rsidR="001446D8">
        <w:rPr>
          <w:rFonts w:eastAsiaTheme="minorHAnsi"/>
          <w:szCs w:val="22"/>
        </w:rPr>
        <w:t>,</w:t>
      </w:r>
      <w:r w:rsidRPr="002B7CCC">
        <w:rPr>
          <w:rFonts w:eastAsiaTheme="minorHAnsi"/>
          <w:szCs w:val="22"/>
        </w:rPr>
        <w:t xml:space="preserve"> a na tie, ktoré idú do údržby, opráv a modernizácie existujúcich úsekov (financované zo ŠR). </w:t>
      </w:r>
    </w:p>
    <w:p w14:paraId="6B797FDB" w14:textId="77777777" w:rsidR="0055022C" w:rsidRPr="002B7CCC" w:rsidRDefault="0055022C" w:rsidP="00F21A98">
      <w:pPr>
        <w:spacing w:before="120" w:after="120"/>
        <w:jc w:val="both"/>
        <w:rPr>
          <w:rFonts w:eastAsia="Calibri" w:cs="Times New Roman"/>
        </w:rPr>
      </w:pPr>
      <w:r w:rsidRPr="002B7CCC">
        <w:rPr>
          <w:rFonts w:eastAsia="Calibri" w:cs="Times New Roman"/>
        </w:rPr>
        <w:t xml:space="preserve">Ciele, ktoré sú nastavené </w:t>
      </w:r>
      <w:r w:rsidRPr="0006081E">
        <w:rPr>
          <w:rFonts w:eastAsia="Calibri" w:cs="Times New Roman"/>
          <w:b/>
        </w:rPr>
        <w:t>na prvku Diaľnice a rýchlostné cesty financované zo ŠR</w:t>
      </w:r>
      <w:r w:rsidRPr="002B7CCC">
        <w:rPr>
          <w:rFonts w:eastAsia="Calibri" w:cs="Times New Roman"/>
        </w:rPr>
        <w:t xml:space="preserve">, dávajú obraz o prebiehajúcej výstavbe, no ich plánovanie a plnenie nie je vždy v súlade s potrebami v tejto oblasti. Dobrým príkladom bol rok 2016, kedy bol plán začať výstavbu až 202,6 km nových D a RC, no v skutočnosti sa začalo stavať necelých 10 %. V roku 2019 došlo k zreálneniu plánovania novej výstavby a nakoniec bol plán prekročený o 26 %, keď bola začatá výstavba úsekov R4 – severný obchvat Prešova I. etapa v dĺžke 4,3 km a R2 Kriváň – Lovinobaňa v dĺžke 13,5 km. </w:t>
      </w:r>
    </w:p>
    <w:p w14:paraId="2F2AF18A" w14:textId="57B9B032" w:rsidR="0055022C" w:rsidRDefault="0055022C" w:rsidP="00F21A98">
      <w:pPr>
        <w:spacing w:before="120" w:after="120"/>
        <w:jc w:val="both"/>
        <w:rPr>
          <w:rFonts w:eastAsia="Calibri" w:cs="Times New Roman"/>
          <w:b/>
        </w:rPr>
      </w:pPr>
      <w:r w:rsidRPr="002B7CCC">
        <w:rPr>
          <w:rFonts w:eastAsia="Calibri" w:cs="Times New Roman"/>
        </w:rPr>
        <w:lastRenderedPageBreak/>
        <w:t xml:space="preserve">Aj v prípade ďalšieho cieľa </w:t>
      </w:r>
      <w:r w:rsidR="001446D8">
        <w:rPr>
          <w:rFonts w:eastAsia="Calibri" w:cs="Times New Roman"/>
        </w:rPr>
        <w:t xml:space="preserve">– </w:t>
      </w:r>
      <w:r w:rsidR="001446D8" w:rsidRPr="001446D8">
        <w:rPr>
          <w:rFonts w:eastAsia="Calibri" w:cs="Times New Roman"/>
          <w:b/>
        </w:rPr>
        <w:t>d</w:t>
      </w:r>
      <w:r w:rsidRPr="001446D8">
        <w:rPr>
          <w:rFonts w:eastAsia="Calibri" w:cs="Times New Roman"/>
          <w:b/>
        </w:rPr>
        <w:t>ĺ</w:t>
      </w:r>
      <w:r w:rsidRPr="002B7CCC">
        <w:rPr>
          <w:rFonts w:eastAsia="Calibri" w:cs="Times New Roman"/>
          <w:b/>
        </w:rPr>
        <w:t>žka odovzdaných km do užívania,</w:t>
      </w:r>
      <w:r w:rsidRPr="002B7CCC">
        <w:rPr>
          <w:rFonts w:eastAsia="Calibri" w:cs="Times New Roman"/>
        </w:rPr>
        <w:t xml:space="preserve"> bolo plnenie plánov v období 2015 </w:t>
      </w:r>
      <w:r w:rsidR="001446D8">
        <w:rPr>
          <w:rFonts w:eastAsia="Calibri" w:cs="Times New Roman"/>
        </w:rPr>
        <w:t>až</w:t>
      </w:r>
      <w:r w:rsidRPr="002B7CCC">
        <w:rPr>
          <w:rFonts w:eastAsia="Calibri" w:cs="Times New Roman"/>
        </w:rPr>
        <w:t xml:space="preserve"> 2018 buď veľmi nedostatočné (roky 2016 a 2018) alebo naopak, dosiahlo prekročenie o niekoľko desiatok percent (napr. rok 2017). </w:t>
      </w:r>
      <w:r w:rsidRPr="002B7CCC">
        <w:rPr>
          <w:rFonts w:eastAsia="Calibri" w:cs="Times New Roman"/>
          <w:b/>
        </w:rPr>
        <w:t>V roku 2019 plán odovzdať do užívania 28,79 km nových diaľnic nebol splnený</w:t>
      </w:r>
      <w:r w:rsidRPr="002B7CCC">
        <w:rPr>
          <w:rFonts w:eastAsia="Calibri" w:cs="Times New Roman"/>
        </w:rPr>
        <w:t xml:space="preserve">, nepodarilo </w:t>
      </w:r>
      <w:r w:rsidR="004E50B6">
        <w:rPr>
          <w:rFonts w:eastAsia="Calibri" w:cs="Times New Roman"/>
        </w:rPr>
        <w:t xml:space="preserve">sa </w:t>
      </w:r>
      <w:r w:rsidRPr="002B7CCC">
        <w:rPr>
          <w:rFonts w:eastAsia="Calibri" w:cs="Times New Roman"/>
        </w:rPr>
        <w:t>odovzdať ani jeden kilometer nových D, resp. RC. Plán tak už druhý rok po sebe nebol splnený, pričom v rok</w:t>
      </w:r>
      <w:r w:rsidR="001446D8">
        <w:rPr>
          <w:rFonts w:eastAsia="Calibri" w:cs="Times New Roman"/>
        </w:rPr>
        <w:t>och</w:t>
      </w:r>
      <w:r w:rsidRPr="002B7CCC">
        <w:rPr>
          <w:rFonts w:eastAsia="Calibri" w:cs="Times New Roman"/>
        </w:rPr>
        <w:t xml:space="preserve"> 2018 aj 2019 bolo na tento účel vyčerpaných zhodne </w:t>
      </w:r>
      <w:r w:rsidRPr="002B7CCC">
        <w:rPr>
          <w:rFonts w:eastAsia="Calibri" w:cs="Times New Roman"/>
          <w:b/>
        </w:rPr>
        <w:t>po 31,4 mil. eur,</w:t>
      </w:r>
      <w:r w:rsidRPr="002B7CCC">
        <w:rPr>
          <w:rFonts w:eastAsia="Calibri" w:cs="Times New Roman"/>
        </w:rPr>
        <w:t xml:space="preserve"> čo predstavovalo 100 % vyčerpaných výdavkov schváleného rozpočtu. </w:t>
      </w:r>
      <w:r w:rsidRPr="002B7CCC">
        <w:rPr>
          <w:rFonts w:eastAsia="Calibri" w:cs="Times New Roman"/>
          <w:b/>
        </w:rPr>
        <w:t>Podľa NKÚ SR je nevyhnutné začať plánovať výstavbu podľa dopredu stanoveného zoznamu prioritných úsekov, ktoré budú vychádzať z podložených analýz.</w:t>
      </w:r>
    </w:p>
    <w:p w14:paraId="0B0BEF40" w14:textId="4B865C1C" w:rsidR="0006081E" w:rsidRPr="00356B12" w:rsidRDefault="0006081E" w:rsidP="0006081E">
      <w:pPr>
        <w:spacing w:before="120" w:after="120"/>
        <w:jc w:val="both"/>
        <w:rPr>
          <w:rFonts w:eastAsia="Calibri" w:cs="Times New Roman"/>
          <w:b/>
        </w:rPr>
      </w:pPr>
      <w:r w:rsidRPr="002B7CCC">
        <w:rPr>
          <w:rFonts w:eastAsia="Calibri" w:cs="Times New Roman"/>
          <w:b/>
        </w:rPr>
        <w:t>Prvok financovaný z prostriedkov EÚ</w:t>
      </w:r>
      <w:r w:rsidRPr="002B7CCC">
        <w:rPr>
          <w:rFonts w:eastAsia="Calibri" w:cs="Times New Roman"/>
        </w:rPr>
        <w:t xml:space="preserve"> – Prioritná os č. 2 – Cestná infraštruktúra, slúži na zabezpečovanie výstavby diaľničných úsekov. Pôvodne sa očakávalo, že výrazným spôsobom prispeje k prepojeniu Bratislavy s</w:t>
      </w:r>
      <w:r w:rsidR="001446D8">
        <w:rPr>
          <w:rFonts w:eastAsia="Calibri" w:cs="Times New Roman"/>
        </w:rPr>
        <w:t> </w:t>
      </w:r>
      <w:r w:rsidRPr="002B7CCC">
        <w:rPr>
          <w:rFonts w:eastAsia="Calibri" w:cs="Times New Roman"/>
        </w:rPr>
        <w:t>Košicami</w:t>
      </w:r>
      <w:r w:rsidR="001446D8">
        <w:rPr>
          <w:rFonts w:eastAsia="Calibri" w:cs="Times New Roman"/>
        </w:rPr>
        <w:t>, a to</w:t>
      </w:r>
      <w:r w:rsidRPr="002B7CCC">
        <w:rPr>
          <w:rFonts w:eastAsia="Calibri" w:cs="Times New Roman"/>
        </w:rPr>
        <w:t xml:space="preserve"> vďaka dobudovaniu diaľnice D1. Zo 6 chýbajúcich úsekov na D1 malo byť 5 financovaných práve cez OPII. Množstvo nepredvídaných okolností však spôsobilo, že sa to nakoniec možno nepodarí. </w:t>
      </w:r>
      <w:r w:rsidRPr="002B7CCC">
        <w:rPr>
          <w:rFonts w:eastAsia="Calibri" w:cs="Times New Roman"/>
          <w:b/>
        </w:rPr>
        <w:t>V roku 2019 bol otvorený jediný úsek financovaný z OPII, práve na diaľnici D1 a to Budimír – Bidovce v dĺžke 14,4 km.</w:t>
      </w:r>
    </w:p>
    <w:p w14:paraId="7BEBE7AD" w14:textId="3746BE19" w:rsidR="0055022C" w:rsidRPr="00711800" w:rsidRDefault="0055022C" w:rsidP="0039341A">
      <w:pPr>
        <w:rPr>
          <w:rFonts w:eastAsia="Calibri" w:cs="Times New Roman"/>
          <w:b/>
          <w:i/>
        </w:rPr>
      </w:pPr>
      <w:r w:rsidRPr="00711800">
        <w:rPr>
          <w:rFonts w:eastAsia="Calibri" w:cs="Times New Roman"/>
          <w:b/>
          <w:i/>
        </w:rPr>
        <w:t>Prehľad o najväčších rozostavaných úsekoch a ich financovan</w:t>
      </w:r>
      <w:r w:rsidR="0039341A">
        <w:rPr>
          <w:rFonts w:eastAsia="Calibri" w:cs="Times New Roman"/>
          <w:b/>
          <w:i/>
        </w:rPr>
        <w:t>ie z Prioritnej osi č. 2 – OPII</w:t>
      </w:r>
    </w:p>
    <w:tbl>
      <w:tblPr>
        <w:tblStyle w:val="Tabukasmriekou7farebnzvraznenie11"/>
        <w:tblpPr w:leftFromText="141" w:rightFromText="141" w:vertAnchor="text" w:horzAnchor="margin"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19"/>
        <w:gridCol w:w="1045"/>
        <w:gridCol w:w="791"/>
        <w:gridCol w:w="793"/>
        <w:gridCol w:w="819"/>
        <w:gridCol w:w="787"/>
        <w:gridCol w:w="1071"/>
        <w:gridCol w:w="1264"/>
      </w:tblGrid>
      <w:tr w:rsidR="0055022C" w:rsidRPr="002B7CCC" w14:paraId="1DA08178" w14:textId="77777777" w:rsidTr="00C5398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101" w:type="pct"/>
            <w:tcBorders>
              <w:top w:val="none" w:sz="0" w:space="0" w:color="auto"/>
              <w:left w:val="none" w:sz="0" w:space="0" w:color="auto"/>
              <w:bottom w:val="none" w:sz="0" w:space="0" w:color="auto"/>
              <w:right w:val="none" w:sz="0" w:space="0" w:color="auto"/>
            </w:tcBorders>
            <w:shd w:val="clear" w:color="auto" w:fill="0070C0"/>
            <w:vAlign w:val="center"/>
          </w:tcPr>
          <w:p w14:paraId="2423E2B1" w14:textId="77777777" w:rsidR="0055022C" w:rsidRPr="002B7CCC" w:rsidRDefault="0055022C" w:rsidP="00CA4572">
            <w:pPr>
              <w:jc w:val="center"/>
              <w:rPr>
                <w:rFonts w:eastAsia="Calibri" w:cs="Times New Roman"/>
                <w:i w:val="0"/>
                <w:color w:val="FFFFFF"/>
                <w:sz w:val="20"/>
                <w:szCs w:val="20"/>
              </w:rPr>
            </w:pPr>
            <w:r w:rsidRPr="002B7CCC">
              <w:rPr>
                <w:rFonts w:eastAsia="Calibri" w:cs="Times New Roman"/>
                <w:i w:val="0"/>
                <w:color w:val="FFFFFF"/>
                <w:sz w:val="20"/>
                <w:szCs w:val="20"/>
              </w:rPr>
              <w:t>Úsek</w:t>
            </w:r>
          </w:p>
        </w:tc>
        <w:tc>
          <w:tcPr>
            <w:tcW w:w="385" w:type="pct"/>
            <w:tcBorders>
              <w:top w:val="none" w:sz="0" w:space="0" w:color="auto"/>
              <w:left w:val="none" w:sz="0" w:space="0" w:color="auto"/>
              <w:right w:val="none" w:sz="0" w:space="0" w:color="auto"/>
            </w:tcBorders>
            <w:shd w:val="clear" w:color="auto" w:fill="0070C0"/>
            <w:vAlign w:val="center"/>
          </w:tcPr>
          <w:p w14:paraId="0FBC6A1C"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20"/>
                <w:szCs w:val="20"/>
              </w:rPr>
            </w:pPr>
            <w:r w:rsidRPr="002B7CCC">
              <w:rPr>
                <w:rFonts w:eastAsia="Calibri" w:cs="Times New Roman"/>
                <w:color w:val="FFFFFF"/>
                <w:sz w:val="20"/>
                <w:szCs w:val="20"/>
              </w:rPr>
              <w:t xml:space="preserve">Dĺžka </w:t>
            </w:r>
            <w:r w:rsidRPr="002B7CCC">
              <w:rPr>
                <w:rFonts w:eastAsia="Calibri" w:cs="Times New Roman"/>
                <w:color w:val="FFFFFF"/>
                <w:sz w:val="16"/>
                <w:szCs w:val="16"/>
              </w:rPr>
              <w:t>(v km)</w:t>
            </w:r>
          </w:p>
        </w:tc>
        <w:tc>
          <w:tcPr>
            <w:tcW w:w="559" w:type="pct"/>
            <w:tcBorders>
              <w:top w:val="none" w:sz="0" w:space="0" w:color="auto"/>
              <w:left w:val="none" w:sz="0" w:space="0" w:color="auto"/>
              <w:right w:val="none" w:sz="0" w:space="0" w:color="auto"/>
            </w:tcBorders>
            <w:shd w:val="clear" w:color="auto" w:fill="0070C0"/>
            <w:vAlign w:val="center"/>
          </w:tcPr>
          <w:p w14:paraId="4A3F646D"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20"/>
                <w:szCs w:val="20"/>
              </w:rPr>
            </w:pPr>
            <w:r w:rsidRPr="002B7CCC">
              <w:rPr>
                <w:rFonts w:eastAsia="Calibri" w:cs="Times New Roman"/>
                <w:color w:val="FFFFFF"/>
                <w:sz w:val="20"/>
                <w:szCs w:val="20"/>
              </w:rPr>
              <w:t xml:space="preserve">Hodnota zákazky </w:t>
            </w:r>
          </w:p>
          <w:p w14:paraId="7CFC8289"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16"/>
                <w:szCs w:val="16"/>
              </w:rPr>
            </w:pPr>
            <w:r w:rsidRPr="002B7CCC">
              <w:rPr>
                <w:rFonts w:eastAsia="Calibri" w:cs="Times New Roman"/>
                <w:color w:val="FFFFFF"/>
                <w:sz w:val="16"/>
                <w:szCs w:val="16"/>
              </w:rPr>
              <w:t>(v tis, eur, bez DPH)</w:t>
            </w:r>
          </w:p>
        </w:tc>
        <w:tc>
          <w:tcPr>
            <w:tcW w:w="423" w:type="pct"/>
            <w:tcBorders>
              <w:top w:val="none" w:sz="0" w:space="0" w:color="auto"/>
              <w:left w:val="none" w:sz="0" w:space="0" w:color="auto"/>
              <w:right w:val="none" w:sz="0" w:space="0" w:color="auto"/>
            </w:tcBorders>
            <w:shd w:val="clear" w:color="auto" w:fill="0070C0"/>
            <w:vAlign w:val="center"/>
          </w:tcPr>
          <w:p w14:paraId="7E28B2E8"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20"/>
                <w:szCs w:val="20"/>
              </w:rPr>
            </w:pPr>
            <w:r w:rsidRPr="002B7CCC">
              <w:rPr>
                <w:rFonts w:eastAsia="Calibri" w:cs="Times New Roman"/>
                <w:color w:val="FFFFFF"/>
                <w:sz w:val="20"/>
                <w:szCs w:val="20"/>
              </w:rPr>
              <w:t>2016 S</w:t>
            </w:r>
          </w:p>
          <w:p w14:paraId="7A647945"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16"/>
                <w:szCs w:val="16"/>
              </w:rPr>
            </w:pPr>
            <w:r w:rsidRPr="002B7CCC">
              <w:rPr>
                <w:rFonts w:eastAsia="Calibri" w:cs="Times New Roman"/>
                <w:color w:val="FFFFFF"/>
                <w:sz w:val="16"/>
                <w:szCs w:val="16"/>
              </w:rPr>
              <w:t>(v tis. eur)</w:t>
            </w:r>
          </w:p>
        </w:tc>
        <w:tc>
          <w:tcPr>
            <w:tcW w:w="424" w:type="pct"/>
            <w:tcBorders>
              <w:top w:val="none" w:sz="0" w:space="0" w:color="auto"/>
              <w:left w:val="none" w:sz="0" w:space="0" w:color="auto"/>
              <w:right w:val="none" w:sz="0" w:space="0" w:color="auto"/>
            </w:tcBorders>
            <w:shd w:val="clear" w:color="auto" w:fill="0070C0"/>
            <w:vAlign w:val="center"/>
          </w:tcPr>
          <w:p w14:paraId="7B8D4A2B"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20"/>
                <w:szCs w:val="20"/>
              </w:rPr>
            </w:pPr>
            <w:r w:rsidRPr="002B7CCC">
              <w:rPr>
                <w:rFonts w:eastAsia="Calibri" w:cs="Times New Roman"/>
                <w:color w:val="FFFFFF"/>
                <w:sz w:val="20"/>
                <w:szCs w:val="20"/>
              </w:rPr>
              <w:t>2017 S</w:t>
            </w:r>
          </w:p>
          <w:p w14:paraId="7663486E"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16"/>
                <w:szCs w:val="16"/>
              </w:rPr>
            </w:pPr>
            <w:r w:rsidRPr="002B7CCC">
              <w:rPr>
                <w:rFonts w:eastAsia="Calibri" w:cs="Times New Roman"/>
                <w:color w:val="FFFFFF"/>
                <w:sz w:val="16"/>
                <w:szCs w:val="16"/>
              </w:rPr>
              <w:t>(v tis. eur)</w:t>
            </w:r>
          </w:p>
        </w:tc>
        <w:tc>
          <w:tcPr>
            <w:tcW w:w="438" w:type="pct"/>
            <w:tcBorders>
              <w:top w:val="none" w:sz="0" w:space="0" w:color="auto"/>
              <w:left w:val="none" w:sz="0" w:space="0" w:color="auto"/>
              <w:right w:val="none" w:sz="0" w:space="0" w:color="auto"/>
            </w:tcBorders>
            <w:shd w:val="clear" w:color="auto" w:fill="0070C0"/>
            <w:vAlign w:val="center"/>
          </w:tcPr>
          <w:p w14:paraId="59DEAB0E"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20"/>
                <w:szCs w:val="20"/>
              </w:rPr>
            </w:pPr>
            <w:r w:rsidRPr="002B7CCC">
              <w:rPr>
                <w:rFonts w:eastAsia="Calibri" w:cs="Times New Roman"/>
                <w:color w:val="FFFFFF"/>
                <w:sz w:val="20"/>
                <w:szCs w:val="20"/>
              </w:rPr>
              <w:t>2018 S</w:t>
            </w:r>
          </w:p>
          <w:p w14:paraId="4E55251B"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16"/>
                <w:szCs w:val="16"/>
              </w:rPr>
            </w:pPr>
            <w:r w:rsidRPr="002B7CCC">
              <w:rPr>
                <w:rFonts w:eastAsia="Calibri" w:cs="Times New Roman"/>
                <w:color w:val="FFFFFF"/>
                <w:sz w:val="16"/>
                <w:szCs w:val="16"/>
              </w:rPr>
              <w:t>(v tis. eur)</w:t>
            </w:r>
          </w:p>
        </w:tc>
        <w:tc>
          <w:tcPr>
            <w:tcW w:w="421" w:type="pct"/>
            <w:tcBorders>
              <w:top w:val="none" w:sz="0" w:space="0" w:color="auto"/>
              <w:left w:val="none" w:sz="0" w:space="0" w:color="auto"/>
              <w:right w:val="none" w:sz="0" w:space="0" w:color="auto"/>
            </w:tcBorders>
            <w:shd w:val="clear" w:color="auto" w:fill="0070C0"/>
            <w:vAlign w:val="center"/>
          </w:tcPr>
          <w:p w14:paraId="337D61AA"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20"/>
                <w:szCs w:val="20"/>
              </w:rPr>
            </w:pPr>
            <w:r w:rsidRPr="002B7CCC">
              <w:rPr>
                <w:rFonts w:eastAsia="Calibri" w:cs="Times New Roman"/>
                <w:color w:val="FFFFFF"/>
                <w:sz w:val="20"/>
                <w:szCs w:val="20"/>
              </w:rPr>
              <w:t>2019 S</w:t>
            </w:r>
          </w:p>
          <w:p w14:paraId="6C187CF7"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20"/>
                <w:szCs w:val="20"/>
              </w:rPr>
            </w:pPr>
            <w:r w:rsidRPr="002B7CCC">
              <w:rPr>
                <w:rFonts w:eastAsia="Calibri" w:cs="Times New Roman"/>
                <w:color w:val="FFFFFF"/>
                <w:sz w:val="16"/>
                <w:szCs w:val="16"/>
              </w:rPr>
              <w:t>(v tis. eur)</w:t>
            </w:r>
          </w:p>
        </w:tc>
        <w:tc>
          <w:tcPr>
            <w:tcW w:w="573" w:type="pct"/>
            <w:tcBorders>
              <w:top w:val="none" w:sz="0" w:space="0" w:color="auto"/>
              <w:left w:val="none" w:sz="0" w:space="0" w:color="auto"/>
              <w:right w:val="none" w:sz="0" w:space="0" w:color="auto"/>
            </w:tcBorders>
            <w:shd w:val="clear" w:color="auto" w:fill="0070C0"/>
            <w:vAlign w:val="center"/>
          </w:tcPr>
          <w:p w14:paraId="027EF124"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20"/>
                <w:szCs w:val="20"/>
              </w:rPr>
            </w:pPr>
            <w:r w:rsidRPr="002B7CCC">
              <w:rPr>
                <w:rFonts w:eastAsia="Calibri" w:cs="Times New Roman"/>
                <w:color w:val="FFFFFF"/>
                <w:sz w:val="20"/>
                <w:szCs w:val="20"/>
              </w:rPr>
              <w:t>Zmluvný termín ukončenia</w:t>
            </w:r>
          </w:p>
        </w:tc>
        <w:tc>
          <w:tcPr>
            <w:tcW w:w="676" w:type="pct"/>
            <w:tcBorders>
              <w:top w:val="none" w:sz="0" w:space="0" w:color="auto"/>
              <w:left w:val="none" w:sz="0" w:space="0" w:color="auto"/>
              <w:right w:val="none" w:sz="0" w:space="0" w:color="auto"/>
            </w:tcBorders>
            <w:shd w:val="clear" w:color="auto" w:fill="0070C0"/>
            <w:vAlign w:val="center"/>
          </w:tcPr>
          <w:p w14:paraId="5AF5AAA6" w14:textId="77777777" w:rsidR="0055022C" w:rsidRPr="002B7CCC" w:rsidRDefault="0055022C" w:rsidP="00CA457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FFFFFF"/>
                <w:sz w:val="20"/>
                <w:szCs w:val="20"/>
              </w:rPr>
            </w:pPr>
            <w:r w:rsidRPr="002B7CCC">
              <w:rPr>
                <w:rFonts w:eastAsia="Calibri" w:cs="Times New Roman"/>
                <w:color w:val="FFFFFF"/>
                <w:sz w:val="20"/>
                <w:szCs w:val="20"/>
              </w:rPr>
              <w:t>Odhadovaný termín ukončenia</w:t>
            </w:r>
          </w:p>
        </w:tc>
      </w:tr>
      <w:tr w:rsidR="0055022C" w:rsidRPr="002B7CCC" w14:paraId="5B942116" w14:textId="77777777" w:rsidTr="00C539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tcBorders>
              <w:top w:val="none" w:sz="0" w:space="0" w:color="auto"/>
              <w:left w:val="none" w:sz="0" w:space="0" w:color="auto"/>
              <w:bottom w:val="none" w:sz="0" w:space="0" w:color="auto"/>
            </w:tcBorders>
            <w:shd w:val="clear" w:color="auto" w:fill="auto"/>
            <w:vAlign w:val="center"/>
          </w:tcPr>
          <w:p w14:paraId="319396EF" w14:textId="77777777" w:rsidR="0055022C" w:rsidRPr="002B7CCC" w:rsidRDefault="0055022C" w:rsidP="00CA4572">
            <w:pPr>
              <w:jc w:val="left"/>
              <w:rPr>
                <w:rFonts w:eastAsia="Calibri" w:cs="Times New Roman"/>
                <w:i w:val="0"/>
                <w:color w:val="000000"/>
                <w:sz w:val="20"/>
                <w:szCs w:val="20"/>
              </w:rPr>
            </w:pPr>
            <w:r w:rsidRPr="002B7CCC">
              <w:rPr>
                <w:rFonts w:eastAsia="Calibri" w:cs="Times New Roman"/>
                <w:i w:val="0"/>
                <w:color w:val="000000"/>
                <w:sz w:val="20"/>
                <w:szCs w:val="20"/>
              </w:rPr>
              <w:t>D1 Hričovské Podhradie - Lietavská Lúčka</w:t>
            </w:r>
          </w:p>
        </w:tc>
        <w:tc>
          <w:tcPr>
            <w:tcW w:w="385" w:type="pct"/>
            <w:shd w:val="clear" w:color="auto" w:fill="auto"/>
            <w:vAlign w:val="center"/>
          </w:tcPr>
          <w:p w14:paraId="06122D76"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11,3</w:t>
            </w:r>
          </w:p>
        </w:tc>
        <w:tc>
          <w:tcPr>
            <w:tcW w:w="559" w:type="pct"/>
            <w:shd w:val="clear" w:color="auto" w:fill="auto"/>
            <w:vAlign w:val="center"/>
          </w:tcPr>
          <w:p w14:paraId="0266CB28"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427 201</w:t>
            </w:r>
          </w:p>
        </w:tc>
        <w:tc>
          <w:tcPr>
            <w:tcW w:w="423" w:type="pct"/>
            <w:shd w:val="clear" w:color="auto" w:fill="auto"/>
            <w:vAlign w:val="center"/>
          </w:tcPr>
          <w:p w14:paraId="3C8C755A"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107 815</w:t>
            </w:r>
          </w:p>
        </w:tc>
        <w:tc>
          <w:tcPr>
            <w:tcW w:w="424" w:type="pct"/>
            <w:shd w:val="clear" w:color="auto" w:fill="auto"/>
            <w:vAlign w:val="center"/>
          </w:tcPr>
          <w:p w14:paraId="737EE3E6"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60 283</w:t>
            </w:r>
          </w:p>
        </w:tc>
        <w:tc>
          <w:tcPr>
            <w:tcW w:w="438" w:type="pct"/>
            <w:shd w:val="clear" w:color="auto" w:fill="auto"/>
            <w:vAlign w:val="center"/>
          </w:tcPr>
          <w:p w14:paraId="65F9D61B"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62 436</w:t>
            </w:r>
          </w:p>
        </w:tc>
        <w:tc>
          <w:tcPr>
            <w:tcW w:w="421" w:type="pct"/>
            <w:shd w:val="clear" w:color="auto" w:fill="auto"/>
            <w:vAlign w:val="center"/>
          </w:tcPr>
          <w:p w14:paraId="3C97A4D9"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24 748</w:t>
            </w:r>
          </w:p>
        </w:tc>
        <w:tc>
          <w:tcPr>
            <w:tcW w:w="573" w:type="pct"/>
            <w:shd w:val="clear" w:color="auto" w:fill="auto"/>
            <w:vAlign w:val="center"/>
          </w:tcPr>
          <w:p w14:paraId="209BE6E9"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1/2018</w:t>
            </w:r>
          </w:p>
        </w:tc>
        <w:tc>
          <w:tcPr>
            <w:tcW w:w="676" w:type="pct"/>
            <w:shd w:val="clear" w:color="auto" w:fill="auto"/>
            <w:vAlign w:val="center"/>
          </w:tcPr>
          <w:p w14:paraId="17F63677"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7/2019</w:t>
            </w:r>
          </w:p>
        </w:tc>
      </w:tr>
      <w:tr w:rsidR="0055022C" w:rsidRPr="002B7CCC" w14:paraId="20774C43" w14:textId="77777777" w:rsidTr="00C5398B">
        <w:trPr>
          <w:trHeight w:val="20"/>
        </w:trPr>
        <w:tc>
          <w:tcPr>
            <w:cnfStyle w:val="001000000000" w:firstRow="0" w:lastRow="0" w:firstColumn="1" w:lastColumn="0" w:oddVBand="0" w:evenVBand="0" w:oddHBand="0" w:evenHBand="0" w:firstRowFirstColumn="0" w:firstRowLastColumn="0" w:lastRowFirstColumn="0" w:lastRowLastColumn="0"/>
            <w:tcW w:w="1101" w:type="pct"/>
            <w:tcBorders>
              <w:top w:val="none" w:sz="0" w:space="0" w:color="auto"/>
              <w:left w:val="none" w:sz="0" w:space="0" w:color="auto"/>
              <w:bottom w:val="none" w:sz="0" w:space="0" w:color="auto"/>
            </w:tcBorders>
            <w:shd w:val="clear" w:color="auto" w:fill="auto"/>
            <w:vAlign w:val="center"/>
          </w:tcPr>
          <w:p w14:paraId="5CC62920" w14:textId="77777777" w:rsidR="0055022C" w:rsidRPr="002B7CCC" w:rsidRDefault="0055022C" w:rsidP="00CA4572">
            <w:pPr>
              <w:jc w:val="left"/>
              <w:rPr>
                <w:rFonts w:eastAsia="Calibri" w:cs="Times New Roman"/>
                <w:i w:val="0"/>
                <w:color w:val="000000"/>
                <w:sz w:val="20"/>
                <w:szCs w:val="20"/>
              </w:rPr>
            </w:pPr>
            <w:r w:rsidRPr="002B7CCC">
              <w:rPr>
                <w:rFonts w:eastAsia="Calibri" w:cs="Times New Roman"/>
                <w:i w:val="0"/>
                <w:color w:val="000000"/>
                <w:sz w:val="20"/>
                <w:szCs w:val="20"/>
              </w:rPr>
              <w:t>D1 Lietavská Lúčka - Višňové - Dubná Skala</w:t>
            </w:r>
          </w:p>
        </w:tc>
        <w:tc>
          <w:tcPr>
            <w:tcW w:w="385" w:type="pct"/>
            <w:shd w:val="clear" w:color="auto" w:fill="auto"/>
            <w:vAlign w:val="center"/>
          </w:tcPr>
          <w:p w14:paraId="39248C30"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14</w:t>
            </w:r>
          </w:p>
        </w:tc>
        <w:tc>
          <w:tcPr>
            <w:tcW w:w="559" w:type="pct"/>
            <w:shd w:val="clear" w:color="auto" w:fill="auto"/>
            <w:vAlign w:val="center"/>
          </w:tcPr>
          <w:p w14:paraId="4A22E5ED"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409 800</w:t>
            </w:r>
          </w:p>
        </w:tc>
        <w:tc>
          <w:tcPr>
            <w:tcW w:w="423" w:type="pct"/>
            <w:shd w:val="clear" w:color="auto" w:fill="auto"/>
            <w:vAlign w:val="center"/>
          </w:tcPr>
          <w:p w14:paraId="37DBA2CB"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0</w:t>
            </w:r>
          </w:p>
        </w:tc>
        <w:tc>
          <w:tcPr>
            <w:tcW w:w="424" w:type="pct"/>
            <w:shd w:val="clear" w:color="auto" w:fill="auto"/>
            <w:vAlign w:val="center"/>
          </w:tcPr>
          <w:p w14:paraId="00011C98"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0</w:t>
            </w:r>
          </w:p>
        </w:tc>
        <w:tc>
          <w:tcPr>
            <w:tcW w:w="438" w:type="pct"/>
            <w:shd w:val="clear" w:color="auto" w:fill="auto"/>
            <w:vAlign w:val="center"/>
          </w:tcPr>
          <w:p w14:paraId="45B29456"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125 889</w:t>
            </w:r>
          </w:p>
        </w:tc>
        <w:tc>
          <w:tcPr>
            <w:tcW w:w="421" w:type="pct"/>
            <w:shd w:val="clear" w:color="auto" w:fill="auto"/>
            <w:vAlign w:val="center"/>
          </w:tcPr>
          <w:p w14:paraId="6EF18C05"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28 655</w:t>
            </w:r>
          </w:p>
        </w:tc>
        <w:tc>
          <w:tcPr>
            <w:tcW w:w="573" w:type="pct"/>
            <w:shd w:val="clear" w:color="auto" w:fill="auto"/>
            <w:vAlign w:val="center"/>
          </w:tcPr>
          <w:p w14:paraId="43958F48"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12/2019</w:t>
            </w:r>
          </w:p>
        </w:tc>
        <w:tc>
          <w:tcPr>
            <w:tcW w:w="676" w:type="pct"/>
            <w:shd w:val="clear" w:color="auto" w:fill="auto"/>
            <w:vAlign w:val="center"/>
          </w:tcPr>
          <w:p w14:paraId="5BA6938C"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2023</w:t>
            </w:r>
          </w:p>
        </w:tc>
      </w:tr>
      <w:tr w:rsidR="0055022C" w:rsidRPr="002B7CCC" w14:paraId="5EE35A6A" w14:textId="77777777" w:rsidTr="00C539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tcBorders>
              <w:top w:val="none" w:sz="0" w:space="0" w:color="auto"/>
              <w:left w:val="none" w:sz="0" w:space="0" w:color="auto"/>
              <w:bottom w:val="none" w:sz="0" w:space="0" w:color="auto"/>
            </w:tcBorders>
            <w:shd w:val="clear" w:color="auto" w:fill="auto"/>
            <w:vAlign w:val="center"/>
          </w:tcPr>
          <w:p w14:paraId="1BB5571F" w14:textId="77777777" w:rsidR="0055022C" w:rsidRPr="002B7CCC" w:rsidRDefault="0055022C" w:rsidP="00CA4572">
            <w:pPr>
              <w:jc w:val="left"/>
              <w:rPr>
                <w:rFonts w:eastAsia="Calibri" w:cs="Times New Roman"/>
                <w:i w:val="0"/>
                <w:color w:val="000000"/>
                <w:sz w:val="20"/>
                <w:szCs w:val="20"/>
              </w:rPr>
            </w:pPr>
            <w:r w:rsidRPr="002B7CCC">
              <w:rPr>
                <w:rFonts w:eastAsia="Calibri" w:cs="Times New Roman"/>
                <w:i w:val="0"/>
                <w:color w:val="000000"/>
                <w:sz w:val="20"/>
                <w:szCs w:val="20"/>
              </w:rPr>
              <w:t>D1 Hubová - Ivachnová, II. fáza</w:t>
            </w:r>
          </w:p>
        </w:tc>
        <w:tc>
          <w:tcPr>
            <w:tcW w:w="385" w:type="pct"/>
            <w:shd w:val="clear" w:color="auto" w:fill="auto"/>
            <w:vAlign w:val="center"/>
          </w:tcPr>
          <w:p w14:paraId="16DBFD42"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14,9</w:t>
            </w:r>
          </w:p>
        </w:tc>
        <w:tc>
          <w:tcPr>
            <w:tcW w:w="559" w:type="pct"/>
            <w:shd w:val="clear" w:color="auto" w:fill="auto"/>
            <w:vAlign w:val="center"/>
          </w:tcPr>
          <w:p w14:paraId="108F7AE9"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288 791</w:t>
            </w:r>
          </w:p>
        </w:tc>
        <w:tc>
          <w:tcPr>
            <w:tcW w:w="423" w:type="pct"/>
            <w:shd w:val="clear" w:color="auto" w:fill="auto"/>
            <w:vAlign w:val="center"/>
          </w:tcPr>
          <w:p w14:paraId="6B6AFD61"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0</w:t>
            </w:r>
          </w:p>
        </w:tc>
        <w:tc>
          <w:tcPr>
            <w:tcW w:w="424" w:type="pct"/>
            <w:shd w:val="clear" w:color="auto" w:fill="auto"/>
            <w:vAlign w:val="center"/>
          </w:tcPr>
          <w:p w14:paraId="0287700C"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0</w:t>
            </w:r>
          </w:p>
        </w:tc>
        <w:tc>
          <w:tcPr>
            <w:tcW w:w="438" w:type="pct"/>
            <w:shd w:val="clear" w:color="auto" w:fill="auto"/>
            <w:vAlign w:val="center"/>
          </w:tcPr>
          <w:p w14:paraId="20E22EF0"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0</w:t>
            </w:r>
          </w:p>
        </w:tc>
        <w:tc>
          <w:tcPr>
            <w:tcW w:w="421" w:type="pct"/>
            <w:shd w:val="clear" w:color="auto" w:fill="auto"/>
            <w:vAlign w:val="center"/>
          </w:tcPr>
          <w:p w14:paraId="202F77F8"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0</w:t>
            </w:r>
          </w:p>
        </w:tc>
        <w:tc>
          <w:tcPr>
            <w:tcW w:w="573" w:type="pct"/>
            <w:shd w:val="clear" w:color="auto" w:fill="auto"/>
            <w:vAlign w:val="center"/>
          </w:tcPr>
          <w:p w14:paraId="581A3A36"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6/2022</w:t>
            </w:r>
          </w:p>
        </w:tc>
        <w:tc>
          <w:tcPr>
            <w:tcW w:w="676" w:type="pct"/>
            <w:shd w:val="clear" w:color="auto" w:fill="auto"/>
            <w:vAlign w:val="center"/>
          </w:tcPr>
          <w:p w14:paraId="013810A6"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7/2022</w:t>
            </w:r>
          </w:p>
        </w:tc>
      </w:tr>
      <w:tr w:rsidR="0055022C" w:rsidRPr="002B7CCC" w14:paraId="451D415F" w14:textId="77777777" w:rsidTr="00C5398B">
        <w:trPr>
          <w:trHeight w:val="20"/>
        </w:trPr>
        <w:tc>
          <w:tcPr>
            <w:cnfStyle w:val="001000000000" w:firstRow="0" w:lastRow="0" w:firstColumn="1" w:lastColumn="0" w:oddVBand="0" w:evenVBand="0" w:oddHBand="0" w:evenHBand="0" w:firstRowFirstColumn="0" w:firstRowLastColumn="0" w:lastRowFirstColumn="0" w:lastRowLastColumn="0"/>
            <w:tcW w:w="1101" w:type="pct"/>
            <w:tcBorders>
              <w:top w:val="none" w:sz="0" w:space="0" w:color="auto"/>
              <w:left w:val="none" w:sz="0" w:space="0" w:color="auto"/>
              <w:bottom w:val="none" w:sz="0" w:space="0" w:color="auto"/>
            </w:tcBorders>
            <w:shd w:val="clear" w:color="auto" w:fill="auto"/>
            <w:vAlign w:val="center"/>
          </w:tcPr>
          <w:p w14:paraId="5310717F" w14:textId="77777777" w:rsidR="0055022C" w:rsidRPr="002B7CCC" w:rsidRDefault="0055022C" w:rsidP="00CA4572">
            <w:pPr>
              <w:jc w:val="left"/>
              <w:rPr>
                <w:rFonts w:eastAsia="Calibri" w:cs="Times New Roman"/>
                <w:i w:val="0"/>
                <w:color w:val="000000"/>
                <w:sz w:val="20"/>
                <w:szCs w:val="20"/>
              </w:rPr>
            </w:pPr>
            <w:r w:rsidRPr="002B7CCC">
              <w:rPr>
                <w:rFonts w:eastAsia="Calibri" w:cs="Times New Roman"/>
                <w:i w:val="0"/>
                <w:color w:val="000000"/>
                <w:sz w:val="20"/>
                <w:szCs w:val="20"/>
              </w:rPr>
              <w:t>D1 Prešov, západ - Prešov, juh</w:t>
            </w:r>
          </w:p>
        </w:tc>
        <w:tc>
          <w:tcPr>
            <w:tcW w:w="385" w:type="pct"/>
            <w:shd w:val="clear" w:color="auto" w:fill="auto"/>
            <w:vAlign w:val="center"/>
          </w:tcPr>
          <w:p w14:paraId="38DEE409"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7,8</w:t>
            </w:r>
          </w:p>
        </w:tc>
        <w:tc>
          <w:tcPr>
            <w:tcW w:w="559" w:type="pct"/>
            <w:shd w:val="clear" w:color="auto" w:fill="auto"/>
            <w:vAlign w:val="center"/>
          </w:tcPr>
          <w:p w14:paraId="59DF115F"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356 345</w:t>
            </w:r>
          </w:p>
        </w:tc>
        <w:tc>
          <w:tcPr>
            <w:tcW w:w="423" w:type="pct"/>
            <w:shd w:val="clear" w:color="auto" w:fill="auto"/>
            <w:vAlign w:val="center"/>
          </w:tcPr>
          <w:p w14:paraId="5DAA5D20"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0</w:t>
            </w:r>
          </w:p>
        </w:tc>
        <w:tc>
          <w:tcPr>
            <w:tcW w:w="424" w:type="pct"/>
            <w:shd w:val="clear" w:color="auto" w:fill="auto"/>
            <w:vAlign w:val="center"/>
          </w:tcPr>
          <w:p w14:paraId="6BC378E0"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0</w:t>
            </w:r>
          </w:p>
        </w:tc>
        <w:tc>
          <w:tcPr>
            <w:tcW w:w="438" w:type="pct"/>
            <w:shd w:val="clear" w:color="auto" w:fill="auto"/>
            <w:vAlign w:val="center"/>
          </w:tcPr>
          <w:p w14:paraId="45012AED"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38 505</w:t>
            </w:r>
          </w:p>
        </w:tc>
        <w:tc>
          <w:tcPr>
            <w:tcW w:w="421" w:type="pct"/>
            <w:shd w:val="clear" w:color="auto" w:fill="auto"/>
            <w:vAlign w:val="center"/>
          </w:tcPr>
          <w:p w14:paraId="58D8A22F"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119 957</w:t>
            </w:r>
          </w:p>
        </w:tc>
        <w:tc>
          <w:tcPr>
            <w:tcW w:w="573" w:type="pct"/>
            <w:shd w:val="clear" w:color="auto" w:fill="auto"/>
            <w:vAlign w:val="center"/>
          </w:tcPr>
          <w:p w14:paraId="09D2C7FC"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6/2021</w:t>
            </w:r>
          </w:p>
        </w:tc>
        <w:tc>
          <w:tcPr>
            <w:tcW w:w="676" w:type="pct"/>
            <w:shd w:val="clear" w:color="auto" w:fill="auto"/>
            <w:vAlign w:val="center"/>
          </w:tcPr>
          <w:p w14:paraId="764EB907"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6/2021</w:t>
            </w:r>
          </w:p>
        </w:tc>
      </w:tr>
      <w:tr w:rsidR="0055022C" w:rsidRPr="002B7CCC" w14:paraId="112A821A" w14:textId="77777777" w:rsidTr="00C539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 w:type="pct"/>
            <w:tcBorders>
              <w:top w:val="none" w:sz="0" w:space="0" w:color="auto"/>
              <w:left w:val="none" w:sz="0" w:space="0" w:color="auto"/>
              <w:bottom w:val="none" w:sz="0" w:space="0" w:color="auto"/>
            </w:tcBorders>
            <w:shd w:val="clear" w:color="auto" w:fill="auto"/>
            <w:vAlign w:val="center"/>
          </w:tcPr>
          <w:p w14:paraId="0E61AEDC" w14:textId="77777777" w:rsidR="0055022C" w:rsidRPr="002B7CCC" w:rsidRDefault="0055022C" w:rsidP="00CA4572">
            <w:pPr>
              <w:jc w:val="left"/>
              <w:rPr>
                <w:rFonts w:eastAsia="Calibri" w:cs="Times New Roman"/>
                <w:i w:val="0"/>
                <w:color w:val="000000"/>
                <w:sz w:val="20"/>
                <w:szCs w:val="20"/>
              </w:rPr>
            </w:pPr>
            <w:r w:rsidRPr="002B7CCC">
              <w:rPr>
                <w:rFonts w:eastAsia="Calibri" w:cs="Times New Roman"/>
                <w:i w:val="0"/>
                <w:color w:val="000000"/>
                <w:sz w:val="20"/>
                <w:szCs w:val="20"/>
              </w:rPr>
              <w:t>D1 Budimír - Bidovce</w:t>
            </w:r>
          </w:p>
        </w:tc>
        <w:tc>
          <w:tcPr>
            <w:tcW w:w="385" w:type="pct"/>
            <w:shd w:val="clear" w:color="auto" w:fill="auto"/>
            <w:vAlign w:val="center"/>
          </w:tcPr>
          <w:p w14:paraId="547DDD20"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15,5</w:t>
            </w:r>
          </w:p>
        </w:tc>
        <w:tc>
          <w:tcPr>
            <w:tcW w:w="559" w:type="pct"/>
            <w:shd w:val="clear" w:color="auto" w:fill="auto"/>
            <w:vAlign w:val="center"/>
          </w:tcPr>
          <w:p w14:paraId="7B98FF18"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197 444</w:t>
            </w:r>
          </w:p>
        </w:tc>
        <w:tc>
          <w:tcPr>
            <w:tcW w:w="423" w:type="pct"/>
            <w:shd w:val="clear" w:color="auto" w:fill="auto"/>
            <w:vAlign w:val="center"/>
          </w:tcPr>
          <w:p w14:paraId="377F4031"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0</w:t>
            </w:r>
          </w:p>
        </w:tc>
        <w:tc>
          <w:tcPr>
            <w:tcW w:w="424" w:type="pct"/>
            <w:shd w:val="clear" w:color="auto" w:fill="auto"/>
            <w:vAlign w:val="center"/>
          </w:tcPr>
          <w:p w14:paraId="27CE7709"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0</w:t>
            </w:r>
          </w:p>
        </w:tc>
        <w:tc>
          <w:tcPr>
            <w:tcW w:w="438" w:type="pct"/>
            <w:shd w:val="clear" w:color="auto" w:fill="auto"/>
            <w:vAlign w:val="center"/>
          </w:tcPr>
          <w:p w14:paraId="36B968F0"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103 267</w:t>
            </w:r>
          </w:p>
        </w:tc>
        <w:tc>
          <w:tcPr>
            <w:tcW w:w="421" w:type="pct"/>
            <w:shd w:val="clear" w:color="auto" w:fill="auto"/>
            <w:vAlign w:val="center"/>
          </w:tcPr>
          <w:p w14:paraId="01FBA2C5"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58 686</w:t>
            </w:r>
          </w:p>
        </w:tc>
        <w:tc>
          <w:tcPr>
            <w:tcW w:w="573" w:type="pct"/>
            <w:shd w:val="clear" w:color="auto" w:fill="auto"/>
            <w:vAlign w:val="center"/>
          </w:tcPr>
          <w:p w14:paraId="2DA02267"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12/2019</w:t>
            </w:r>
          </w:p>
        </w:tc>
        <w:tc>
          <w:tcPr>
            <w:tcW w:w="676" w:type="pct"/>
            <w:shd w:val="clear" w:color="auto" w:fill="auto"/>
            <w:vAlign w:val="center"/>
          </w:tcPr>
          <w:p w14:paraId="7354A428" w14:textId="77777777" w:rsidR="0055022C" w:rsidRPr="002B7CCC" w:rsidRDefault="0055022C" w:rsidP="00C5398B">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12/2019</w:t>
            </w:r>
          </w:p>
        </w:tc>
      </w:tr>
      <w:tr w:rsidR="0055022C" w:rsidRPr="002B7CCC" w14:paraId="79568B0E" w14:textId="77777777" w:rsidTr="00C5398B">
        <w:trPr>
          <w:trHeight w:val="20"/>
        </w:trPr>
        <w:tc>
          <w:tcPr>
            <w:cnfStyle w:val="001000000000" w:firstRow="0" w:lastRow="0" w:firstColumn="1" w:lastColumn="0" w:oddVBand="0" w:evenVBand="0" w:oddHBand="0" w:evenHBand="0" w:firstRowFirstColumn="0" w:firstRowLastColumn="0" w:lastRowFirstColumn="0" w:lastRowLastColumn="0"/>
            <w:tcW w:w="1101" w:type="pct"/>
            <w:tcBorders>
              <w:top w:val="none" w:sz="0" w:space="0" w:color="auto"/>
              <w:left w:val="none" w:sz="0" w:space="0" w:color="auto"/>
              <w:bottom w:val="none" w:sz="0" w:space="0" w:color="auto"/>
            </w:tcBorders>
            <w:shd w:val="clear" w:color="auto" w:fill="auto"/>
            <w:vAlign w:val="center"/>
          </w:tcPr>
          <w:p w14:paraId="26CDE4C1" w14:textId="77777777" w:rsidR="0055022C" w:rsidRPr="002B7CCC" w:rsidRDefault="0055022C" w:rsidP="00CA4572">
            <w:pPr>
              <w:jc w:val="left"/>
              <w:rPr>
                <w:rFonts w:eastAsia="Calibri" w:cs="Times New Roman"/>
                <w:i w:val="0"/>
                <w:color w:val="000000"/>
                <w:sz w:val="20"/>
                <w:szCs w:val="20"/>
              </w:rPr>
            </w:pPr>
            <w:r w:rsidRPr="002B7CCC">
              <w:rPr>
                <w:rFonts w:eastAsia="Calibri" w:cs="Times New Roman"/>
                <w:i w:val="0"/>
                <w:color w:val="000000"/>
                <w:sz w:val="20"/>
                <w:szCs w:val="20"/>
              </w:rPr>
              <w:t>D3 Čadca, Bukov - Svrčinovec</w:t>
            </w:r>
          </w:p>
        </w:tc>
        <w:tc>
          <w:tcPr>
            <w:tcW w:w="385" w:type="pct"/>
            <w:shd w:val="clear" w:color="auto" w:fill="auto"/>
            <w:vAlign w:val="center"/>
          </w:tcPr>
          <w:p w14:paraId="43CD9AA0"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5,7</w:t>
            </w:r>
          </w:p>
        </w:tc>
        <w:tc>
          <w:tcPr>
            <w:tcW w:w="559" w:type="pct"/>
            <w:shd w:val="clear" w:color="auto" w:fill="auto"/>
            <w:vAlign w:val="center"/>
          </w:tcPr>
          <w:p w14:paraId="41B1D626"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239 113</w:t>
            </w:r>
          </w:p>
        </w:tc>
        <w:tc>
          <w:tcPr>
            <w:tcW w:w="423" w:type="pct"/>
            <w:shd w:val="clear" w:color="auto" w:fill="auto"/>
            <w:vAlign w:val="center"/>
          </w:tcPr>
          <w:p w14:paraId="5E714A77"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0</w:t>
            </w:r>
          </w:p>
        </w:tc>
        <w:tc>
          <w:tcPr>
            <w:tcW w:w="424" w:type="pct"/>
            <w:shd w:val="clear" w:color="auto" w:fill="auto"/>
            <w:vAlign w:val="center"/>
          </w:tcPr>
          <w:p w14:paraId="3B42AF31"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0</w:t>
            </w:r>
          </w:p>
        </w:tc>
        <w:tc>
          <w:tcPr>
            <w:tcW w:w="438" w:type="pct"/>
            <w:shd w:val="clear" w:color="auto" w:fill="auto"/>
            <w:vAlign w:val="center"/>
          </w:tcPr>
          <w:p w14:paraId="0847BD3A"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33 978</w:t>
            </w:r>
          </w:p>
        </w:tc>
        <w:tc>
          <w:tcPr>
            <w:tcW w:w="421" w:type="pct"/>
            <w:shd w:val="clear" w:color="auto" w:fill="auto"/>
            <w:vAlign w:val="center"/>
          </w:tcPr>
          <w:p w14:paraId="4333060E"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19 415</w:t>
            </w:r>
          </w:p>
        </w:tc>
        <w:tc>
          <w:tcPr>
            <w:tcW w:w="573" w:type="pct"/>
            <w:shd w:val="clear" w:color="auto" w:fill="auto"/>
            <w:vAlign w:val="center"/>
          </w:tcPr>
          <w:p w14:paraId="177C1277"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12/2020</w:t>
            </w:r>
          </w:p>
        </w:tc>
        <w:tc>
          <w:tcPr>
            <w:tcW w:w="676" w:type="pct"/>
            <w:shd w:val="clear" w:color="auto" w:fill="auto"/>
            <w:vAlign w:val="center"/>
          </w:tcPr>
          <w:p w14:paraId="0DDD2EBC" w14:textId="77777777" w:rsidR="0055022C" w:rsidRPr="002B7CCC" w:rsidRDefault="0055022C" w:rsidP="00C5398B">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18"/>
                <w:szCs w:val="18"/>
              </w:rPr>
            </w:pPr>
            <w:r w:rsidRPr="002B7CCC">
              <w:rPr>
                <w:rFonts w:eastAsia="Calibri" w:cs="Times New Roman"/>
                <w:color w:val="000000"/>
                <w:sz w:val="18"/>
                <w:szCs w:val="18"/>
              </w:rPr>
              <w:t>12/2020</w:t>
            </w:r>
          </w:p>
        </w:tc>
      </w:tr>
    </w:tbl>
    <w:p w14:paraId="08219119" w14:textId="77777777" w:rsidR="0055022C" w:rsidRPr="0039341A" w:rsidRDefault="0055022C" w:rsidP="00CA4572">
      <w:pPr>
        <w:jc w:val="both"/>
        <w:rPr>
          <w:rFonts w:eastAsia="Calibri" w:cs="Times New Roman"/>
          <w:i/>
          <w:sz w:val="18"/>
          <w:szCs w:val="20"/>
        </w:rPr>
      </w:pPr>
      <w:r w:rsidRPr="0039341A">
        <w:rPr>
          <w:rFonts w:eastAsia="Calibri" w:cs="Times New Roman"/>
          <w:i/>
          <w:sz w:val="18"/>
          <w:szCs w:val="20"/>
        </w:rPr>
        <w:t>Zdroj: MDV SR, RIS</w:t>
      </w:r>
    </w:p>
    <w:p w14:paraId="3C74EB58" w14:textId="7870BAA2" w:rsidR="0055022C" w:rsidRPr="002B7CCC" w:rsidRDefault="0055022C" w:rsidP="00CA4572">
      <w:pPr>
        <w:spacing w:before="120" w:after="120"/>
        <w:jc w:val="both"/>
        <w:rPr>
          <w:rFonts w:eastAsia="Calibri" w:cs="Times New Roman"/>
        </w:rPr>
      </w:pPr>
      <w:r w:rsidRPr="002B7CCC">
        <w:rPr>
          <w:rFonts w:eastAsia="Calibri" w:cs="Times New Roman"/>
        </w:rPr>
        <w:t xml:space="preserve">Prvé </w:t>
      </w:r>
      <w:r w:rsidR="00905816">
        <w:rPr>
          <w:rFonts w:eastAsia="Calibri" w:cs="Times New Roman"/>
        </w:rPr>
        <w:t>tri</w:t>
      </w:r>
      <w:r w:rsidRPr="002B7CCC">
        <w:rPr>
          <w:rFonts w:eastAsia="Calibri" w:cs="Times New Roman"/>
        </w:rPr>
        <w:t xml:space="preserve"> úseky uvedené v tabuľke patria medzi najviac problémové na diaľnici D1. Zároveň sú to najkľúčovejšie a najpotrebnejšie úseky. Druhý rok meškajúca časť D1 medzi </w:t>
      </w:r>
      <w:r w:rsidRPr="002B7CCC">
        <w:rPr>
          <w:rFonts w:eastAsia="Calibri" w:cs="Times New Roman"/>
          <w:b/>
        </w:rPr>
        <w:t>Hričovským Podhradím a Lietavskou Lúčkou</w:t>
      </w:r>
      <w:r w:rsidRPr="002B7CCC">
        <w:rPr>
          <w:rFonts w:eastAsia="Calibri" w:cs="Times New Roman"/>
        </w:rPr>
        <w:t xml:space="preserve"> je prakticky hotová a tesne pred otvorením (posledné financovanie bolo v júli 2019). Aj keď jej otvorenie bolo pôvodne naplánované na polovicu 2019, opätovne sa presunulo na rok 2020 </w:t>
      </w:r>
      <w:r w:rsidR="00CF3E6D">
        <w:rPr>
          <w:rFonts w:eastAsia="Calibri" w:cs="Times New Roman"/>
        </w:rPr>
        <w:t>(</w:t>
      </w:r>
      <w:r w:rsidRPr="002B7CCC">
        <w:rPr>
          <w:rFonts w:eastAsia="Calibri" w:cs="Times New Roman"/>
        </w:rPr>
        <w:t xml:space="preserve">kvôli nutnosti výstavby privádzača na túto diaľnicu, ktorý nebol súčasťou tendra a začal sa stavať oveľa neskôr). Bez neho by úsek nemal žiadne opodstatnenie a prakticky by skončil v poli. Dôvodom je nadväzujúci úsek </w:t>
      </w:r>
      <w:r w:rsidRPr="002B7CCC">
        <w:rPr>
          <w:rFonts w:eastAsia="Calibri" w:cs="Times New Roman"/>
          <w:b/>
        </w:rPr>
        <w:t>Lietavská Lúčka – Dubná Skala s tunelom Višňové</w:t>
      </w:r>
      <w:r w:rsidRPr="002B7CCC">
        <w:rPr>
          <w:rFonts w:eastAsia="Calibri" w:cs="Times New Roman"/>
        </w:rPr>
        <w:t>, ktorého výstavba sa zastavila. V 1. polroku 2019 došlo k rozviazaniu zmluvy so zhotoviteľom</w:t>
      </w:r>
      <w:r w:rsidR="00905816">
        <w:rPr>
          <w:rFonts w:eastAsia="Calibri" w:cs="Times New Roman"/>
        </w:rPr>
        <w:t>,</w:t>
      </w:r>
      <w:r w:rsidRPr="002B7CCC">
        <w:rPr>
          <w:rFonts w:eastAsia="Calibri" w:cs="Times New Roman"/>
        </w:rPr>
        <w:t xml:space="preserve"> v júni boli prefinancované posledné práce. Úsek</w:t>
      </w:r>
      <w:r w:rsidRPr="002B7CCC">
        <w:rPr>
          <w:rFonts w:ascii="Times New Roman" w:eastAsia="Calibri" w:hAnsi="Times New Roman" w:cs="Times New Roman"/>
          <w:sz w:val="24"/>
        </w:rPr>
        <w:t xml:space="preserve"> </w:t>
      </w:r>
      <w:r w:rsidRPr="002B7CCC">
        <w:rPr>
          <w:rFonts w:eastAsia="Calibri" w:cs="Times New Roman"/>
        </w:rPr>
        <w:t>čaká na nových zhotoviteľov a prakticky sa riešia iba administratívne úkony. Vzniklo tak vysoké riziko, že úsek nebude do konca 3. programového obdobia postavený a</w:t>
      </w:r>
      <w:r w:rsidR="00905816">
        <w:rPr>
          <w:rFonts w:eastAsia="Calibri" w:cs="Times New Roman"/>
        </w:rPr>
        <w:t> preto nebude</w:t>
      </w:r>
      <w:r w:rsidRPr="002B7CCC">
        <w:rPr>
          <w:rFonts w:eastAsia="Calibri" w:cs="Times New Roman"/>
        </w:rPr>
        <w:t xml:space="preserve"> jeho financovanie hradené z eurofondov.</w:t>
      </w:r>
    </w:p>
    <w:p w14:paraId="6C755B78" w14:textId="2F94C7D7" w:rsidR="0055022C" w:rsidRPr="002B7CCC" w:rsidRDefault="0055022C" w:rsidP="00CA4572">
      <w:pPr>
        <w:spacing w:before="120" w:after="120"/>
        <w:jc w:val="both"/>
        <w:rPr>
          <w:rFonts w:eastAsia="Calibri" w:cs="Times New Roman"/>
        </w:rPr>
      </w:pPr>
      <w:r w:rsidRPr="002B7CCC">
        <w:rPr>
          <w:rFonts w:eastAsia="Calibri" w:cs="Times New Roman"/>
        </w:rPr>
        <w:t xml:space="preserve">Ďalší úsek, </w:t>
      </w:r>
      <w:r w:rsidRPr="002B7CCC">
        <w:rPr>
          <w:rFonts w:eastAsia="Calibri" w:cs="Times New Roman"/>
          <w:b/>
        </w:rPr>
        <w:t xml:space="preserve">Hubová – Ivachnová, </w:t>
      </w:r>
      <w:r w:rsidRPr="002B7CCC">
        <w:rPr>
          <w:rFonts w:eastAsia="Calibri" w:cs="Times New Roman"/>
        </w:rPr>
        <w:t xml:space="preserve">nebol doposiaľ zazmluvnený a ani financovaný v rámci OPII, </w:t>
      </w:r>
      <w:r w:rsidR="00905816">
        <w:rPr>
          <w:rFonts w:eastAsia="Calibri" w:cs="Times New Roman"/>
        </w:rPr>
        <w:t xml:space="preserve">a to </w:t>
      </w:r>
      <w:r w:rsidRPr="002B7CCC">
        <w:rPr>
          <w:rFonts w:eastAsia="Calibri" w:cs="Times New Roman"/>
        </w:rPr>
        <w:t xml:space="preserve">aj napriek faktu, že výstavba sa obnovila už v priebehu roka 2018 a úsek bol zaradený medzi tzv. </w:t>
      </w:r>
      <w:r w:rsidR="00D35C06">
        <w:rPr>
          <w:rFonts w:eastAsia="Calibri" w:cs="Times New Roman"/>
        </w:rPr>
        <w:t xml:space="preserve">veľké </w:t>
      </w:r>
      <w:r w:rsidRPr="002B7CCC">
        <w:rPr>
          <w:rFonts w:eastAsia="Calibri" w:cs="Times New Roman"/>
        </w:rPr>
        <w:t>projekty, ktoré sa majú realizovať v rámci OPII. Vzhľadom na množstvo komplikácií, ktoré úsek sprevádzali (predĺženie výstavby, práce</w:t>
      </w:r>
      <w:r w:rsidR="00905816">
        <w:rPr>
          <w:rFonts w:eastAsia="Calibri" w:cs="Times New Roman"/>
        </w:rPr>
        <w:t xml:space="preserve"> navyše</w:t>
      </w:r>
      <w:r w:rsidRPr="002B7CCC">
        <w:rPr>
          <w:rFonts w:eastAsia="Calibri" w:cs="Times New Roman"/>
        </w:rPr>
        <w:t xml:space="preserve">, komplikácie pri realizácii objektu tunela, právne spory a iné) </w:t>
      </w:r>
      <w:r w:rsidRPr="002B7CCC">
        <w:rPr>
          <w:rFonts w:eastAsia="Calibri" w:cs="Times New Roman"/>
          <w:b/>
        </w:rPr>
        <w:t>vzniklo riziko, že na</w:t>
      </w:r>
      <w:r w:rsidR="00905816">
        <w:rPr>
          <w:rFonts w:eastAsia="Calibri" w:cs="Times New Roman"/>
          <w:b/>
        </w:rPr>
        <w:t>pokon</w:t>
      </w:r>
      <w:r w:rsidRPr="002B7CCC">
        <w:rPr>
          <w:rFonts w:eastAsia="Calibri" w:cs="Times New Roman"/>
          <w:b/>
        </w:rPr>
        <w:t xml:space="preserve"> jeho výstavba ani nebude financovaná prostredníctvom </w:t>
      </w:r>
      <w:r w:rsidR="00905816">
        <w:rPr>
          <w:rFonts w:eastAsia="Calibri" w:cs="Times New Roman"/>
          <w:b/>
        </w:rPr>
        <w:t xml:space="preserve">fondov </w:t>
      </w:r>
      <w:r w:rsidRPr="002B7CCC">
        <w:rPr>
          <w:rFonts w:eastAsia="Calibri" w:cs="Times New Roman"/>
          <w:b/>
        </w:rPr>
        <w:t xml:space="preserve">EÚ a zaťaží tak výdavkovú časť ŠR (k 31. 12. 2019 bolo na úsek vyčerpaných už 133,6 mil. eur, predovšetkým zo zdrojov </w:t>
      </w:r>
      <w:r w:rsidR="004E50B6">
        <w:rPr>
          <w:rFonts w:eastAsia="Calibri" w:cs="Times New Roman"/>
          <w:b/>
        </w:rPr>
        <w:t xml:space="preserve">ŠR prostredníctvom </w:t>
      </w:r>
      <w:r w:rsidRPr="002B7CCC">
        <w:rPr>
          <w:rFonts w:eastAsia="Calibri" w:cs="Times New Roman"/>
          <w:b/>
        </w:rPr>
        <w:t>NDS).</w:t>
      </w:r>
      <w:r w:rsidRPr="002B7CCC">
        <w:rPr>
          <w:rFonts w:eastAsia="Calibri" w:cs="Times New Roman"/>
        </w:rPr>
        <w:t xml:space="preserve"> </w:t>
      </w:r>
    </w:p>
    <w:p w14:paraId="6D42F5E3" w14:textId="77777777" w:rsidR="0055022C" w:rsidRPr="002B7CCC" w:rsidRDefault="0055022C" w:rsidP="00CA4572">
      <w:pPr>
        <w:spacing w:before="120" w:after="120"/>
        <w:jc w:val="both"/>
        <w:rPr>
          <w:rFonts w:eastAsia="Calibri" w:cs="Times New Roman"/>
        </w:rPr>
      </w:pPr>
      <w:r w:rsidRPr="002B7CCC">
        <w:rPr>
          <w:rFonts w:eastAsia="Calibri" w:cs="Times New Roman"/>
        </w:rPr>
        <w:t xml:space="preserve">Výstavba úsekov D1 pri Prešove a D3 pri Čadci nevykazovala počas roka 2019 zásadnejšie problémy a meškania. </w:t>
      </w:r>
    </w:p>
    <w:p w14:paraId="3CE009DD" w14:textId="75AF7F2B" w:rsidR="0055022C" w:rsidRDefault="0055022C" w:rsidP="00CA4572">
      <w:pPr>
        <w:spacing w:before="120" w:after="120"/>
        <w:jc w:val="both"/>
        <w:rPr>
          <w:rFonts w:eastAsia="Calibri" w:cs="Times New Roman"/>
          <w:b/>
          <w:color w:val="000000"/>
        </w:rPr>
      </w:pPr>
      <w:r w:rsidRPr="002B7CCC">
        <w:rPr>
          <w:rFonts w:eastAsia="Calibri" w:cs="Times New Roman"/>
          <w:b/>
          <w:color w:val="000000"/>
        </w:rPr>
        <w:t>NKÚ SR konštatuje, že splnenie plánu vybudovať 104,2 km</w:t>
      </w:r>
      <w:r w:rsidRPr="002B7CCC">
        <w:rPr>
          <w:rStyle w:val="Odkaznapoznmkupodiarou"/>
          <w:rFonts w:eastAsia="Calibri" w:cs="Times New Roman"/>
          <w:b/>
          <w:color w:val="000000"/>
        </w:rPr>
        <w:footnoteReference w:id="19"/>
      </w:r>
      <w:r w:rsidRPr="002B7CCC">
        <w:rPr>
          <w:rFonts w:eastAsia="Calibri" w:cs="Times New Roman"/>
          <w:b/>
          <w:color w:val="000000"/>
        </w:rPr>
        <w:t xml:space="preserve"> D a RC na prvku OPII Cestná infraštruktúra do roku 2021 je vzhľadom k vzniknutým komplikáciám na viacerých úsekoch málo pravdepodobné. </w:t>
      </w:r>
    </w:p>
    <w:p w14:paraId="68AE8636" w14:textId="3CAA6680" w:rsidR="00D52FBD" w:rsidRDefault="00D52FBD" w:rsidP="00CA4572">
      <w:pPr>
        <w:spacing w:before="120" w:after="120"/>
        <w:jc w:val="both"/>
        <w:rPr>
          <w:rFonts w:eastAsia="Calibri" w:cs="Times New Roman"/>
          <w:b/>
          <w:color w:val="000000"/>
        </w:rPr>
      </w:pPr>
    </w:p>
    <w:p w14:paraId="702B1882" w14:textId="77777777" w:rsidR="00D52FBD" w:rsidRPr="002B7CCC" w:rsidRDefault="00D52FBD" w:rsidP="00CA4572">
      <w:pPr>
        <w:spacing w:before="120" w:after="120"/>
        <w:jc w:val="both"/>
        <w:rPr>
          <w:rFonts w:eastAsia="Calibri" w:cs="Times New Roman"/>
          <w:b/>
          <w:color w:val="000000"/>
          <w:lang w:eastAsia="sk-SK"/>
        </w:rPr>
      </w:pPr>
    </w:p>
    <w:tbl>
      <w:tblPr>
        <w:tblStyle w:val="Mriekatabuky"/>
        <w:tblW w:w="5000" w:type="pct"/>
        <w:shd w:val="clear" w:color="auto" w:fill="B8CCE4" w:themeFill="accent1" w:themeFillTint="66"/>
        <w:tblLook w:val="04A0" w:firstRow="1" w:lastRow="0" w:firstColumn="1" w:lastColumn="0" w:noHBand="0" w:noVBand="1"/>
      </w:tblPr>
      <w:tblGrid>
        <w:gridCol w:w="9346"/>
      </w:tblGrid>
      <w:tr w:rsidR="0055022C" w:rsidRPr="002B7CCC" w14:paraId="13AE71FC" w14:textId="77777777" w:rsidTr="00303737">
        <w:tc>
          <w:tcPr>
            <w:tcW w:w="5000" w:type="pct"/>
            <w:shd w:val="clear" w:color="auto" w:fill="B8CCE4" w:themeFill="accent1" w:themeFillTint="66"/>
          </w:tcPr>
          <w:p w14:paraId="36E748E2" w14:textId="2FF87C8F" w:rsidR="0055022C" w:rsidRDefault="0055022C" w:rsidP="00CA4572">
            <w:pPr>
              <w:pStyle w:val="Default"/>
              <w:spacing w:before="120"/>
              <w:jc w:val="both"/>
              <w:rPr>
                <w:rFonts w:cs="ArialNarrow"/>
                <w:color w:val="auto"/>
                <w:sz w:val="20"/>
                <w:szCs w:val="20"/>
              </w:rPr>
            </w:pPr>
            <w:r>
              <w:rPr>
                <w:rFonts w:cs="ArialNarrow"/>
                <w:color w:val="auto"/>
                <w:sz w:val="20"/>
                <w:szCs w:val="20"/>
              </w:rPr>
              <w:t xml:space="preserve">Predmetom kontroly </w:t>
            </w:r>
            <w:r w:rsidRPr="00287CC2">
              <w:rPr>
                <w:rFonts w:cs="ArialNarrow"/>
                <w:b/>
                <w:color w:val="auto"/>
                <w:sz w:val="20"/>
                <w:szCs w:val="20"/>
              </w:rPr>
              <w:t>E</w:t>
            </w:r>
            <w:r>
              <w:rPr>
                <w:rFonts w:cs="ArialNarrow"/>
                <w:b/>
                <w:color w:val="auto"/>
                <w:sz w:val="20"/>
                <w:szCs w:val="20"/>
              </w:rPr>
              <w:t>lektronický výber</w:t>
            </w:r>
            <w:r w:rsidRPr="00287CC2">
              <w:rPr>
                <w:rFonts w:cs="ArialNarrow"/>
                <w:b/>
                <w:color w:val="auto"/>
                <w:sz w:val="20"/>
                <w:szCs w:val="20"/>
              </w:rPr>
              <w:t xml:space="preserve"> mýta</w:t>
            </w:r>
            <w:r>
              <w:rPr>
                <w:rFonts w:cs="ArialNarrow"/>
                <w:color w:val="auto"/>
                <w:sz w:val="20"/>
                <w:szCs w:val="20"/>
              </w:rPr>
              <w:t>, ktorú NKÚ SR vykonal v roku 2019, bolo preverenie efektívnosti výberu platieb z mýta a ich ďalšie smerovanie. Rovnak</w:t>
            </w:r>
            <w:r w:rsidR="00905816">
              <w:rPr>
                <w:rFonts w:cs="ArialNarrow"/>
                <w:color w:val="auto"/>
                <w:sz w:val="20"/>
                <w:szCs w:val="20"/>
              </w:rPr>
              <w:t>o bolo cieľom posúdiť výhodnosť</w:t>
            </w:r>
            <w:r>
              <w:rPr>
                <w:rFonts w:cs="ArialNarrow"/>
                <w:color w:val="auto"/>
                <w:sz w:val="20"/>
                <w:szCs w:val="20"/>
              </w:rPr>
              <w:t xml:space="preserve"> či nevýhodnosť poskytovanej služby aj do budúcna. </w:t>
            </w:r>
          </w:p>
          <w:p w14:paraId="61E3E555" w14:textId="41089146" w:rsidR="0055022C" w:rsidRDefault="0055022C" w:rsidP="00CA4572">
            <w:pPr>
              <w:pStyle w:val="Default"/>
              <w:spacing w:before="120"/>
              <w:jc w:val="both"/>
              <w:rPr>
                <w:rFonts w:cs="ArialNarrow"/>
                <w:color w:val="auto"/>
                <w:sz w:val="20"/>
                <w:szCs w:val="20"/>
              </w:rPr>
            </w:pPr>
            <w:r>
              <w:rPr>
                <w:rFonts w:cs="ArialNarrow"/>
                <w:color w:val="auto"/>
                <w:sz w:val="20"/>
                <w:szCs w:val="20"/>
              </w:rPr>
              <w:t>NKÚ SR zistil, že systém bol nastavený nehospodárne a</w:t>
            </w:r>
            <w:r w:rsidR="004B325C">
              <w:rPr>
                <w:rFonts w:cs="ArialNarrow"/>
                <w:color w:val="auto"/>
                <w:sz w:val="20"/>
                <w:szCs w:val="20"/>
              </w:rPr>
              <w:t> </w:t>
            </w:r>
            <w:r>
              <w:rPr>
                <w:rFonts w:cs="ArialNarrow"/>
                <w:color w:val="auto"/>
                <w:sz w:val="20"/>
                <w:szCs w:val="20"/>
              </w:rPr>
              <w:t>neefektívne</w:t>
            </w:r>
            <w:r w:rsidR="004B325C">
              <w:rPr>
                <w:rFonts w:cs="ArialNarrow"/>
                <w:color w:val="auto"/>
                <w:sz w:val="20"/>
                <w:szCs w:val="20"/>
              </w:rPr>
              <w:t>,</w:t>
            </w:r>
            <w:r>
              <w:rPr>
                <w:rFonts w:cs="ArialNarrow"/>
                <w:color w:val="auto"/>
                <w:sz w:val="20"/>
                <w:szCs w:val="20"/>
              </w:rPr>
              <w:t xml:space="preserve"> </w:t>
            </w:r>
            <w:r w:rsidR="004B325C">
              <w:rPr>
                <w:rFonts w:cs="ArialNarrow"/>
                <w:color w:val="auto"/>
                <w:sz w:val="20"/>
                <w:szCs w:val="20"/>
              </w:rPr>
              <w:t>že</w:t>
            </w:r>
            <w:r>
              <w:rPr>
                <w:rFonts w:cs="ArialNarrow"/>
                <w:color w:val="auto"/>
                <w:sz w:val="20"/>
                <w:szCs w:val="20"/>
              </w:rPr>
              <w:t> jeho pokračovanie by v budúcnosti priniesl</w:t>
            </w:r>
            <w:r w:rsidR="00CF3E6D">
              <w:rPr>
                <w:rFonts w:cs="ArialNarrow"/>
                <w:color w:val="auto"/>
                <w:sz w:val="20"/>
                <w:szCs w:val="20"/>
              </w:rPr>
              <w:t>o</w:t>
            </w:r>
            <w:r>
              <w:rPr>
                <w:rFonts w:cs="ArialNarrow"/>
                <w:color w:val="auto"/>
                <w:sz w:val="20"/>
                <w:szCs w:val="20"/>
              </w:rPr>
              <w:t xml:space="preserve"> vážne riziká v súvislosti s vlastníctvom technického zázemia pre výber mýta.</w:t>
            </w:r>
          </w:p>
          <w:p w14:paraId="7EE1E8E8" w14:textId="0BF8767C" w:rsidR="0055022C" w:rsidRPr="00383620" w:rsidRDefault="0055022C" w:rsidP="00CA4572">
            <w:pPr>
              <w:pStyle w:val="Default"/>
              <w:spacing w:before="120"/>
              <w:jc w:val="both"/>
              <w:rPr>
                <w:rFonts w:cs="ArialNarrow"/>
                <w:color w:val="auto"/>
                <w:sz w:val="20"/>
                <w:szCs w:val="20"/>
              </w:rPr>
            </w:pPr>
            <w:r>
              <w:rPr>
                <w:rFonts w:cs="ArialNarrow"/>
                <w:color w:val="auto"/>
                <w:sz w:val="20"/>
                <w:szCs w:val="20"/>
              </w:rPr>
              <w:t xml:space="preserve">Kontrola rovnako odhalila, že medzi rokmi 2014 – 2018 išlo z jedného eura zaplateného prostredníctvom mýta za užívanie spoplatnených úsekov ciest iba 10 centov na výstavbu D a RC. Distribúcia príjmov bola nastavená v prospech spoločnosti SkyToll, a. s., </w:t>
            </w:r>
            <w:r w:rsidRPr="00383620">
              <w:rPr>
                <w:rFonts w:cs="ArialNarrow"/>
                <w:color w:val="auto"/>
                <w:sz w:val="20"/>
                <w:szCs w:val="20"/>
              </w:rPr>
              <w:t xml:space="preserve">keď  zo sumy viac ako 1,5 mld. eur získala za roky existencie systému 760 mil. eur, čo predstavuje 48 % hodnoty mýta. Na účty iných zmluvných partnerov odišlo z výberu mýta 108 mil. eur a zvyšnú sumu 709 mil. eur získala NDS. Z tejto sumy NDS použila 47 % primárne na údržbu a opravy siete diaľnic a rýchlostných ciest, 26 % išlo na jej vlastnú prevádzku a iba zvyšných 20 % sa použilo na rozvoj diaľničnej siete. </w:t>
            </w:r>
          </w:p>
          <w:p w14:paraId="3BB1163A" w14:textId="557068B3" w:rsidR="0055022C" w:rsidRPr="00C8455E" w:rsidRDefault="0055022C" w:rsidP="00CF3E6D">
            <w:pPr>
              <w:pStyle w:val="Default"/>
              <w:spacing w:before="120"/>
              <w:jc w:val="both"/>
              <w:rPr>
                <w:rFonts w:cs="ArialNarrow"/>
                <w:color w:val="auto"/>
                <w:sz w:val="20"/>
                <w:szCs w:val="20"/>
              </w:rPr>
            </w:pPr>
            <w:r w:rsidRPr="009958E7">
              <w:rPr>
                <w:rFonts w:cs="ArialNarrow"/>
                <w:color w:val="auto"/>
                <w:sz w:val="20"/>
                <w:szCs w:val="20"/>
              </w:rPr>
              <w:t xml:space="preserve">Záverom kontroly </w:t>
            </w:r>
            <w:r w:rsidR="00CF3E6D">
              <w:rPr>
                <w:rFonts w:cs="ArialNarrow"/>
                <w:color w:val="auto"/>
                <w:sz w:val="20"/>
                <w:szCs w:val="20"/>
              </w:rPr>
              <w:t>je</w:t>
            </w:r>
            <w:r w:rsidRPr="009958E7">
              <w:rPr>
                <w:rFonts w:cs="ArialNarrow"/>
                <w:color w:val="auto"/>
                <w:sz w:val="20"/>
                <w:szCs w:val="20"/>
              </w:rPr>
              <w:t xml:space="preserve"> tak konštatovanie o neplnení základného cieľa tohto projektu a o minimálnom finančnom príspevku k výstavbe D a RC.</w:t>
            </w:r>
          </w:p>
        </w:tc>
      </w:tr>
    </w:tbl>
    <w:p w14:paraId="079E7E47" w14:textId="77777777" w:rsidR="0055022C" w:rsidRPr="002B7CCC" w:rsidRDefault="0055022C" w:rsidP="00CA4572">
      <w:pPr>
        <w:spacing w:before="120" w:after="120"/>
        <w:rPr>
          <w:b/>
        </w:rPr>
      </w:pPr>
      <w:r w:rsidRPr="002B7CCC">
        <w:rPr>
          <w:b/>
        </w:rPr>
        <w:t>Cesty I. triedy</w:t>
      </w:r>
    </w:p>
    <w:p w14:paraId="6F9DD757" w14:textId="102F0A0D" w:rsidR="0055022C" w:rsidRPr="002B7CCC" w:rsidRDefault="0055022C" w:rsidP="00CF3E6D">
      <w:pPr>
        <w:pStyle w:val="Bezriadkovania"/>
        <w:spacing w:before="120" w:after="120"/>
        <w:jc w:val="both"/>
        <w:rPr>
          <w:rFonts w:eastAsia="Calibri"/>
        </w:rPr>
      </w:pPr>
      <w:r w:rsidRPr="002B7CCC">
        <w:rPr>
          <w:rFonts w:eastAsiaTheme="minorHAnsi"/>
          <w:szCs w:val="22"/>
        </w:rPr>
        <w:t>Každoročné upozornenia NKÚ SR na nedostatočné financovanie ciest I. triedy zo ŠR sa opakujú aj v roku 2019. Už pri plánovaní rozpočtu smerovali výhrady NKÚ SR k nedostatku prostriedkov na prvku Údržba a opravy ciest I. triedy.</w:t>
      </w:r>
      <w:r w:rsidR="00CF3E6D">
        <w:rPr>
          <w:rFonts w:eastAsiaTheme="minorHAnsi"/>
          <w:szCs w:val="22"/>
        </w:rPr>
        <w:t xml:space="preserve"> </w:t>
      </w:r>
      <w:r w:rsidR="003A0142">
        <w:rPr>
          <w:rFonts w:eastAsia="Calibri"/>
        </w:rPr>
        <w:t>S</w:t>
      </w:r>
      <w:r w:rsidRPr="002B7CCC">
        <w:rPr>
          <w:rFonts w:eastAsia="Calibri"/>
        </w:rPr>
        <w:t xml:space="preserve">amotný plán na tomto prvku – </w:t>
      </w:r>
      <w:r w:rsidRPr="002B7CCC">
        <w:rPr>
          <w:rFonts w:eastAsia="Calibri"/>
          <w:b/>
        </w:rPr>
        <w:t>každoročne splniť štandard údržby a opráv ciest I. triedy na 55 %</w:t>
      </w:r>
      <w:r w:rsidRPr="002B7CCC">
        <w:rPr>
          <w:rFonts w:eastAsia="Calibri"/>
        </w:rPr>
        <w:t xml:space="preserve">, je neambiciózny pri tak dlhodobo poddimenzovanej oblasti, akou sú cesty I. triedy. Aby sa kvalita vozoviek dostala do lepšieho stavu, obnova musí prebiehať vo väčších intenzitách. </w:t>
      </w:r>
    </w:p>
    <w:p w14:paraId="155B07BD" w14:textId="1F13A6FA" w:rsidR="0055022C" w:rsidRPr="002B7CCC" w:rsidRDefault="0055022C" w:rsidP="00CA4572">
      <w:pPr>
        <w:spacing w:before="120" w:after="120"/>
        <w:jc w:val="both"/>
        <w:rPr>
          <w:color w:val="000000"/>
        </w:rPr>
      </w:pPr>
      <w:r w:rsidRPr="002B7CCC">
        <w:rPr>
          <w:rFonts w:eastAsia="Calibri"/>
        </w:rPr>
        <w:t>Aj pri ďalšom pláne – presunúť 10 km ciest I. triedy z 5. a 4. kvalifikačného stupňa do 1. kvalifikačného stupňa</w:t>
      </w:r>
      <w:r w:rsidR="003A0142">
        <w:rPr>
          <w:rFonts w:eastAsia="Calibri"/>
        </w:rPr>
        <w:t xml:space="preserve"> </w:t>
      </w:r>
      <w:r w:rsidRPr="002B7CCC">
        <w:rPr>
          <w:rFonts w:eastAsia="Calibri"/>
        </w:rPr>
        <w:t>možn</w:t>
      </w:r>
      <w:r w:rsidR="00E42F03">
        <w:rPr>
          <w:rFonts w:eastAsia="Calibri"/>
        </w:rPr>
        <w:t>o</w:t>
      </w:r>
      <w:r w:rsidRPr="002B7CCC">
        <w:rPr>
          <w:rFonts w:eastAsia="Calibri"/>
        </w:rPr>
        <w:t xml:space="preserve"> konštatovať, že je nastavený málo ambiciózne vo vzťahu k celkovému stavu vozoviek I. triedy. </w:t>
      </w:r>
      <w:r w:rsidRPr="002B7CCC">
        <w:rPr>
          <w:b/>
          <w:color w:val="000000"/>
        </w:rPr>
        <w:t>V roku 2019 pripadalo na 1 km ciest I. triedy vo veľmi dobrom stave približne 0,8 km ciest v nevyhovujúcom a havarijnom stave</w:t>
      </w:r>
      <w:r w:rsidRPr="002B7CCC">
        <w:rPr>
          <w:rStyle w:val="Odkaznapoznmkupodiarou"/>
          <w:b/>
          <w:color w:val="000000"/>
        </w:rPr>
        <w:footnoteReference w:id="20"/>
      </w:r>
      <w:r w:rsidRPr="002B7CCC">
        <w:rPr>
          <w:b/>
          <w:color w:val="000000"/>
        </w:rPr>
        <w:t>.</w:t>
      </w:r>
      <w:r w:rsidRPr="002B7CCC">
        <w:rPr>
          <w:color w:val="000000"/>
        </w:rPr>
        <w:t xml:space="preserve"> Skutočný počet km vozoviek presunutých do lepšieho kvalifikačného stupňa bol nakoniec vyšší, keď plnenie plánu dosiahlo 168,4 %. </w:t>
      </w:r>
      <w:r w:rsidR="00A471FD" w:rsidRPr="002B7CCC">
        <w:rPr>
          <w:color w:val="000000"/>
        </w:rPr>
        <w:t xml:space="preserve">Ako naznačuje aj </w:t>
      </w:r>
      <w:r w:rsidR="00A471FD">
        <w:rPr>
          <w:color w:val="000000"/>
        </w:rPr>
        <w:t>G</w:t>
      </w:r>
      <w:r w:rsidR="00A471FD" w:rsidRPr="002B7CCC">
        <w:rPr>
          <w:color w:val="000000"/>
        </w:rPr>
        <w:t xml:space="preserve">raf </w:t>
      </w:r>
      <w:r w:rsidR="00A471FD">
        <w:rPr>
          <w:color w:val="000000"/>
        </w:rPr>
        <w:t>26</w:t>
      </w:r>
      <w:r w:rsidR="00A471FD" w:rsidRPr="002B7CCC">
        <w:rPr>
          <w:color w:val="000000"/>
        </w:rPr>
        <w:t>, stále je to však nízke číslo.</w:t>
      </w:r>
    </w:p>
    <w:tbl>
      <w:tblPr>
        <w:tblStyle w:val="Mriekatabuk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5022C" w:rsidRPr="002B7CCC" w14:paraId="434CA8B2" w14:textId="77777777" w:rsidTr="00EB0444">
        <w:trPr>
          <w:trHeight w:val="211"/>
        </w:trPr>
        <w:tc>
          <w:tcPr>
            <w:tcW w:w="5000" w:type="pct"/>
            <w:tcBorders>
              <w:top w:val="single" w:sz="4" w:space="0" w:color="auto"/>
              <w:bottom w:val="single" w:sz="4" w:space="0" w:color="auto"/>
            </w:tcBorders>
            <w:shd w:val="clear" w:color="auto" w:fill="0070C0"/>
          </w:tcPr>
          <w:p w14:paraId="60449D1F" w14:textId="217DD533" w:rsidR="0055022C" w:rsidRPr="002B7CCC" w:rsidRDefault="00CD2D36" w:rsidP="00A471FD">
            <w:pPr>
              <w:contextualSpacing/>
              <w:jc w:val="both"/>
              <w:rPr>
                <w:rFonts w:eastAsia="Times New Roman" w:cs="Times New Roman"/>
                <w:b/>
              </w:rPr>
            </w:pPr>
            <w:r>
              <w:rPr>
                <w:rFonts w:eastAsia="Times New Roman" w:cs="Times New Roman"/>
                <w:b/>
                <w:color w:val="FFFFFF"/>
              </w:rPr>
              <w:t>Graf 2</w:t>
            </w:r>
            <w:r w:rsidR="00A471FD">
              <w:rPr>
                <w:rFonts w:eastAsia="Times New Roman" w:cs="Times New Roman"/>
                <w:b/>
                <w:color w:val="FFFFFF"/>
              </w:rPr>
              <w:t>6</w:t>
            </w:r>
            <w:r>
              <w:rPr>
                <w:rFonts w:eastAsia="Times New Roman" w:cs="Times New Roman"/>
                <w:b/>
                <w:color w:val="FFFFFF"/>
              </w:rPr>
              <w:t xml:space="preserve">: </w:t>
            </w:r>
            <w:r w:rsidR="0055022C" w:rsidRPr="002B7CCC">
              <w:rPr>
                <w:rFonts w:eastAsia="Times New Roman" w:cs="Times New Roman"/>
                <w:b/>
                <w:color w:val="FFFFFF"/>
              </w:rPr>
              <w:t xml:space="preserve">Prehľad stavu ciest I. triedy podľa jednotlivých kategórií za rok 2019 </w:t>
            </w:r>
            <w:r w:rsidR="00AC0AB6">
              <w:rPr>
                <w:rFonts w:eastAsia="Times New Roman" w:cs="Times New Roman"/>
                <w:b/>
                <w:color w:val="FFFFFF"/>
              </w:rPr>
              <w:t>(</w:t>
            </w:r>
            <w:r w:rsidR="0055022C" w:rsidRPr="002B7CCC">
              <w:rPr>
                <w:rFonts w:eastAsia="Times New Roman" w:cs="Times New Roman"/>
                <w:b/>
                <w:color w:val="FFFFFF"/>
              </w:rPr>
              <w:t>v km</w:t>
            </w:r>
            <w:r w:rsidR="00AC0AB6">
              <w:rPr>
                <w:rFonts w:eastAsia="Times New Roman" w:cs="Times New Roman"/>
                <w:b/>
                <w:color w:val="FFFFFF"/>
              </w:rPr>
              <w:t>)</w:t>
            </w:r>
          </w:p>
        </w:tc>
      </w:tr>
      <w:tr w:rsidR="0055022C" w:rsidRPr="002B7CCC" w14:paraId="1C7289BB" w14:textId="77777777" w:rsidTr="00EB0444">
        <w:tblPrEx>
          <w:tblCellMar>
            <w:left w:w="70" w:type="dxa"/>
            <w:right w:w="70" w:type="dxa"/>
          </w:tblCellMar>
        </w:tblPrEx>
        <w:trPr>
          <w:trHeight w:val="2778"/>
        </w:trPr>
        <w:tc>
          <w:tcPr>
            <w:tcW w:w="5000" w:type="pct"/>
            <w:tcBorders>
              <w:top w:val="single" w:sz="4" w:space="0" w:color="auto"/>
              <w:bottom w:val="single" w:sz="4" w:space="0" w:color="auto"/>
            </w:tcBorders>
          </w:tcPr>
          <w:p w14:paraId="6EF086DC" w14:textId="2E41BC50" w:rsidR="0055022C" w:rsidRPr="002B7CCC" w:rsidRDefault="00A471FD" w:rsidP="00CA4572">
            <w:pPr>
              <w:contextualSpacing/>
              <w:jc w:val="both"/>
              <w:rPr>
                <w:rFonts w:ascii="Calibri" w:eastAsia="Times New Roman" w:hAnsi="Calibri" w:cs="Times New Roman"/>
                <w:szCs w:val="32"/>
              </w:rPr>
            </w:pPr>
            <w:r w:rsidRPr="002B7CCC">
              <w:rPr>
                <w:noProof/>
                <w:lang w:eastAsia="sk-SK"/>
              </w:rPr>
              <w:drawing>
                <wp:inline distT="0" distB="0" distL="0" distR="0" wp14:anchorId="2AE206F4" wp14:editId="02930ECB">
                  <wp:extent cx="5852160" cy="1950720"/>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14:paraId="711A7C4F" w14:textId="77777777" w:rsidR="0055022C" w:rsidRPr="0039341A" w:rsidRDefault="0055022C" w:rsidP="00CA4572">
      <w:pPr>
        <w:jc w:val="both"/>
        <w:rPr>
          <w:i/>
          <w:color w:val="000000"/>
          <w:sz w:val="18"/>
        </w:rPr>
      </w:pPr>
      <w:r w:rsidRPr="0039341A">
        <w:rPr>
          <w:i/>
          <w:color w:val="000000"/>
          <w:sz w:val="18"/>
        </w:rPr>
        <w:t>Zdroj: SSC</w:t>
      </w:r>
    </w:p>
    <w:p w14:paraId="0098BD88" w14:textId="7EAD696C" w:rsidR="0055022C" w:rsidRDefault="0055022C" w:rsidP="00CA4572">
      <w:pPr>
        <w:spacing w:before="120"/>
        <w:jc w:val="both"/>
        <w:rPr>
          <w:rFonts w:eastAsia="Calibri" w:cs="Times New Roman"/>
          <w:color w:val="000000"/>
        </w:rPr>
      </w:pPr>
      <w:r w:rsidRPr="002B7CCC">
        <w:rPr>
          <w:rFonts w:eastAsia="Calibri" w:cs="Times New Roman"/>
          <w:b/>
          <w:color w:val="000000"/>
        </w:rPr>
        <w:t>Od roku 2016 sa na tomto prvku rozpočtuje rovnaká výška výdavkov.</w:t>
      </w:r>
      <w:r w:rsidRPr="002B7CCC">
        <w:rPr>
          <w:rFonts w:eastAsia="Calibri" w:cs="Times New Roman"/>
          <w:color w:val="000000"/>
        </w:rPr>
        <w:t xml:space="preserve"> Aj na rok 2019 boli rozpočtované výdavky na rovnakej úrovni – 40</w:t>
      </w:r>
      <w:r w:rsidR="00241885">
        <w:rPr>
          <w:rFonts w:eastAsia="Calibri" w:cs="Times New Roman"/>
          <w:color w:val="000000"/>
        </w:rPr>
        <w:t>,</w:t>
      </w:r>
      <w:r w:rsidRPr="002B7CCC">
        <w:rPr>
          <w:rFonts w:eastAsia="Calibri" w:cs="Times New Roman"/>
          <w:color w:val="000000"/>
        </w:rPr>
        <w:t xml:space="preserve">5 </w:t>
      </w:r>
      <w:r w:rsidR="00241885">
        <w:rPr>
          <w:rFonts w:eastAsia="Calibri" w:cs="Times New Roman"/>
          <w:color w:val="000000"/>
        </w:rPr>
        <w:t>m</w:t>
      </w:r>
      <w:r w:rsidRPr="002B7CCC">
        <w:rPr>
          <w:rFonts w:eastAsia="Calibri" w:cs="Times New Roman"/>
          <w:color w:val="000000"/>
        </w:rPr>
        <w:t>i</w:t>
      </w:r>
      <w:r w:rsidR="00241885">
        <w:rPr>
          <w:rFonts w:eastAsia="Calibri" w:cs="Times New Roman"/>
          <w:color w:val="000000"/>
        </w:rPr>
        <w:t>l</w:t>
      </w:r>
      <w:r w:rsidRPr="002B7CCC">
        <w:rPr>
          <w:rFonts w:eastAsia="Calibri" w:cs="Times New Roman"/>
          <w:color w:val="000000"/>
        </w:rPr>
        <w:t>. eur.</w:t>
      </w:r>
      <w:r w:rsidRPr="002B7CCC">
        <w:rPr>
          <w:rFonts w:eastAsia="Calibri" w:cs="Times New Roman"/>
          <w:b/>
          <w:color w:val="000000"/>
        </w:rPr>
        <w:t xml:space="preserve"> </w:t>
      </w:r>
      <w:r w:rsidRPr="002B7CCC">
        <w:rPr>
          <w:rFonts w:eastAsia="Calibri" w:cs="Times New Roman"/>
        </w:rPr>
        <w:t xml:space="preserve">Počas roka sa nenašli dodatočné prostriedky, keď skutočné čerpanie dosiahlo iba o 148 tis. eur viac oproti schválenému rozpočtu </w:t>
      </w:r>
      <w:r w:rsidRPr="002B7CCC">
        <w:rPr>
          <w:rFonts w:eastAsia="Calibri" w:cs="Times New Roman"/>
          <w:color w:val="000000"/>
        </w:rPr>
        <w:t xml:space="preserve">a v porovnaní s rokom 2018 dokonca pokleslo o viac ako 14,5 mil. eur. </w:t>
      </w:r>
    </w:p>
    <w:p w14:paraId="7EABB5B6" w14:textId="12EC9D48" w:rsidR="0055022C" w:rsidRPr="00862E18" w:rsidRDefault="0055022C" w:rsidP="00CA4572">
      <w:pPr>
        <w:spacing w:before="120"/>
        <w:jc w:val="both"/>
        <w:rPr>
          <w:rFonts w:eastAsia="Calibri" w:cs="Times New Roman"/>
          <w:color w:val="000000"/>
        </w:rPr>
      </w:pPr>
      <w:r w:rsidRPr="002B7CCC">
        <w:rPr>
          <w:rFonts w:eastAsia="Calibri" w:cs="Times New Roman"/>
          <w:b/>
          <w:color w:val="000000"/>
        </w:rPr>
        <w:t>Podľa NKÚ SR nemožn</w:t>
      </w:r>
      <w:r w:rsidR="00E42F03">
        <w:rPr>
          <w:rFonts w:eastAsia="Calibri" w:cs="Times New Roman"/>
          <w:b/>
          <w:color w:val="000000"/>
        </w:rPr>
        <w:t>o</w:t>
      </w:r>
      <w:r w:rsidRPr="002B7CCC">
        <w:rPr>
          <w:rFonts w:eastAsia="Calibri" w:cs="Times New Roman"/>
          <w:b/>
          <w:color w:val="000000"/>
        </w:rPr>
        <w:t xml:space="preserve"> na základe tak nízko definovaných plánov, dosahovať výraznejšie zlepšenie kvality ciest I. triedy.</w:t>
      </w:r>
      <w:r w:rsidRPr="002B7CCC">
        <w:rPr>
          <w:rFonts w:eastAsia="Calibri" w:cs="Times New Roman"/>
          <w:color w:val="000000"/>
        </w:rPr>
        <w:t xml:space="preserve"> Rovnaké plány si rezort dopravy stanovil aj na roky 2020 až 2022. Aby sa v budúcnosti zabezpečili kvalitnejšie a bezpečnejšie cesty, je nevyhnutné v tejto kľúčovej oblasti nastaviť ambicióznejšie plány a </w:t>
      </w:r>
      <w:r w:rsidR="00E42F03">
        <w:rPr>
          <w:rFonts w:eastAsia="Calibri" w:cs="Times New Roman"/>
          <w:color w:val="000000"/>
        </w:rPr>
        <w:t>úmerne</w:t>
      </w:r>
      <w:r w:rsidRPr="002B7CCC">
        <w:rPr>
          <w:rFonts w:eastAsia="Calibri" w:cs="Times New Roman"/>
          <w:color w:val="000000"/>
        </w:rPr>
        <w:t xml:space="preserve"> zvýšiť výdavky. </w:t>
      </w:r>
    </w:p>
    <w:p w14:paraId="1C6706E0" w14:textId="5F0625E2" w:rsidR="0055022C" w:rsidRPr="00885D86" w:rsidRDefault="00E42F03" w:rsidP="00CA4572">
      <w:pPr>
        <w:spacing w:before="120" w:after="120"/>
        <w:jc w:val="both"/>
      </w:pPr>
      <w:r>
        <w:rPr>
          <w:rFonts w:eastAsia="Calibri"/>
          <w:b/>
        </w:rPr>
        <w:t>Ani ď</w:t>
      </w:r>
      <w:r w:rsidR="0055022C" w:rsidRPr="002B7CCC">
        <w:rPr>
          <w:b/>
        </w:rPr>
        <w:t>alší z merateľných ukazovateľov, ktorý súvisí s kvalitou ciest I. triedy, negarantuje dosiahnutou skutočnosťou za rok 2019 zlepšenie na týchto komunikáciách</w:t>
      </w:r>
      <w:r w:rsidR="0055022C" w:rsidRPr="002B7CCC">
        <w:t xml:space="preserve">. Podľa NKÚ SR už plán – odovzdať v roku 2019 </w:t>
      </w:r>
      <w:r w:rsidR="0055022C" w:rsidRPr="002B7CCC">
        <w:lastRenderedPageBreak/>
        <w:t>iba 1 km nových, resp. zrekonštruovaných úsekov, bol nastavený nedostatočne (rovnaký plán je nastavený aj na roky 2020 až 2022). Skutočne bolo odovzdaných 16,835 km nových a zrekonštruovaných ciest. Na tento účel bolo na rok 2019 rozpočtovaných 2,97 mil. eur a skutočne sa vyčerpalo 11,95 mil. eur. Pre porovnanie</w:t>
      </w:r>
      <w:r>
        <w:t>:</w:t>
      </w:r>
      <w:r w:rsidR="0055022C" w:rsidRPr="002B7CCC">
        <w:t xml:space="preserve"> na prvku, ktorý súvisí iba s výstavbou verejných účelových komunikácií pri strategickom parku Nitra</w:t>
      </w:r>
      <w:r w:rsidR="00D82D78">
        <w:t>,</w:t>
      </w:r>
      <w:r w:rsidR="0055022C" w:rsidRPr="002B7CCC">
        <w:t xml:space="preserve"> bolo v rovnakom období použitých 10</w:t>
      </w:r>
      <w:r w:rsidR="00241885">
        <w:t>,9</w:t>
      </w:r>
      <w:r w:rsidR="0055022C" w:rsidRPr="002B7CCC">
        <w:t xml:space="preserve"> </w:t>
      </w:r>
      <w:r w:rsidR="00241885">
        <w:t>m</w:t>
      </w:r>
      <w:r w:rsidR="0055022C" w:rsidRPr="002B7CCC">
        <w:t>i</w:t>
      </w:r>
      <w:r w:rsidR="00241885">
        <w:t>l</w:t>
      </w:r>
      <w:r w:rsidR="0055022C" w:rsidRPr="002B7CCC">
        <w:t>. eur.</w:t>
      </w:r>
      <w:r w:rsidR="0055022C">
        <w:t xml:space="preserve"> </w:t>
      </w:r>
      <w:r w:rsidR="0055022C" w:rsidRPr="002B7CCC">
        <w:t>V prípade prvku, ktorý je financovaný z prostriedkov EÚ (OPII)</w:t>
      </w:r>
      <w:r>
        <w:t>,</w:t>
      </w:r>
      <w:r w:rsidR="0055022C" w:rsidRPr="002B7CCC">
        <w:t xml:space="preserve"> bolo v roku 2019 zmodernizovaných 20 km ciest I. triedy za 1</w:t>
      </w:r>
      <w:r w:rsidR="00241885">
        <w:t>4</w:t>
      </w:r>
      <w:r w:rsidR="0055022C" w:rsidRPr="002B7CCC">
        <w:t xml:space="preserve"> </w:t>
      </w:r>
      <w:r w:rsidR="00241885">
        <w:t>mil</w:t>
      </w:r>
      <w:r w:rsidR="0055022C" w:rsidRPr="002B7CCC">
        <w:t>. eur.</w:t>
      </w:r>
    </w:p>
    <w:p w14:paraId="2F65E6DE" w14:textId="77777777" w:rsidR="0055022C" w:rsidRPr="007F64A0" w:rsidRDefault="0055022C" w:rsidP="007534CE">
      <w:pPr>
        <w:pStyle w:val="Nadpis3"/>
        <w:numPr>
          <w:ilvl w:val="2"/>
          <w:numId w:val="23"/>
        </w:numPr>
      </w:pPr>
      <w:bookmarkStart w:id="58" w:name="_Toc43218086"/>
      <w:r w:rsidRPr="007F64A0">
        <w:t>Železničná doprava</w:t>
      </w:r>
      <w:bookmarkEnd w:id="58"/>
    </w:p>
    <w:p w14:paraId="5F12C9DB" w14:textId="30C23B48" w:rsidR="0055022C" w:rsidRPr="002B7CCC" w:rsidRDefault="0055022C" w:rsidP="0039341A">
      <w:pPr>
        <w:pStyle w:val="Bezriadkovania"/>
        <w:spacing w:before="120"/>
        <w:jc w:val="both"/>
        <w:rPr>
          <w:rFonts w:eastAsiaTheme="minorHAnsi"/>
          <w:szCs w:val="22"/>
        </w:rPr>
      </w:pPr>
      <w:r w:rsidRPr="002B7CCC">
        <w:rPr>
          <w:rFonts w:eastAsiaTheme="minorHAnsi"/>
          <w:b/>
          <w:szCs w:val="22"/>
        </w:rPr>
        <w:t>Prostriedky smerujúce do železničnej dopravy zo štátneho rozpočtu sa oproti predchádzajúcemu obdobiu navýšili o 114 053 tis. eur</w:t>
      </w:r>
      <w:r w:rsidRPr="002B7CCC">
        <w:rPr>
          <w:rFonts w:eastAsiaTheme="minorHAnsi"/>
          <w:szCs w:val="22"/>
        </w:rPr>
        <w:t xml:space="preserve"> </w:t>
      </w:r>
      <w:r w:rsidR="00E42F03">
        <w:rPr>
          <w:rFonts w:eastAsia="Calibri"/>
        </w:rPr>
        <w:t>–</w:t>
      </w:r>
      <w:r w:rsidRPr="002B7CCC">
        <w:rPr>
          <w:rFonts w:eastAsiaTheme="minorHAnsi"/>
          <w:szCs w:val="22"/>
        </w:rPr>
        <w:t xml:space="preserve"> 658 023 tis. eur. </w:t>
      </w:r>
    </w:p>
    <w:p w14:paraId="6ED6C8AC" w14:textId="2B93A4BE" w:rsidR="0055022C" w:rsidRPr="002B7CCC" w:rsidRDefault="0055022C" w:rsidP="0039341A">
      <w:pPr>
        <w:pStyle w:val="Bezriadkovania"/>
        <w:spacing w:before="120"/>
        <w:jc w:val="both"/>
        <w:rPr>
          <w:rFonts w:eastAsiaTheme="minorHAnsi"/>
          <w:szCs w:val="22"/>
        </w:rPr>
      </w:pPr>
      <w:r w:rsidRPr="002B7CCC">
        <w:rPr>
          <w:rFonts w:eastAsiaTheme="minorHAnsi"/>
          <w:b/>
          <w:szCs w:val="22"/>
        </w:rPr>
        <w:t>Financovanie z fondov EÚ do železničnej infraštruktúry zaznamenalo medziročný pokles o takmer 50 %</w:t>
      </w:r>
      <w:r w:rsidR="00E42F03">
        <w:rPr>
          <w:rFonts w:eastAsiaTheme="minorHAnsi"/>
          <w:b/>
          <w:szCs w:val="22"/>
        </w:rPr>
        <w:t>,</w:t>
      </w:r>
      <w:r w:rsidRPr="002B7CCC">
        <w:rPr>
          <w:rFonts w:eastAsiaTheme="minorHAnsi"/>
          <w:b/>
          <w:szCs w:val="22"/>
        </w:rPr>
        <w:t xml:space="preserve"> na úroveň 96 774 tis. eur.</w:t>
      </w:r>
      <w:r w:rsidRPr="002B7CCC">
        <w:rPr>
          <w:rFonts w:eastAsiaTheme="minorHAnsi"/>
          <w:szCs w:val="22"/>
        </w:rPr>
        <w:t xml:space="preserve"> Skoro všetky tieto prostriedky boli použité v rámci prvku Železničná infraštruktúra (TEN-T) a obnova mobilných prostriedkov, ktorý sa zameriava na modernizáciu hlavných železničných koridorov v SR. Naopak</w:t>
      </w:r>
      <w:r w:rsidR="000E1E47">
        <w:rPr>
          <w:rFonts w:eastAsiaTheme="minorHAnsi"/>
          <w:szCs w:val="22"/>
        </w:rPr>
        <w:t>,</w:t>
      </w:r>
      <w:r w:rsidRPr="002B7CCC">
        <w:rPr>
          <w:rFonts w:eastAsiaTheme="minorHAnsi"/>
          <w:szCs w:val="22"/>
        </w:rPr>
        <w:t xml:space="preserve"> prvok zameraný na modernizáciu regionálnych tratí (mimo TEN-T Core) zaznamenal opäť takmer nulové čerpanie, keď z naplánovaného rozpočtu 27 014 tis. eur sa vyčerpalo iba 314 tis. eur. Od začiatku 3. programového obdobia sa na tomto prvku čerpalo minimum prostriedkov – iba 0,51 % z celkovej alokácie 3</w:t>
      </w:r>
      <w:r w:rsidR="00773FA8">
        <w:rPr>
          <w:rFonts w:eastAsiaTheme="minorHAnsi"/>
          <w:szCs w:val="22"/>
        </w:rPr>
        <w:t>32</w:t>
      </w:r>
      <w:r w:rsidRPr="002B7CCC">
        <w:rPr>
          <w:rFonts w:eastAsiaTheme="minorHAnsi"/>
          <w:szCs w:val="22"/>
        </w:rPr>
        <w:t> 038 tis. eur</w:t>
      </w:r>
      <w:r w:rsidR="00E42F03">
        <w:rPr>
          <w:rFonts w:eastAsiaTheme="minorHAnsi"/>
          <w:szCs w:val="22"/>
          <w:lang w:val="en-US"/>
        </w:rPr>
        <w:t>;</w:t>
      </w:r>
      <w:r w:rsidRPr="002B7CCC">
        <w:rPr>
          <w:rFonts w:eastAsiaTheme="minorHAnsi"/>
          <w:szCs w:val="22"/>
        </w:rPr>
        <w:t> v rámci OPII patrí k najrizikovejším z pohľadu včasného vyčerpania eurofondov.</w:t>
      </w:r>
    </w:p>
    <w:p w14:paraId="07D85FB0" w14:textId="77777777" w:rsidR="0055022C" w:rsidRPr="002B7CCC" w:rsidRDefault="0055022C" w:rsidP="0039341A">
      <w:pPr>
        <w:spacing w:before="120"/>
        <w:jc w:val="both"/>
        <w:rPr>
          <w:b/>
        </w:rPr>
      </w:pPr>
      <w:r w:rsidRPr="002B7CCC">
        <w:rPr>
          <w:b/>
        </w:rPr>
        <w:t>Železnice SR</w:t>
      </w:r>
    </w:p>
    <w:p w14:paraId="0E70C34F" w14:textId="63399445" w:rsidR="0055022C" w:rsidRPr="002B7CCC" w:rsidRDefault="0055022C" w:rsidP="0039341A">
      <w:pPr>
        <w:pStyle w:val="Bezriadkovania"/>
        <w:spacing w:before="120"/>
        <w:jc w:val="both"/>
        <w:rPr>
          <w:rFonts w:eastAsiaTheme="minorHAnsi"/>
          <w:szCs w:val="22"/>
        </w:rPr>
      </w:pPr>
      <w:r w:rsidRPr="002B7CCC">
        <w:rPr>
          <w:rFonts w:eastAsiaTheme="minorHAnsi"/>
          <w:b/>
          <w:szCs w:val="22"/>
        </w:rPr>
        <w:t>Ani v oblasti odovzdávania nových, prípadne zmodernizovaných úsekov v rámci železničnej infraštruktúry</w:t>
      </w:r>
      <w:r w:rsidR="00D800C6">
        <w:rPr>
          <w:rFonts w:eastAsiaTheme="minorHAnsi"/>
          <w:b/>
          <w:szCs w:val="22"/>
        </w:rPr>
        <w:t>,</w:t>
      </w:r>
      <w:r w:rsidRPr="002B7CCC">
        <w:rPr>
          <w:rFonts w:eastAsiaTheme="minorHAnsi"/>
          <w:b/>
          <w:szCs w:val="22"/>
        </w:rPr>
        <w:t xml:space="preserve"> nebol rok 2019 ú</w:t>
      </w:r>
      <w:r w:rsidR="00D800C6">
        <w:rPr>
          <w:rFonts w:eastAsiaTheme="minorHAnsi"/>
          <w:b/>
          <w:szCs w:val="22"/>
        </w:rPr>
        <w:t>spešný</w:t>
      </w:r>
      <w:r w:rsidRPr="002B7CCC">
        <w:rPr>
          <w:rFonts w:eastAsiaTheme="minorHAnsi"/>
          <w:b/>
          <w:szCs w:val="22"/>
        </w:rPr>
        <w:t>.</w:t>
      </w:r>
      <w:r w:rsidRPr="002B7CCC">
        <w:rPr>
          <w:rFonts w:eastAsiaTheme="minorHAnsi"/>
          <w:szCs w:val="22"/>
        </w:rPr>
        <w:t xml:space="preserve"> </w:t>
      </w:r>
      <w:r w:rsidRPr="002B7CCC">
        <w:rPr>
          <w:rFonts w:eastAsiaTheme="minorHAnsi"/>
          <w:b/>
          <w:szCs w:val="22"/>
        </w:rPr>
        <w:t>Schválený rozpočet vo výške 31</w:t>
      </w:r>
      <w:r w:rsidR="0094091B">
        <w:rPr>
          <w:rFonts w:eastAsiaTheme="minorHAnsi"/>
          <w:b/>
          <w:szCs w:val="22"/>
        </w:rPr>
        <w:t>7</w:t>
      </w:r>
      <w:r w:rsidRPr="002B7CCC">
        <w:rPr>
          <w:rFonts w:eastAsiaTheme="minorHAnsi"/>
          <w:b/>
          <w:szCs w:val="22"/>
        </w:rPr>
        <w:t xml:space="preserve"> </w:t>
      </w:r>
      <w:r w:rsidR="0094091B">
        <w:rPr>
          <w:rFonts w:eastAsiaTheme="minorHAnsi"/>
          <w:b/>
          <w:szCs w:val="22"/>
        </w:rPr>
        <w:t>3</w:t>
      </w:r>
      <w:r w:rsidRPr="002B7CCC">
        <w:rPr>
          <w:rFonts w:eastAsiaTheme="minorHAnsi"/>
          <w:b/>
          <w:szCs w:val="22"/>
        </w:rPr>
        <w:t>20 tis. eur bol nakoniec prekročený o 66 265 tis. eur.</w:t>
      </w:r>
      <w:r w:rsidRPr="002B7CCC">
        <w:rPr>
          <w:rFonts w:eastAsiaTheme="minorHAnsi"/>
          <w:szCs w:val="22"/>
        </w:rPr>
        <w:t xml:space="preserve"> Z toho </w:t>
      </w:r>
      <w:r w:rsidRPr="002B7CCC">
        <w:rPr>
          <w:rFonts w:eastAsiaTheme="minorHAnsi"/>
          <w:b/>
          <w:szCs w:val="22"/>
        </w:rPr>
        <w:t>prostriedky vo výške 317 450 tis. eur boli použité ako bežné transfery</w:t>
      </w:r>
      <w:r w:rsidRPr="002B7CCC">
        <w:rPr>
          <w:rFonts w:eastAsiaTheme="minorHAnsi"/>
          <w:szCs w:val="22"/>
        </w:rPr>
        <w:t xml:space="preserve"> na prevádzku železničnej infraštruktúry (</w:t>
      </w:r>
      <w:r w:rsidR="0094091B">
        <w:rPr>
          <w:rFonts w:eastAsiaTheme="minorHAnsi"/>
          <w:szCs w:val="22"/>
        </w:rPr>
        <w:t>91,7 %</w:t>
      </w:r>
      <w:r w:rsidRPr="002B7CCC">
        <w:rPr>
          <w:rFonts w:eastAsiaTheme="minorHAnsi"/>
          <w:szCs w:val="22"/>
        </w:rPr>
        <w:t xml:space="preserve">) a kompenzáciu finančných </w:t>
      </w:r>
      <w:r w:rsidR="00E42F03">
        <w:rPr>
          <w:rFonts w:eastAsiaTheme="minorHAnsi"/>
          <w:szCs w:val="22"/>
        </w:rPr>
        <w:t>vplyvov</w:t>
      </w:r>
      <w:r w:rsidRPr="002B7CCC">
        <w:rPr>
          <w:rFonts w:eastAsiaTheme="minorHAnsi"/>
          <w:szCs w:val="22"/>
        </w:rPr>
        <w:t xml:space="preserve"> spojených so znížením úhrad za prístup k železničnej infraštruktúre pre nákladných dopravcov (</w:t>
      </w:r>
      <w:r w:rsidR="0094091B">
        <w:rPr>
          <w:rFonts w:eastAsiaTheme="minorHAnsi"/>
          <w:szCs w:val="22"/>
        </w:rPr>
        <w:t>8,3 %</w:t>
      </w:r>
      <w:r w:rsidRPr="002B7CCC">
        <w:rPr>
          <w:rFonts w:eastAsiaTheme="minorHAnsi"/>
          <w:szCs w:val="22"/>
        </w:rPr>
        <w:t xml:space="preserve">). </w:t>
      </w:r>
    </w:p>
    <w:p w14:paraId="17017988" w14:textId="40AA4E8A" w:rsidR="0055022C" w:rsidRPr="00862E18" w:rsidRDefault="0055022C" w:rsidP="00A471FD">
      <w:pPr>
        <w:pStyle w:val="Bezriadkovania"/>
        <w:spacing w:before="120" w:after="120"/>
        <w:jc w:val="both"/>
        <w:rPr>
          <w:rFonts w:eastAsiaTheme="minorHAnsi"/>
          <w:szCs w:val="22"/>
        </w:rPr>
      </w:pPr>
      <w:r w:rsidRPr="002B7CCC">
        <w:rPr>
          <w:rFonts w:eastAsiaTheme="minorHAnsi"/>
          <w:szCs w:val="22"/>
        </w:rPr>
        <w:t xml:space="preserve">V rámci </w:t>
      </w:r>
      <w:r w:rsidRPr="002B7CCC">
        <w:rPr>
          <w:rFonts w:eastAsiaTheme="minorHAnsi"/>
          <w:b/>
          <w:szCs w:val="22"/>
        </w:rPr>
        <w:t>kapitálových výdavkov</w:t>
      </w:r>
      <w:r w:rsidRPr="002B7CCC">
        <w:rPr>
          <w:rFonts w:eastAsiaTheme="minorHAnsi"/>
          <w:szCs w:val="22"/>
        </w:rPr>
        <w:t xml:space="preserve">, na výstavbu a obnovu železničnej siete </w:t>
      </w:r>
      <w:r w:rsidRPr="002B7CCC">
        <w:rPr>
          <w:rFonts w:eastAsiaTheme="minorHAnsi"/>
          <w:b/>
          <w:szCs w:val="22"/>
        </w:rPr>
        <w:t>bolo zo štátneho rozpočtu použitých 65 635 tis. eur a ďalších 65 622 tis. eur z prostriedkov EÚ</w:t>
      </w:r>
      <w:r w:rsidRPr="002B7CCC">
        <w:rPr>
          <w:rFonts w:eastAsiaTheme="minorHAnsi"/>
          <w:szCs w:val="22"/>
        </w:rPr>
        <w:t xml:space="preserve"> </w:t>
      </w:r>
      <w:r w:rsidR="00773FA8">
        <w:rPr>
          <w:rFonts w:eastAsiaTheme="minorHAnsi"/>
          <w:szCs w:val="22"/>
        </w:rPr>
        <w:t xml:space="preserve">a spolufinancovania </w:t>
      </w:r>
      <w:r w:rsidRPr="002B7CCC">
        <w:rPr>
          <w:rFonts w:eastAsiaTheme="minorHAnsi"/>
          <w:szCs w:val="22"/>
        </w:rPr>
        <w:t>v rá</w:t>
      </w:r>
      <w:r w:rsidR="00A471FD">
        <w:rPr>
          <w:rFonts w:eastAsiaTheme="minorHAnsi"/>
          <w:szCs w:val="22"/>
        </w:rPr>
        <w:t>mci troch prioritných osí OPII.</w:t>
      </w:r>
    </w:p>
    <w:tbl>
      <w:tblPr>
        <w:tblStyle w:val="Mriekatabuky"/>
        <w:tblW w:w="5000" w:type="pct"/>
        <w:shd w:val="clear" w:color="auto" w:fill="B8CCE4" w:themeFill="accent1" w:themeFillTint="66"/>
        <w:tblLook w:val="04A0" w:firstRow="1" w:lastRow="0" w:firstColumn="1" w:lastColumn="0" w:noHBand="0" w:noVBand="1"/>
      </w:tblPr>
      <w:tblGrid>
        <w:gridCol w:w="9346"/>
      </w:tblGrid>
      <w:tr w:rsidR="00A471FD" w:rsidRPr="002B7CCC" w14:paraId="1C4ABBC0" w14:textId="77777777" w:rsidTr="00B61DA0">
        <w:tc>
          <w:tcPr>
            <w:tcW w:w="5000" w:type="pct"/>
            <w:shd w:val="clear" w:color="auto" w:fill="B8CCE4" w:themeFill="accent1" w:themeFillTint="66"/>
          </w:tcPr>
          <w:p w14:paraId="3AF41137" w14:textId="423D1D90" w:rsidR="00A471FD" w:rsidRPr="00997329" w:rsidRDefault="00A471FD" w:rsidP="00B61DA0">
            <w:pPr>
              <w:pStyle w:val="Default"/>
              <w:spacing w:after="120"/>
              <w:jc w:val="both"/>
              <w:rPr>
                <w:rFonts w:cs="ArialNarrow"/>
                <w:color w:val="auto"/>
                <w:sz w:val="20"/>
                <w:szCs w:val="20"/>
              </w:rPr>
            </w:pPr>
            <w:r w:rsidRPr="00997329">
              <w:rPr>
                <w:rFonts w:cs="ArialNarrow"/>
                <w:color w:val="auto"/>
                <w:sz w:val="20"/>
                <w:szCs w:val="20"/>
              </w:rPr>
              <w:t xml:space="preserve">Kontrola </w:t>
            </w:r>
            <w:r w:rsidRPr="00997329">
              <w:rPr>
                <w:rFonts w:cs="ArialNarrow"/>
                <w:b/>
                <w:color w:val="auto"/>
                <w:sz w:val="20"/>
                <w:szCs w:val="20"/>
              </w:rPr>
              <w:t>Zabezpečenie externých služieb</w:t>
            </w:r>
            <w:r w:rsidRPr="00997329">
              <w:rPr>
                <w:rFonts w:cs="ArialNarrow"/>
                <w:color w:val="auto"/>
                <w:sz w:val="20"/>
                <w:szCs w:val="20"/>
              </w:rPr>
              <w:t xml:space="preserve"> </w:t>
            </w:r>
            <w:r w:rsidRPr="00997329">
              <w:rPr>
                <w:rFonts w:cs="ArialNarrow"/>
                <w:b/>
                <w:color w:val="auto"/>
                <w:sz w:val="20"/>
                <w:szCs w:val="20"/>
              </w:rPr>
              <w:t>v ŽSR, a. s.</w:t>
            </w:r>
            <w:r w:rsidR="00E42F03">
              <w:rPr>
                <w:rFonts w:cs="ArialNarrow"/>
                <w:b/>
                <w:color w:val="auto"/>
                <w:sz w:val="20"/>
                <w:szCs w:val="20"/>
              </w:rPr>
              <w:t>,</w:t>
            </w:r>
            <w:r w:rsidRPr="00997329">
              <w:rPr>
                <w:rFonts w:cs="ArialNarrow"/>
                <w:b/>
                <w:color w:val="auto"/>
                <w:sz w:val="20"/>
                <w:szCs w:val="20"/>
              </w:rPr>
              <w:t xml:space="preserve"> </w:t>
            </w:r>
            <w:r w:rsidRPr="00997329">
              <w:rPr>
                <w:rFonts w:cs="ArialNarrow"/>
                <w:color w:val="auto"/>
                <w:sz w:val="20"/>
                <w:szCs w:val="20"/>
              </w:rPr>
              <w:t>poukázala</w:t>
            </w:r>
            <w:r w:rsidRPr="00997329">
              <w:rPr>
                <w:rFonts w:cs="ArialNarrow"/>
                <w:b/>
                <w:color w:val="auto"/>
                <w:sz w:val="20"/>
                <w:szCs w:val="20"/>
              </w:rPr>
              <w:t xml:space="preserve"> </w:t>
            </w:r>
            <w:r w:rsidRPr="00997329">
              <w:rPr>
                <w:rFonts w:cs="ArialNarrow"/>
                <w:color w:val="auto"/>
                <w:sz w:val="20"/>
                <w:szCs w:val="20"/>
              </w:rPr>
              <w:t>na vysoký objem externých služieb</w:t>
            </w:r>
            <w:r>
              <w:rPr>
                <w:rFonts w:cs="ArialNarrow"/>
                <w:color w:val="auto"/>
                <w:sz w:val="20"/>
                <w:szCs w:val="20"/>
              </w:rPr>
              <w:t xml:space="preserve"> v tejto spoločnosti</w:t>
            </w:r>
            <w:r w:rsidRPr="00997329">
              <w:rPr>
                <w:rFonts w:cs="ArialNarrow"/>
                <w:color w:val="auto"/>
                <w:sz w:val="20"/>
                <w:szCs w:val="20"/>
              </w:rPr>
              <w:t xml:space="preserve">. Najmä v oblasti právnych a poradenských služieb bola ich potreba a efektívne využitie otázne. ŽSR počas obdobia 2015 – 2018 uzatvorila viac ako tisíc zmlúv s externými dodávateľmi služieb za vyše 25 mil. eur, pričom viaceré zmluvy, najmä na poskytovanie právnych a poradensko-konzultačných služieb vykazovali znaky nehospodárneho </w:t>
            </w:r>
            <w:r w:rsidR="00E42F03">
              <w:rPr>
                <w:rFonts w:cs="ArialNarrow"/>
                <w:color w:val="auto"/>
                <w:sz w:val="20"/>
                <w:szCs w:val="20"/>
              </w:rPr>
              <w:t>nakladania s finančnými zdrojmi;</w:t>
            </w:r>
            <w:r w:rsidRPr="00997329">
              <w:rPr>
                <w:rFonts w:cs="ArialNarrow"/>
                <w:color w:val="auto"/>
                <w:sz w:val="20"/>
                <w:szCs w:val="20"/>
              </w:rPr>
              <w:t xml:space="preserve"> pôvodné ceny služieb sa často dodatkami navyšujú (aj o 400 %).</w:t>
            </w:r>
          </w:p>
          <w:p w14:paraId="404531A3" w14:textId="2D18265B" w:rsidR="00A471FD" w:rsidRPr="00EB2EDC" w:rsidRDefault="00A471FD" w:rsidP="00B61DA0">
            <w:pPr>
              <w:pStyle w:val="Default"/>
              <w:spacing w:before="120"/>
              <w:jc w:val="both"/>
              <w:rPr>
                <w:rFonts w:cs="ArialNarrow"/>
                <w:color w:val="auto"/>
                <w:sz w:val="20"/>
                <w:szCs w:val="20"/>
              </w:rPr>
            </w:pPr>
            <w:r w:rsidRPr="00EB2EDC">
              <w:rPr>
                <w:rFonts w:cs="ArialNarrow"/>
                <w:color w:val="auto"/>
                <w:sz w:val="20"/>
                <w:szCs w:val="20"/>
              </w:rPr>
              <w:t>Predmetom poradenstva a konzultácií boli často aj také problémy, ktoré mala spoločnosť riešiť vlastnými zamestnancami. Príkladom je rámcová zmluva, podľa ktorej sa prostredníctvom externej spoločnosti pre ŽSR dlhodobo monitorujú výzvy o možnostiach a príležitostiach pre rozvoj ŽSR v rámci programového obdobia 2014 – 2020. Takéto činnosti by pritom mala vykonávať interná odborná činn</w:t>
            </w:r>
            <w:r w:rsidR="00AE75AA">
              <w:rPr>
                <w:rFonts w:cs="ArialNarrow"/>
                <w:color w:val="auto"/>
                <w:sz w:val="20"/>
                <w:szCs w:val="20"/>
              </w:rPr>
              <w:t>osť. ŽSR nedostatočne preukázali</w:t>
            </w:r>
            <w:r w:rsidRPr="00EB2EDC">
              <w:rPr>
                <w:rFonts w:cs="ArialNarrow"/>
                <w:color w:val="auto"/>
                <w:sz w:val="20"/>
                <w:szCs w:val="20"/>
              </w:rPr>
              <w:t xml:space="preserve"> využitie externých služieb aj pri viacerých zmluvách na vypracovanie štúdií.</w:t>
            </w:r>
          </w:p>
          <w:p w14:paraId="398E1F12" w14:textId="25AD94F2" w:rsidR="00A471FD" w:rsidRPr="002B7CCC" w:rsidRDefault="00A471FD" w:rsidP="00AE75AA">
            <w:pPr>
              <w:pStyle w:val="Default"/>
              <w:spacing w:before="120"/>
              <w:jc w:val="both"/>
              <w:rPr>
                <w:rFonts w:cs="ArialNarrow"/>
                <w:color w:val="auto"/>
                <w:sz w:val="20"/>
                <w:szCs w:val="20"/>
              </w:rPr>
            </w:pPr>
            <w:r w:rsidRPr="008075CC">
              <w:rPr>
                <w:rFonts w:cs="ArialNarrow"/>
                <w:color w:val="auto"/>
                <w:sz w:val="20"/>
                <w:szCs w:val="20"/>
              </w:rPr>
              <w:t>NKÚ SR na základe výsledkov kontroly navrhol ŽSR, a. s., komplex odporúčaní, ktoré smerujú k efektívnejšiemu a účinnejšiemu využívaniu externých služieb.</w:t>
            </w:r>
          </w:p>
        </w:tc>
      </w:tr>
    </w:tbl>
    <w:p w14:paraId="2EA002FD" w14:textId="58E6748A" w:rsidR="0055022C" w:rsidRPr="002B7CCC" w:rsidRDefault="0055022C" w:rsidP="00CA4572">
      <w:pPr>
        <w:spacing w:before="120"/>
        <w:jc w:val="both"/>
        <w:rPr>
          <w:rFonts w:eastAsia="Calibri" w:cs="Times New Roman"/>
        </w:rPr>
      </w:pPr>
      <w:r w:rsidRPr="002B7CCC">
        <w:rPr>
          <w:rFonts w:eastAsia="Calibri" w:cs="Times New Roman"/>
        </w:rPr>
        <w:t>Plán o počte podporených projektov v rámci rozvoja železni</w:t>
      </w:r>
      <w:r w:rsidR="00166828">
        <w:rPr>
          <w:rFonts w:eastAsia="Calibri" w:cs="Times New Roman"/>
        </w:rPr>
        <w:t>čnej siete (financovanej zo ŠR)</w:t>
      </w:r>
      <w:r w:rsidRPr="002B7CCC">
        <w:rPr>
          <w:rFonts w:eastAsia="Calibri" w:cs="Times New Roman"/>
        </w:rPr>
        <w:t xml:space="preserve"> nezodpovedá potrebám. </w:t>
      </w:r>
      <w:r w:rsidR="00FD4541" w:rsidRPr="00FD4541">
        <w:rPr>
          <w:rFonts w:eastAsia="Calibri" w:cs="Times New Roman"/>
          <w:b/>
        </w:rPr>
        <w:t>Pri súčasnom stave, keď železnice dosahujú vysoký modernizačný dlh, bol nastavený plán v podobe podporenia iba 1 projektu</w:t>
      </w:r>
      <w:r w:rsidR="00FD4541">
        <w:rPr>
          <w:rFonts w:eastAsia="Calibri" w:cs="Times New Roman"/>
          <w:b/>
        </w:rPr>
        <w:t>,</w:t>
      </w:r>
      <w:r w:rsidR="00FD4541" w:rsidRPr="00FD4541">
        <w:rPr>
          <w:rFonts w:eastAsia="Calibri" w:cs="Times New Roman"/>
          <w:b/>
        </w:rPr>
        <w:t xml:space="preserve"> nedostatočný.</w:t>
      </w:r>
      <w:r w:rsidR="00FD4541" w:rsidRPr="00FD4541">
        <w:rPr>
          <w:rFonts w:eastAsia="Calibri" w:cs="Times New Roman"/>
        </w:rPr>
        <w:t xml:space="preserve"> Potvrdzuje to aj dosiahnutá skutočnosť, keď nakoniec bolo podporených 21 projektov. </w:t>
      </w:r>
      <w:r w:rsidRPr="002B7CCC">
        <w:rPr>
          <w:rFonts w:eastAsia="Calibri" w:cs="Times New Roman"/>
        </w:rPr>
        <w:t xml:space="preserve">Rovnako je to aj s financovaním, keď už druhý rok po sebe skutočné čerpanie bolo oproti rozpočtu navýšené o takmer 400 % (R 2018: 8,32 mil. eur, S 2018: 45,21 </w:t>
      </w:r>
      <w:r w:rsidR="00166828">
        <w:rPr>
          <w:rFonts w:eastAsia="Calibri" w:cs="Times New Roman"/>
        </w:rPr>
        <w:t>mil. eur;</w:t>
      </w:r>
      <w:r w:rsidRPr="002B7CCC">
        <w:rPr>
          <w:rFonts w:eastAsia="Calibri" w:cs="Times New Roman"/>
        </w:rPr>
        <w:t xml:space="preserve"> R 2019: 8,32 mil. eur, S 2019: 40,64 mil. eur). Navyše, veľa z týchto podporených projektov tvorili iba menšie opravy (rekonštrukcia trakčného vedenia, výhybiek, priecestného zabezpečovacieho zariadenia)</w:t>
      </w:r>
      <w:r w:rsidR="00D800C6">
        <w:rPr>
          <w:rFonts w:eastAsia="Calibri" w:cs="Times New Roman"/>
        </w:rPr>
        <w:t>,</w:t>
      </w:r>
      <w:r w:rsidRPr="002B7CCC">
        <w:rPr>
          <w:rFonts w:eastAsia="Calibri" w:cs="Times New Roman"/>
        </w:rPr>
        <w:t xml:space="preserve"> prípadne projektové prípravy, ktoré </w:t>
      </w:r>
      <w:r w:rsidR="00166828">
        <w:rPr>
          <w:rFonts w:eastAsia="Calibri" w:cs="Times New Roman"/>
        </w:rPr>
        <w:t>však</w:t>
      </w:r>
      <w:r w:rsidRPr="002B7CCC">
        <w:rPr>
          <w:rFonts w:eastAsia="Calibri" w:cs="Times New Roman"/>
        </w:rPr>
        <w:t xml:space="preserve"> výraznejšie neprispeli k modernizácii železničných tratí. </w:t>
      </w:r>
    </w:p>
    <w:p w14:paraId="4B9F80AC" w14:textId="0574DD8F" w:rsidR="0055022C" w:rsidRPr="002B7CCC" w:rsidRDefault="0055022C" w:rsidP="00CA4572">
      <w:pPr>
        <w:spacing w:before="120"/>
        <w:jc w:val="both"/>
        <w:rPr>
          <w:rFonts w:eastAsia="Calibri" w:cs="Times New Roman"/>
          <w:b/>
        </w:rPr>
      </w:pPr>
      <w:r w:rsidRPr="002B7CCC">
        <w:rPr>
          <w:rFonts w:eastAsia="Calibri" w:cs="Times New Roman"/>
          <w:b/>
        </w:rPr>
        <w:t xml:space="preserve">Podľa NKÚ SR je na tomto prvku dôležité zreálniť plánovanie a rozpočtovanie. Rovnako </w:t>
      </w:r>
      <w:r w:rsidR="003A0142">
        <w:rPr>
          <w:rFonts w:eastAsia="Calibri" w:cs="Times New Roman"/>
          <w:b/>
        </w:rPr>
        <w:t xml:space="preserve">je potrebné </w:t>
      </w:r>
      <w:r w:rsidRPr="002B7CCC">
        <w:rPr>
          <w:rFonts w:eastAsia="Calibri" w:cs="Times New Roman"/>
          <w:b/>
        </w:rPr>
        <w:t xml:space="preserve">sa zamerať okrem plánovania a sledovania počtu podporených projektov aj na počet kilometrov obnovenej železničnej siete (podobne ako sa to sleduje na prvkoch v rámci OPII). Takto </w:t>
      </w:r>
      <w:r w:rsidR="00166828">
        <w:rPr>
          <w:rFonts w:eastAsia="Calibri" w:cs="Times New Roman"/>
          <w:b/>
        </w:rPr>
        <w:t>možno</w:t>
      </w:r>
      <w:r w:rsidRPr="002B7CCC">
        <w:rPr>
          <w:rFonts w:eastAsia="Calibri" w:cs="Times New Roman"/>
          <w:b/>
        </w:rPr>
        <w:t xml:space="preserve"> porovnať nielen medziročné napredovanie obnovy železničnej siete, ale napr. aj koľko km a za akú sumu sa v danom roku obnovilo zo ŠR a koľko z prostriedkov EÚ.</w:t>
      </w:r>
    </w:p>
    <w:p w14:paraId="1068E843" w14:textId="5C0D63F4" w:rsidR="0055022C" w:rsidRPr="002B7CCC" w:rsidRDefault="0055022C" w:rsidP="003A0142">
      <w:pPr>
        <w:autoSpaceDE w:val="0"/>
        <w:autoSpaceDN w:val="0"/>
        <w:adjustRightInd w:val="0"/>
        <w:spacing w:before="120"/>
        <w:jc w:val="both"/>
      </w:pPr>
      <w:r w:rsidRPr="002B7CCC">
        <w:rPr>
          <w:rFonts w:eastAsia="Calibri" w:cs="Times New Roman"/>
        </w:rPr>
        <w:lastRenderedPageBreak/>
        <w:t>V rámci prvku financovaného z</w:t>
      </w:r>
      <w:r w:rsidR="00166828">
        <w:rPr>
          <w:rFonts w:eastAsia="Calibri" w:cs="Times New Roman"/>
        </w:rPr>
        <w:t xml:space="preserve"> </w:t>
      </w:r>
      <w:r w:rsidR="00166828" w:rsidRPr="00166828">
        <w:rPr>
          <w:rFonts w:eastAsia="Calibri" w:cs="Times New Roman"/>
          <w:b/>
        </w:rPr>
        <w:t>fondov</w:t>
      </w:r>
      <w:r w:rsidRPr="00166828">
        <w:rPr>
          <w:rFonts w:eastAsia="Calibri" w:cs="Times New Roman"/>
          <w:b/>
        </w:rPr>
        <w:t xml:space="preserve"> </w:t>
      </w:r>
      <w:r w:rsidRPr="002B7CCC">
        <w:rPr>
          <w:rFonts w:eastAsia="Calibri" w:cs="Times New Roman"/>
          <w:b/>
        </w:rPr>
        <w:t>EÚ sa všetky prostriedky čerpali iba na jednom projekte - modernizácia trate pre zvýšenie traťovej rýchlosti na 160 km/hod medzi Púchovom a Považskou Teplou.</w:t>
      </w:r>
      <w:r w:rsidRPr="002B7CCC">
        <w:rPr>
          <w:rFonts w:eastAsia="Calibri" w:cs="Times New Roman"/>
        </w:rPr>
        <w:t xml:space="preserve"> Z technického aj finančného hľadiska </w:t>
      </w:r>
      <w:r w:rsidR="00166828">
        <w:rPr>
          <w:rFonts w:eastAsia="Calibri" w:cs="Times New Roman"/>
        </w:rPr>
        <w:t>ide</w:t>
      </w:r>
      <w:r w:rsidRPr="002B7CCC">
        <w:rPr>
          <w:rFonts w:eastAsia="Calibri" w:cs="Times New Roman"/>
        </w:rPr>
        <w:t xml:space="preserve"> o náročný úsek. Výstavba sa mala ukončiť začiatkom roku 2020. Počas roka 2019 však došlo k posunu termínu dokončenia na december 2021. Dôvodom bola zmena geologických pomerov pri výstavbe tunelov, ale napríklad </w:t>
      </w:r>
      <w:r w:rsidR="00166828">
        <w:rPr>
          <w:rFonts w:eastAsia="Calibri" w:cs="Times New Roman"/>
        </w:rPr>
        <w:t xml:space="preserve">aj </w:t>
      </w:r>
      <w:r w:rsidRPr="002B7CCC">
        <w:rPr>
          <w:rFonts w:eastAsia="Calibri" w:cs="Times New Roman"/>
        </w:rPr>
        <w:t xml:space="preserve">odhalenie čiernej skládky počas výstavby. Na danom úseku bolo v roku 2019 z rozpočtu kapitoly použitých 62 691 tis. eur. </w:t>
      </w:r>
      <w:r w:rsidRPr="002B7CCC">
        <w:t xml:space="preserve">Tento úsek je posledný chýbajúci v rámci modernizácie trate Bratislava – Žilina na rýchlosť 160 km/h. Modernizácia prebieha už 20 rokov, pričom až 90 % financií pochádzalo z prostriedkov EÚ. Potrebné je však ešte zmodernizovať trať zo Žiliny do Košíc. Cieľ je </w:t>
      </w:r>
      <w:r w:rsidR="003A0142">
        <w:t>nastavený</w:t>
      </w:r>
      <w:r w:rsidRPr="002B7CCC">
        <w:t xml:space="preserve"> do roku 2030. Pri aktuálnom stave jednotlivých projektov a bez finančného krytia existuje vysoké riziko, že sa tento cieľ nenaplní.   </w:t>
      </w:r>
    </w:p>
    <w:p w14:paraId="3B64E1F8" w14:textId="77777777" w:rsidR="0055022C" w:rsidRPr="002B7CCC" w:rsidRDefault="0055022C" w:rsidP="00CA4572">
      <w:pPr>
        <w:spacing w:before="120" w:after="120"/>
        <w:rPr>
          <w:b/>
        </w:rPr>
      </w:pPr>
      <w:r w:rsidRPr="002B7CCC">
        <w:rPr>
          <w:b/>
        </w:rPr>
        <w:t>Železničná spoločnosť Slovensko</w:t>
      </w:r>
    </w:p>
    <w:p w14:paraId="61426379" w14:textId="492667D4" w:rsidR="0055022C" w:rsidRPr="002B7CCC" w:rsidRDefault="0055022C" w:rsidP="00D800C6">
      <w:pPr>
        <w:pStyle w:val="Bezriadkovania"/>
        <w:spacing w:before="120" w:after="120"/>
        <w:jc w:val="both"/>
        <w:rPr>
          <w:rFonts w:eastAsiaTheme="minorHAnsi"/>
          <w:szCs w:val="22"/>
        </w:rPr>
      </w:pPr>
      <w:r w:rsidRPr="002B7CCC">
        <w:rPr>
          <w:rFonts w:eastAsiaTheme="minorHAnsi"/>
          <w:b/>
          <w:szCs w:val="22"/>
        </w:rPr>
        <w:t>V roku 2019 plynuli z rezortu dopravy do ZSSK iba kapitálové výdavky zo zdrojov EÚ.</w:t>
      </w:r>
      <w:r w:rsidRPr="002B7CCC">
        <w:rPr>
          <w:rFonts w:eastAsiaTheme="minorHAnsi"/>
          <w:szCs w:val="22"/>
        </w:rPr>
        <w:t xml:space="preserve"> </w:t>
      </w:r>
      <w:r w:rsidRPr="002B7CCC">
        <w:rPr>
          <w:rFonts w:eastAsiaTheme="minorHAnsi"/>
          <w:b/>
          <w:szCs w:val="22"/>
        </w:rPr>
        <w:t>ŠR totiž pokryl iba bežné výdavky</w:t>
      </w:r>
      <w:r w:rsidRPr="002B7CCC">
        <w:rPr>
          <w:rFonts w:eastAsiaTheme="minorHAnsi"/>
          <w:szCs w:val="22"/>
        </w:rPr>
        <w:t xml:space="preserve"> vyplývajúce zo Zmluvy o dopravných službách vo verejnom záujme. Pôvodný rozsah objednaných výkonov bol vo výške 31,3 mil. vlkm a skutočný dopravný výkon bol nakoniec 33,225 mil. vlkm. Na tento účel bolo rozpočtovaných 218 709 tis. </w:t>
      </w:r>
      <w:r w:rsidR="00D800C6">
        <w:rPr>
          <w:rFonts w:eastAsiaTheme="minorHAnsi"/>
          <w:szCs w:val="22"/>
        </w:rPr>
        <w:t>e</w:t>
      </w:r>
      <w:r w:rsidRPr="002B7CCC">
        <w:rPr>
          <w:rFonts w:eastAsiaTheme="minorHAnsi"/>
          <w:szCs w:val="22"/>
        </w:rPr>
        <w:t>ur</w:t>
      </w:r>
      <w:r w:rsidR="00D800C6">
        <w:rPr>
          <w:rFonts w:eastAsiaTheme="minorHAnsi"/>
          <w:szCs w:val="22"/>
        </w:rPr>
        <w:t>, čo sa prekročilo o</w:t>
      </w:r>
      <w:r w:rsidR="00EE544B">
        <w:rPr>
          <w:rFonts w:eastAsiaTheme="minorHAnsi"/>
          <w:szCs w:val="22"/>
        </w:rPr>
        <w:t> 20,9 %</w:t>
      </w:r>
      <w:r w:rsidRPr="002B7CCC">
        <w:rPr>
          <w:rFonts w:eastAsiaTheme="minorHAnsi"/>
          <w:szCs w:val="22"/>
        </w:rPr>
        <w:t xml:space="preserve">. </w:t>
      </w:r>
    </w:p>
    <w:p w14:paraId="4AEF0168" w14:textId="364C36E2" w:rsidR="0055022C" w:rsidRPr="00862E18" w:rsidRDefault="003A0142" w:rsidP="00D800C6">
      <w:pPr>
        <w:spacing w:before="120" w:after="120"/>
        <w:jc w:val="both"/>
        <w:rPr>
          <w:rFonts w:eastAsia="Calibri" w:cs="Times New Roman"/>
          <w:b/>
          <w:color w:val="000000"/>
        </w:rPr>
      </w:pPr>
      <w:r w:rsidRPr="003A0142">
        <w:rPr>
          <w:rFonts w:eastAsia="Calibri" w:cs="Times New Roman"/>
          <w:b/>
          <w:color w:val="000000"/>
        </w:rPr>
        <w:t>NKÚ SR každoročne upozorňuje na nedostatočné a nesystémové financovanie ZSSK pri plánovaní rozpočtu. V roku 2019 sa upozornenia ukázali opätovne ako opodstatnené.</w:t>
      </w:r>
      <w:r w:rsidR="0055022C" w:rsidRPr="002B7CCC">
        <w:rPr>
          <w:rFonts w:eastAsia="Calibri" w:cs="Times New Roman"/>
          <w:color w:val="000000"/>
        </w:rPr>
        <w:t xml:space="preserve"> Prostredníctvom dvoch </w:t>
      </w:r>
      <w:r w:rsidR="001630E5">
        <w:rPr>
          <w:rFonts w:eastAsia="Calibri" w:cs="Times New Roman"/>
          <w:color w:val="000000"/>
        </w:rPr>
        <w:t>rozpočtových opatrení</w:t>
      </w:r>
      <w:r w:rsidR="0055022C" w:rsidRPr="002B7CCC">
        <w:rPr>
          <w:rFonts w:eastAsia="Calibri" w:cs="Times New Roman"/>
          <w:color w:val="000000"/>
        </w:rPr>
        <w:t xml:space="preserve"> boli v 1. polroku 2019 navýšené výdavky spolu o 45 636 tis. eur, ktoré boli zdrojovo kryté z kapitoly VPS. Prvé, vo výške 38 116 tis. </w:t>
      </w:r>
      <w:r w:rsidR="0006081E">
        <w:rPr>
          <w:rFonts w:eastAsia="Calibri" w:cs="Times New Roman"/>
          <w:color w:val="000000"/>
        </w:rPr>
        <w:t>e</w:t>
      </w:r>
      <w:r w:rsidR="0055022C" w:rsidRPr="002B7CCC">
        <w:rPr>
          <w:rFonts w:eastAsia="Calibri" w:cs="Times New Roman"/>
          <w:color w:val="000000"/>
        </w:rPr>
        <w:t>ur</w:t>
      </w:r>
      <w:r w:rsidR="00D800C6">
        <w:rPr>
          <w:rFonts w:eastAsia="Calibri" w:cs="Times New Roman"/>
          <w:color w:val="000000"/>
        </w:rPr>
        <w:t>,</w:t>
      </w:r>
      <w:r w:rsidR="0055022C" w:rsidRPr="002B7CCC">
        <w:rPr>
          <w:rFonts w:eastAsia="Calibri" w:cs="Times New Roman"/>
          <w:color w:val="000000"/>
        </w:rPr>
        <w:t xml:space="preserve"> sa </w:t>
      </w:r>
      <w:r w:rsidR="0055022C" w:rsidRPr="002B7CCC">
        <w:rPr>
          <w:rFonts w:eastAsia="Calibri" w:cs="Times New Roman"/>
          <w:b/>
          <w:color w:val="000000"/>
        </w:rPr>
        <w:t xml:space="preserve">týkalo úhrady nekrytej straty z roku 2017, </w:t>
      </w:r>
      <w:r w:rsidR="0055022C" w:rsidRPr="002B7CCC">
        <w:rPr>
          <w:rFonts w:eastAsia="Calibri" w:cs="Times New Roman"/>
        </w:rPr>
        <w:t>pričom od roku 2013 sa táto suma každoročne zvyšuje a v roku 2017 bola doposiaľ najvyššia.</w:t>
      </w:r>
      <w:r w:rsidR="0055022C" w:rsidRPr="002B7CCC">
        <w:rPr>
          <w:rFonts w:eastAsia="Calibri" w:cs="Times New Roman"/>
          <w:b/>
          <w:color w:val="000000"/>
        </w:rPr>
        <w:t xml:space="preserve"> </w:t>
      </w:r>
      <w:r w:rsidR="0055022C" w:rsidRPr="002B7CCC">
        <w:rPr>
          <w:rFonts w:eastAsia="Calibri" w:cs="Times New Roman"/>
          <w:color w:val="000000"/>
        </w:rPr>
        <w:t>Druhé</w:t>
      </w:r>
      <w:r w:rsidR="00D800C6">
        <w:rPr>
          <w:rFonts w:eastAsia="Calibri" w:cs="Times New Roman"/>
          <w:color w:val="000000"/>
        </w:rPr>
        <w:t>,</w:t>
      </w:r>
      <w:r w:rsidR="0055022C" w:rsidRPr="002B7CCC">
        <w:rPr>
          <w:rFonts w:eastAsia="Calibri" w:cs="Times New Roman"/>
          <w:color w:val="000000"/>
        </w:rPr>
        <w:t xml:space="preserve"> vo výške 7 520 tis. </w:t>
      </w:r>
      <w:r w:rsidR="00241885">
        <w:rPr>
          <w:rFonts w:eastAsia="Calibri" w:cs="Times New Roman"/>
          <w:color w:val="000000"/>
        </w:rPr>
        <w:t>e</w:t>
      </w:r>
      <w:r w:rsidR="0055022C" w:rsidRPr="002B7CCC">
        <w:rPr>
          <w:rFonts w:eastAsia="Calibri" w:cs="Times New Roman"/>
          <w:color w:val="000000"/>
        </w:rPr>
        <w:t>ur</w:t>
      </w:r>
      <w:r w:rsidR="00D800C6">
        <w:rPr>
          <w:rFonts w:eastAsia="Calibri" w:cs="Times New Roman"/>
          <w:color w:val="000000"/>
        </w:rPr>
        <w:t>,</w:t>
      </w:r>
      <w:r w:rsidR="0055022C" w:rsidRPr="002B7CCC">
        <w:rPr>
          <w:rFonts w:eastAsia="Calibri" w:cs="Times New Roman"/>
          <w:color w:val="000000"/>
        </w:rPr>
        <w:t xml:space="preserve"> súviselo s navýšením prostriedkov na opravu a údržbu koľajových vozidiel. </w:t>
      </w:r>
      <w:r w:rsidR="0055022C" w:rsidRPr="002B7CCC">
        <w:rPr>
          <w:rFonts w:eastAsia="Calibri" w:cs="Times New Roman"/>
          <w:b/>
          <w:color w:val="000000"/>
        </w:rPr>
        <w:t xml:space="preserve">Ak by sa prostriedky pre ZSSK rozpočtovali v dostatočnom objeme, k týmto </w:t>
      </w:r>
      <w:r w:rsidR="000C52F4">
        <w:rPr>
          <w:rFonts w:eastAsia="Calibri" w:cs="Times New Roman"/>
          <w:b/>
          <w:color w:val="000000"/>
        </w:rPr>
        <w:t>rozpočtovým opatreniam</w:t>
      </w:r>
      <w:r w:rsidR="0055022C" w:rsidRPr="002B7CCC">
        <w:rPr>
          <w:rFonts w:eastAsia="Calibri" w:cs="Times New Roman"/>
          <w:b/>
          <w:color w:val="000000"/>
        </w:rPr>
        <w:t xml:space="preserve"> by vôbec nemuselo dôjsť.</w:t>
      </w:r>
    </w:p>
    <w:p w14:paraId="4E15D490" w14:textId="70A201FB" w:rsidR="0055022C" w:rsidRPr="002837D6" w:rsidRDefault="0055022C" w:rsidP="00D800C6">
      <w:pPr>
        <w:spacing w:before="120" w:after="120"/>
        <w:jc w:val="both"/>
        <w:rPr>
          <w:rFonts w:eastAsia="Calibri"/>
        </w:rPr>
      </w:pPr>
      <w:r w:rsidRPr="002B7CCC">
        <w:rPr>
          <w:rFonts w:eastAsia="Calibri"/>
        </w:rPr>
        <w:t xml:space="preserve">Plán obnoviť 35 vlakových súprav v železničnej osobnej doprave do roku 2018 sa nenaplnil, keď k stanovenému termínu nebola obnovená ani jedna vlaková súprava. Rezort dopravy tak už bude ďalšie roky </w:t>
      </w:r>
      <w:r w:rsidR="00166828">
        <w:rPr>
          <w:rFonts w:eastAsia="Calibri"/>
        </w:rPr>
        <w:t xml:space="preserve">len </w:t>
      </w:r>
      <w:r w:rsidRPr="002B7CCC">
        <w:rPr>
          <w:rFonts w:eastAsia="Calibri"/>
        </w:rPr>
        <w:t xml:space="preserve">doháňať zameškané plnenie plánu. Ani v roku 2019 nemožno hovoriť o progrese v plnení, keď boli obnovené iba 4 vlakové súpravy v rámci projektu Modernizácia vozového parku </w:t>
      </w:r>
      <w:r w:rsidR="001630E5">
        <w:rPr>
          <w:rFonts w:eastAsia="Calibri"/>
        </w:rPr>
        <w:t>železničných koľajových vozidiel</w:t>
      </w:r>
      <w:r w:rsidRPr="002B7CCC">
        <w:rPr>
          <w:rFonts w:eastAsia="Calibri"/>
        </w:rPr>
        <w:t xml:space="preserve"> – 1. časť, pričom na tento účel bolo v roku 2019 vyčerpaných 15 266 tis. eur. Ďalších 6 688 tis. eur bolo čerpaných na obnovu vozidiel ozubnicovej železnice vo Vysokých Tatrách a 4 209 tis. eur na projekt Modernizácia vozového parku </w:t>
      </w:r>
      <w:r w:rsidR="001630E5">
        <w:rPr>
          <w:rFonts w:eastAsia="Calibri"/>
        </w:rPr>
        <w:t>železničných koľajových vozidiel</w:t>
      </w:r>
      <w:r w:rsidR="001630E5" w:rsidRPr="002B7CCC">
        <w:rPr>
          <w:rFonts w:eastAsia="Calibri"/>
        </w:rPr>
        <w:t xml:space="preserve"> </w:t>
      </w:r>
      <w:r w:rsidRPr="002B7CCC">
        <w:rPr>
          <w:rFonts w:eastAsia="Calibri"/>
        </w:rPr>
        <w:t>– 2. časť, pričom k dodaniu koľajových vozidiel počas roka v rámci týchto projektov nedošlo.</w:t>
      </w:r>
    </w:p>
    <w:p w14:paraId="45065BD9" w14:textId="77777777" w:rsidR="00A76D0F" w:rsidRPr="00757E44" w:rsidRDefault="003E1FBB" w:rsidP="007534CE">
      <w:pPr>
        <w:pStyle w:val="Nadpis1"/>
        <w:numPr>
          <w:ilvl w:val="0"/>
          <w:numId w:val="23"/>
        </w:numPr>
      </w:pPr>
      <w:bookmarkStart w:id="59" w:name="_Toc480788336"/>
      <w:bookmarkStart w:id="60" w:name="_Toc43218087"/>
      <w:r>
        <w:t>V</w:t>
      </w:r>
      <w:r w:rsidR="005B3D19" w:rsidRPr="00757E44">
        <w:t>zťah štátneho rozpočtu k</w:t>
      </w:r>
      <w:r w:rsidR="0091364C" w:rsidRPr="00757E44">
        <w:t> </w:t>
      </w:r>
      <w:bookmarkEnd w:id="59"/>
      <w:r w:rsidR="00D80105" w:rsidRPr="00757E44">
        <w:t>E</w:t>
      </w:r>
      <w:r w:rsidR="004D712C" w:rsidRPr="00757E44">
        <w:t>Ú</w:t>
      </w:r>
      <w:bookmarkEnd w:id="60"/>
    </w:p>
    <w:p w14:paraId="2506D739" w14:textId="7AD4BF47" w:rsidR="008E666F" w:rsidRDefault="008E666F" w:rsidP="008E666F">
      <w:pPr>
        <w:spacing w:before="120" w:after="120"/>
        <w:jc w:val="both"/>
      </w:pPr>
      <w:r>
        <w:t>V roku 2019 prekročili príjmy prichádzajúce z EÚ očakávan</w:t>
      </w:r>
      <w:r w:rsidR="0067401C">
        <w:t>ia</w:t>
      </w:r>
      <w:r>
        <w:t xml:space="preserve">, keď vzrástli oproti rozpočtovaným príjmom o 127,7%, v absolútnom vyjadrení dosiahli výšku 2 126 210 tis. </w:t>
      </w:r>
      <w:r w:rsidR="0067401C">
        <w:t>e</w:t>
      </w:r>
      <w:r>
        <w:t>ur. Mierne sa zvýšili aj odvody SR do rozpočtu EÚ, keď stúpli o</w:t>
      </w:r>
      <w:r w:rsidR="00F162EB">
        <w:t xml:space="preserve"> 1,18 % </w:t>
      </w:r>
      <w:r>
        <w:t xml:space="preserve">na sumu 834 552 tis. eur. </w:t>
      </w:r>
    </w:p>
    <w:p w14:paraId="7C342D9F" w14:textId="365DA306" w:rsidR="008E666F" w:rsidRDefault="008E666F" w:rsidP="008E666F">
      <w:pPr>
        <w:spacing w:before="120" w:after="120"/>
        <w:jc w:val="both"/>
      </w:pPr>
      <w:r w:rsidRPr="008E666F">
        <w:rPr>
          <w:b/>
        </w:rPr>
        <w:t>Oproti predchádzajúcemu roku zaznamenala SR v roku 2019 nižšie tempo čerpania, a teda sa znížila aj jej čistá finančná pozícia</w:t>
      </w:r>
      <w:r w:rsidR="007809AF">
        <w:rPr>
          <w:b/>
        </w:rPr>
        <w:t xml:space="preserve"> </w:t>
      </w:r>
      <w:r w:rsidR="007809AF">
        <w:rPr>
          <w:rFonts w:eastAsia="Calibri" w:cs="Times New Roman"/>
        </w:rPr>
        <w:t>–</w:t>
      </w:r>
      <w:r>
        <w:t xml:space="preserve"> o</w:t>
      </w:r>
      <w:r w:rsidR="00F162EB">
        <w:t xml:space="preserve"> 4,17 % </w:t>
      </w:r>
      <w:r>
        <w:t xml:space="preserve">na 1 275 210 tis. </w:t>
      </w:r>
      <w:r w:rsidR="003A0142">
        <w:t>e</w:t>
      </w:r>
      <w:r>
        <w:t>ur</w:t>
      </w:r>
      <w:r w:rsidR="003A0142">
        <w:t xml:space="preserve"> (Graf 28)</w:t>
      </w:r>
      <w:r>
        <w:t>.</w:t>
      </w:r>
    </w:p>
    <w:tbl>
      <w:tblPr>
        <w:tblStyle w:val="Mriekatabuky"/>
        <w:tblW w:w="5000" w:type="pct"/>
        <w:tblLook w:val="04A0" w:firstRow="1" w:lastRow="0" w:firstColumn="1" w:lastColumn="0" w:noHBand="0" w:noVBand="1"/>
      </w:tblPr>
      <w:tblGrid>
        <w:gridCol w:w="3659"/>
        <w:gridCol w:w="1133"/>
        <w:gridCol w:w="957"/>
        <w:gridCol w:w="1133"/>
        <w:gridCol w:w="1243"/>
        <w:gridCol w:w="1221"/>
      </w:tblGrid>
      <w:tr w:rsidR="0072153C" w:rsidRPr="0039341A" w14:paraId="6AD8CBF5" w14:textId="77777777" w:rsidTr="006C0682">
        <w:trPr>
          <w:trHeight w:val="459"/>
        </w:trPr>
        <w:tc>
          <w:tcPr>
            <w:tcW w:w="1958" w:type="pct"/>
            <w:shd w:val="clear" w:color="auto" w:fill="0070C0"/>
            <w:vAlign w:val="center"/>
          </w:tcPr>
          <w:p w14:paraId="51AF69E4" w14:textId="52C08C4C" w:rsidR="008A29FE" w:rsidRPr="0039341A" w:rsidRDefault="008A29FE" w:rsidP="00CA4572">
            <w:pPr>
              <w:jc w:val="center"/>
              <w:rPr>
                <w:b/>
                <w:color w:val="FFFFFF" w:themeColor="background1"/>
                <w:sz w:val="20"/>
                <w:szCs w:val="20"/>
              </w:rPr>
            </w:pPr>
            <w:r w:rsidRPr="0039341A">
              <w:rPr>
                <w:rFonts w:cs="Arial"/>
                <w:b/>
                <w:color w:val="FFFFFF" w:themeColor="background1"/>
                <w:sz w:val="20"/>
                <w:szCs w:val="20"/>
              </w:rPr>
              <w:t>Čistá finančná pozícia SR</w:t>
            </w:r>
            <w:r w:rsidRPr="0039341A">
              <w:rPr>
                <w:b/>
                <w:bCs/>
                <w:color w:val="FFFFFF" w:themeColor="background1"/>
                <w:sz w:val="20"/>
                <w:szCs w:val="20"/>
              </w:rPr>
              <w:t xml:space="preserve"> </w:t>
            </w:r>
            <w:r w:rsidRPr="0039341A">
              <w:rPr>
                <w:b/>
                <w:bCs/>
                <w:color w:val="FFFFFF"/>
                <w:sz w:val="20"/>
                <w:szCs w:val="20"/>
              </w:rPr>
              <w:t>(v tis. eur)</w:t>
            </w:r>
          </w:p>
        </w:tc>
        <w:tc>
          <w:tcPr>
            <w:tcW w:w="606" w:type="pct"/>
            <w:shd w:val="clear" w:color="auto" w:fill="0070C0"/>
            <w:vAlign w:val="center"/>
          </w:tcPr>
          <w:p w14:paraId="517E2B77" w14:textId="2C92E2D8" w:rsidR="008A29FE" w:rsidRPr="0039341A" w:rsidRDefault="008A29FE" w:rsidP="00CA4572">
            <w:pPr>
              <w:jc w:val="center"/>
              <w:rPr>
                <w:b/>
                <w:color w:val="FFFFFF" w:themeColor="background1"/>
                <w:sz w:val="20"/>
                <w:szCs w:val="20"/>
              </w:rPr>
            </w:pPr>
            <w:r w:rsidRPr="0039341A">
              <w:rPr>
                <w:b/>
                <w:bCs/>
                <w:color w:val="FFFFFF" w:themeColor="background1"/>
                <w:sz w:val="20"/>
                <w:szCs w:val="20"/>
              </w:rPr>
              <w:t>Skutočnosť 2018</w:t>
            </w:r>
          </w:p>
        </w:tc>
        <w:tc>
          <w:tcPr>
            <w:tcW w:w="512" w:type="pct"/>
            <w:shd w:val="clear" w:color="auto" w:fill="0070C0"/>
            <w:vAlign w:val="center"/>
          </w:tcPr>
          <w:p w14:paraId="705653B0" w14:textId="1373EBA7" w:rsidR="008A29FE" w:rsidRPr="0039341A" w:rsidRDefault="008A29FE" w:rsidP="00CA4572">
            <w:pPr>
              <w:jc w:val="center"/>
              <w:rPr>
                <w:b/>
                <w:color w:val="FFFFFF" w:themeColor="background1"/>
                <w:sz w:val="20"/>
                <w:szCs w:val="20"/>
              </w:rPr>
            </w:pPr>
            <w:r w:rsidRPr="0039341A">
              <w:rPr>
                <w:b/>
                <w:color w:val="FFFFFF" w:themeColor="background1"/>
                <w:sz w:val="20"/>
                <w:szCs w:val="20"/>
              </w:rPr>
              <w:t>Rozpočet 2019</w:t>
            </w:r>
          </w:p>
        </w:tc>
        <w:tc>
          <w:tcPr>
            <w:tcW w:w="606" w:type="pct"/>
            <w:shd w:val="clear" w:color="auto" w:fill="0070C0"/>
            <w:vAlign w:val="center"/>
          </w:tcPr>
          <w:p w14:paraId="3AD57083" w14:textId="5C6543F8" w:rsidR="008A29FE" w:rsidRPr="0039341A" w:rsidRDefault="008A29FE" w:rsidP="00CA4572">
            <w:pPr>
              <w:jc w:val="center"/>
              <w:rPr>
                <w:b/>
                <w:color w:val="FFFFFF" w:themeColor="background1"/>
                <w:sz w:val="20"/>
                <w:szCs w:val="20"/>
              </w:rPr>
            </w:pPr>
            <w:r w:rsidRPr="0039341A">
              <w:rPr>
                <w:b/>
                <w:color w:val="FFFFFF" w:themeColor="background1"/>
                <w:sz w:val="20"/>
                <w:szCs w:val="20"/>
              </w:rPr>
              <w:t>Skutočnosť 2019</w:t>
            </w:r>
          </w:p>
        </w:tc>
        <w:tc>
          <w:tcPr>
            <w:tcW w:w="665" w:type="pct"/>
            <w:shd w:val="clear" w:color="auto" w:fill="0070C0"/>
            <w:vAlign w:val="center"/>
          </w:tcPr>
          <w:p w14:paraId="294A28E2" w14:textId="63459C3E" w:rsidR="0072153C" w:rsidRPr="0039341A" w:rsidRDefault="008A29FE" w:rsidP="002E55A3">
            <w:pPr>
              <w:jc w:val="center"/>
              <w:rPr>
                <w:b/>
                <w:color w:val="FFFFFF" w:themeColor="background1"/>
                <w:sz w:val="20"/>
                <w:szCs w:val="20"/>
              </w:rPr>
            </w:pPr>
            <w:r w:rsidRPr="0039341A">
              <w:rPr>
                <w:b/>
                <w:bCs/>
                <w:color w:val="FFFFFF"/>
                <w:sz w:val="20"/>
                <w:szCs w:val="20"/>
              </w:rPr>
              <w:t>Rozdiel</w:t>
            </w:r>
          </w:p>
        </w:tc>
        <w:tc>
          <w:tcPr>
            <w:tcW w:w="653" w:type="pct"/>
            <w:shd w:val="clear" w:color="auto" w:fill="0070C0"/>
            <w:vAlign w:val="center"/>
          </w:tcPr>
          <w:p w14:paraId="1D0F3108" w14:textId="77AFD62B" w:rsidR="0072153C" w:rsidRPr="0039341A" w:rsidRDefault="0072153C" w:rsidP="002E55A3">
            <w:pPr>
              <w:jc w:val="center"/>
              <w:rPr>
                <w:b/>
                <w:color w:val="FFFFFF" w:themeColor="background1"/>
                <w:sz w:val="20"/>
                <w:szCs w:val="20"/>
              </w:rPr>
            </w:pPr>
            <w:r>
              <w:rPr>
                <w:b/>
                <w:bCs/>
                <w:color w:val="FFFFFF"/>
                <w:sz w:val="20"/>
                <w:szCs w:val="20"/>
              </w:rPr>
              <w:t>Index</w:t>
            </w:r>
            <w:r w:rsidR="008A29FE" w:rsidRPr="0039341A">
              <w:rPr>
                <w:b/>
                <w:bCs/>
                <w:color w:val="FFFFFF"/>
                <w:sz w:val="20"/>
                <w:szCs w:val="20"/>
              </w:rPr>
              <w:t xml:space="preserve"> (v  %)</w:t>
            </w:r>
          </w:p>
        </w:tc>
      </w:tr>
      <w:tr w:rsidR="0055704B" w:rsidRPr="0039341A" w14:paraId="54820075" w14:textId="77777777" w:rsidTr="006C0682">
        <w:tc>
          <w:tcPr>
            <w:tcW w:w="1958" w:type="pct"/>
            <w:vAlign w:val="center"/>
          </w:tcPr>
          <w:p w14:paraId="571AACD7" w14:textId="1895575D" w:rsidR="0055704B" w:rsidRPr="0039341A" w:rsidRDefault="0055704B" w:rsidP="006C0682">
            <w:pPr>
              <w:jc w:val="center"/>
              <w:rPr>
                <w:color w:val="000000"/>
                <w:sz w:val="20"/>
                <w:szCs w:val="20"/>
              </w:rPr>
            </w:pPr>
            <w:r>
              <w:rPr>
                <w:color w:val="000000"/>
                <w:sz w:val="20"/>
                <w:szCs w:val="20"/>
              </w:rPr>
              <w:t>a</w:t>
            </w:r>
          </w:p>
        </w:tc>
        <w:tc>
          <w:tcPr>
            <w:tcW w:w="606" w:type="pct"/>
            <w:vAlign w:val="bottom"/>
          </w:tcPr>
          <w:p w14:paraId="3565A8D8" w14:textId="2E3916BF" w:rsidR="0055704B" w:rsidRPr="0039341A" w:rsidRDefault="0055704B" w:rsidP="006C0682">
            <w:pPr>
              <w:jc w:val="center"/>
              <w:rPr>
                <w:color w:val="000000"/>
                <w:sz w:val="20"/>
                <w:szCs w:val="20"/>
              </w:rPr>
            </w:pPr>
            <w:r>
              <w:rPr>
                <w:color w:val="000000"/>
                <w:sz w:val="20"/>
                <w:szCs w:val="20"/>
              </w:rPr>
              <w:t>1</w:t>
            </w:r>
          </w:p>
        </w:tc>
        <w:tc>
          <w:tcPr>
            <w:tcW w:w="512" w:type="pct"/>
            <w:vAlign w:val="bottom"/>
          </w:tcPr>
          <w:p w14:paraId="180B4029" w14:textId="7F7E8DA7" w:rsidR="0055704B" w:rsidRPr="0039341A" w:rsidRDefault="0055704B" w:rsidP="006C0682">
            <w:pPr>
              <w:jc w:val="center"/>
              <w:rPr>
                <w:color w:val="000000"/>
                <w:sz w:val="20"/>
                <w:szCs w:val="20"/>
              </w:rPr>
            </w:pPr>
            <w:r>
              <w:rPr>
                <w:color w:val="000000"/>
                <w:sz w:val="20"/>
                <w:szCs w:val="20"/>
              </w:rPr>
              <w:t>2</w:t>
            </w:r>
          </w:p>
        </w:tc>
        <w:tc>
          <w:tcPr>
            <w:tcW w:w="606" w:type="pct"/>
            <w:vAlign w:val="bottom"/>
          </w:tcPr>
          <w:p w14:paraId="02A928A2" w14:textId="04D81653" w:rsidR="0055704B" w:rsidRPr="0039341A" w:rsidRDefault="0055704B" w:rsidP="006C0682">
            <w:pPr>
              <w:jc w:val="center"/>
              <w:rPr>
                <w:sz w:val="20"/>
                <w:szCs w:val="20"/>
              </w:rPr>
            </w:pPr>
            <w:r>
              <w:rPr>
                <w:sz w:val="20"/>
                <w:szCs w:val="20"/>
              </w:rPr>
              <w:t>3</w:t>
            </w:r>
          </w:p>
        </w:tc>
        <w:tc>
          <w:tcPr>
            <w:tcW w:w="665" w:type="pct"/>
            <w:vAlign w:val="bottom"/>
          </w:tcPr>
          <w:p w14:paraId="2E888A1F" w14:textId="314CD939" w:rsidR="0055704B" w:rsidRPr="0039341A" w:rsidRDefault="0055704B" w:rsidP="006C0682">
            <w:pPr>
              <w:jc w:val="center"/>
              <w:rPr>
                <w:color w:val="000000"/>
                <w:sz w:val="20"/>
                <w:szCs w:val="20"/>
              </w:rPr>
            </w:pPr>
            <w:r>
              <w:rPr>
                <w:color w:val="000000"/>
                <w:sz w:val="20"/>
                <w:szCs w:val="20"/>
              </w:rPr>
              <w:t>4 = 3 - 2</w:t>
            </w:r>
          </w:p>
        </w:tc>
        <w:tc>
          <w:tcPr>
            <w:tcW w:w="653" w:type="pct"/>
            <w:vAlign w:val="bottom"/>
          </w:tcPr>
          <w:p w14:paraId="472794BD" w14:textId="628D1319" w:rsidR="0055704B" w:rsidRPr="0039341A" w:rsidRDefault="0055704B" w:rsidP="006C0682">
            <w:pPr>
              <w:jc w:val="center"/>
              <w:rPr>
                <w:color w:val="000000"/>
                <w:sz w:val="20"/>
                <w:szCs w:val="20"/>
              </w:rPr>
            </w:pPr>
            <w:r>
              <w:rPr>
                <w:color w:val="000000"/>
                <w:sz w:val="20"/>
                <w:szCs w:val="20"/>
              </w:rPr>
              <w:t>5 = 3 / 2</w:t>
            </w:r>
          </w:p>
        </w:tc>
      </w:tr>
      <w:tr w:rsidR="0072153C" w:rsidRPr="0039341A" w14:paraId="1C2A82A9" w14:textId="62306A4A" w:rsidTr="006C0682">
        <w:tc>
          <w:tcPr>
            <w:tcW w:w="1958" w:type="pct"/>
            <w:vAlign w:val="center"/>
          </w:tcPr>
          <w:p w14:paraId="5813502E" w14:textId="40A3F12A" w:rsidR="008A29FE" w:rsidRPr="0055704B" w:rsidRDefault="008A29FE" w:rsidP="00CA4572">
            <w:pPr>
              <w:jc w:val="both"/>
              <w:rPr>
                <w:sz w:val="20"/>
                <w:szCs w:val="20"/>
              </w:rPr>
            </w:pPr>
            <w:r w:rsidRPr="002E55A3">
              <w:rPr>
                <w:color w:val="000000"/>
                <w:sz w:val="20"/>
                <w:szCs w:val="20"/>
              </w:rPr>
              <w:t>Príjmy za prostriedky EÚ - zahraničné transfery</w:t>
            </w:r>
          </w:p>
        </w:tc>
        <w:tc>
          <w:tcPr>
            <w:tcW w:w="606" w:type="pct"/>
            <w:vAlign w:val="bottom"/>
          </w:tcPr>
          <w:p w14:paraId="77F7CBED" w14:textId="709148E8" w:rsidR="008A29FE" w:rsidRPr="0055704B" w:rsidRDefault="008A29FE" w:rsidP="00CA4572">
            <w:pPr>
              <w:jc w:val="right"/>
              <w:rPr>
                <w:sz w:val="20"/>
                <w:szCs w:val="20"/>
              </w:rPr>
            </w:pPr>
            <w:r w:rsidRPr="0055704B">
              <w:rPr>
                <w:color w:val="000000"/>
                <w:sz w:val="20"/>
                <w:szCs w:val="20"/>
              </w:rPr>
              <w:t>2 169 725</w:t>
            </w:r>
          </w:p>
        </w:tc>
        <w:tc>
          <w:tcPr>
            <w:tcW w:w="512" w:type="pct"/>
            <w:vAlign w:val="bottom"/>
          </w:tcPr>
          <w:p w14:paraId="78572D6B" w14:textId="10A6D81B" w:rsidR="008A29FE" w:rsidRPr="0055704B" w:rsidRDefault="008A29FE" w:rsidP="00CA4572">
            <w:pPr>
              <w:jc w:val="right"/>
              <w:rPr>
                <w:sz w:val="20"/>
                <w:szCs w:val="20"/>
              </w:rPr>
            </w:pPr>
            <w:r w:rsidRPr="0055704B">
              <w:rPr>
                <w:color w:val="000000"/>
                <w:sz w:val="20"/>
                <w:szCs w:val="20"/>
              </w:rPr>
              <w:t>1 665 041</w:t>
            </w:r>
          </w:p>
        </w:tc>
        <w:tc>
          <w:tcPr>
            <w:tcW w:w="606" w:type="pct"/>
            <w:vAlign w:val="bottom"/>
          </w:tcPr>
          <w:p w14:paraId="4376587C" w14:textId="6BBD45F8" w:rsidR="008A29FE" w:rsidRPr="0055704B" w:rsidRDefault="008A29FE" w:rsidP="00CA4572">
            <w:pPr>
              <w:jc w:val="right"/>
              <w:rPr>
                <w:sz w:val="20"/>
                <w:szCs w:val="20"/>
              </w:rPr>
            </w:pPr>
            <w:r w:rsidRPr="0055704B">
              <w:rPr>
                <w:sz w:val="20"/>
                <w:szCs w:val="20"/>
              </w:rPr>
              <w:t>2 126 943</w:t>
            </w:r>
          </w:p>
        </w:tc>
        <w:tc>
          <w:tcPr>
            <w:tcW w:w="665" w:type="pct"/>
            <w:vAlign w:val="bottom"/>
          </w:tcPr>
          <w:p w14:paraId="2E2D5534" w14:textId="573223D8" w:rsidR="008A29FE" w:rsidRPr="0055704B" w:rsidRDefault="008A29FE" w:rsidP="00CA4572">
            <w:pPr>
              <w:jc w:val="right"/>
              <w:rPr>
                <w:sz w:val="20"/>
                <w:szCs w:val="20"/>
              </w:rPr>
            </w:pPr>
            <w:r w:rsidRPr="0055704B">
              <w:rPr>
                <w:color w:val="000000"/>
                <w:sz w:val="20"/>
                <w:szCs w:val="20"/>
              </w:rPr>
              <w:t>461 902</w:t>
            </w:r>
          </w:p>
        </w:tc>
        <w:tc>
          <w:tcPr>
            <w:tcW w:w="653" w:type="pct"/>
            <w:vAlign w:val="bottom"/>
          </w:tcPr>
          <w:p w14:paraId="431E51B5" w14:textId="2FB815D3" w:rsidR="008A29FE" w:rsidRPr="0055704B" w:rsidRDefault="008A29FE" w:rsidP="006C0682">
            <w:pPr>
              <w:jc w:val="center"/>
              <w:rPr>
                <w:color w:val="000000"/>
                <w:sz w:val="20"/>
                <w:szCs w:val="20"/>
              </w:rPr>
            </w:pPr>
            <w:r w:rsidRPr="0055704B">
              <w:rPr>
                <w:color w:val="000000"/>
                <w:sz w:val="20"/>
                <w:szCs w:val="20"/>
              </w:rPr>
              <w:t>127,7</w:t>
            </w:r>
          </w:p>
        </w:tc>
      </w:tr>
      <w:tr w:rsidR="0072153C" w:rsidRPr="0039341A" w14:paraId="4076412D" w14:textId="47AE7F82" w:rsidTr="006C0682">
        <w:tc>
          <w:tcPr>
            <w:tcW w:w="1958" w:type="pct"/>
            <w:vAlign w:val="center"/>
          </w:tcPr>
          <w:p w14:paraId="25E34DE9" w14:textId="6C67C1E8" w:rsidR="008A29FE" w:rsidRPr="0055704B" w:rsidRDefault="008A29FE" w:rsidP="00CA4572">
            <w:pPr>
              <w:jc w:val="both"/>
              <w:rPr>
                <w:sz w:val="20"/>
                <w:szCs w:val="20"/>
              </w:rPr>
            </w:pPr>
            <w:r w:rsidRPr="002E55A3">
              <w:rPr>
                <w:color w:val="000000"/>
                <w:sz w:val="20"/>
                <w:szCs w:val="20"/>
              </w:rPr>
              <w:t>Zahraničné granty z rozpočtu EÚ</w:t>
            </w:r>
          </w:p>
        </w:tc>
        <w:tc>
          <w:tcPr>
            <w:tcW w:w="606" w:type="pct"/>
            <w:vAlign w:val="bottom"/>
          </w:tcPr>
          <w:p w14:paraId="1C30A62F" w14:textId="21A399A8" w:rsidR="008A29FE" w:rsidRPr="0055704B" w:rsidRDefault="008A29FE" w:rsidP="00CA4572">
            <w:pPr>
              <w:jc w:val="right"/>
              <w:rPr>
                <w:sz w:val="20"/>
                <w:szCs w:val="20"/>
              </w:rPr>
            </w:pPr>
            <w:r w:rsidRPr="0055704B">
              <w:rPr>
                <w:color w:val="000000"/>
                <w:sz w:val="20"/>
                <w:szCs w:val="20"/>
              </w:rPr>
              <w:t>7</w:t>
            </w:r>
          </w:p>
        </w:tc>
        <w:tc>
          <w:tcPr>
            <w:tcW w:w="512" w:type="pct"/>
            <w:vAlign w:val="bottom"/>
          </w:tcPr>
          <w:p w14:paraId="116417F1" w14:textId="1C4A8B63" w:rsidR="008A29FE" w:rsidRPr="0055704B" w:rsidRDefault="008A29FE" w:rsidP="00CA4572">
            <w:pPr>
              <w:jc w:val="right"/>
              <w:rPr>
                <w:sz w:val="20"/>
                <w:szCs w:val="20"/>
              </w:rPr>
            </w:pPr>
            <w:r w:rsidRPr="0055704B">
              <w:rPr>
                <w:color w:val="000000"/>
                <w:sz w:val="20"/>
                <w:szCs w:val="20"/>
              </w:rPr>
              <w:t>0</w:t>
            </w:r>
          </w:p>
        </w:tc>
        <w:tc>
          <w:tcPr>
            <w:tcW w:w="606" w:type="pct"/>
            <w:vAlign w:val="bottom"/>
          </w:tcPr>
          <w:p w14:paraId="47F73B3D" w14:textId="72D22822" w:rsidR="008A29FE" w:rsidRPr="0055704B" w:rsidRDefault="008A29FE" w:rsidP="00CA4572">
            <w:pPr>
              <w:jc w:val="right"/>
              <w:rPr>
                <w:sz w:val="20"/>
                <w:szCs w:val="20"/>
              </w:rPr>
            </w:pPr>
            <w:r w:rsidRPr="0055704B">
              <w:rPr>
                <w:sz w:val="20"/>
                <w:szCs w:val="20"/>
              </w:rPr>
              <w:t>22</w:t>
            </w:r>
          </w:p>
        </w:tc>
        <w:tc>
          <w:tcPr>
            <w:tcW w:w="665" w:type="pct"/>
            <w:vAlign w:val="bottom"/>
          </w:tcPr>
          <w:p w14:paraId="72A85FF5" w14:textId="035A9206" w:rsidR="008A29FE" w:rsidRPr="0055704B" w:rsidRDefault="008A29FE" w:rsidP="00CA4572">
            <w:pPr>
              <w:jc w:val="right"/>
              <w:rPr>
                <w:sz w:val="20"/>
                <w:szCs w:val="20"/>
              </w:rPr>
            </w:pPr>
            <w:r w:rsidRPr="0055704B">
              <w:rPr>
                <w:color w:val="000000"/>
                <w:sz w:val="20"/>
                <w:szCs w:val="20"/>
              </w:rPr>
              <w:t>22</w:t>
            </w:r>
          </w:p>
        </w:tc>
        <w:tc>
          <w:tcPr>
            <w:tcW w:w="653" w:type="pct"/>
            <w:vAlign w:val="bottom"/>
          </w:tcPr>
          <w:p w14:paraId="6D059232" w14:textId="5D2DCFE7" w:rsidR="008A29FE" w:rsidRPr="0055704B" w:rsidRDefault="008A29FE" w:rsidP="006C0682">
            <w:pPr>
              <w:jc w:val="center"/>
              <w:rPr>
                <w:color w:val="000000"/>
                <w:sz w:val="20"/>
                <w:szCs w:val="20"/>
              </w:rPr>
            </w:pPr>
            <w:r w:rsidRPr="0055704B">
              <w:rPr>
                <w:color w:val="000000"/>
                <w:sz w:val="20"/>
                <w:szCs w:val="20"/>
              </w:rPr>
              <w:t>-</w:t>
            </w:r>
          </w:p>
        </w:tc>
      </w:tr>
      <w:tr w:rsidR="0072153C" w:rsidRPr="0039341A" w14:paraId="36BC95C9" w14:textId="5F1E1372" w:rsidTr="006C0682">
        <w:tc>
          <w:tcPr>
            <w:tcW w:w="1958" w:type="pct"/>
            <w:vAlign w:val="center"/>
          </w:tcPr>
          <w:p w14:paraId="13AF28E7" w14:textId="6386BF77" w:rsidR="008A29FE" w:rsidRPr="0055704B" w:rsidRDefault="008A29FE" w:rsidP="00CA4572">
            <w:pPr>
              <w:jc w:val="both"/>
              <w:rPr>
                <w:sz w:val="20"/>
                <w:szCs w:val="20"/>
              </w:rPr>
            </w:pPr>
            <w:r w:rsidRPr="002E55A3">
              <w:rPr>
                <w:b/>
                <w:bCs/>
                <w:color w:val="000000"/>
                <w:sz w:val="20"/>
                <w:szCs w:val="20"/>
              </w:rPr>
              <w:t>Spolu príjmy z rozpočtu EÚ</w:t>
            </w:r>
          </w:p>
        </w:tc>
        <w:tc>
          <w:tcPr>
            <w:tcW w:w="606" w:type="pct"/>
            <w:vAlign w:val="bottom"/>
          </w:tcPr>
          <w:p w14:paraId="41C0D952" w14:textId="7A139F3E" w:rsidR="008A29FE" w:rsidRPr="0055704B" w:rsidRDefault="008A29FE" w:rsidP="00CA4572">
            <w:pPr>
              <w:jc w:val="right"/>
              <w:rPr>
                <w:sz w:val="20"/>
                <w:szCs w:val="20"/>
              </w:rPr>
            </w:pPr>
            <w:r w:rsidRPr="0055704B">
              <w:rPr>
                <w:b/>
                <w:bCs/>
                <w:color w:val="000000"/>
                <w:sz w:val="20"/>
                <w:szCs w:val="20"/>
              </w:rPr>
              <w:t>2 169 732</w:t>
            </w:r>
          </w:p>
        </w:tc>
        <w:tc>
          <w:tcPr>
            <w:tcW w:w="512" w:type="pct"/>
            <w:vAlign w:val="bottom"/>
          </w:tcPr>
          <w:p w14:paraId="1E5DE97F" w14:textId="5DD103FC" w:rsidR="008A29FE" w:rsidRPr="0055704B" w:rsidRDefault="008A29FE" w:rsidP="00CA4572">
            <w:pPr>
              <w:jc w:val="right"/>
              <w:rPr>
                <w:sz w:val="20"/>
                <w:szCs w:val="20"/>
              </w:rPr>
            </w:pPr>
            <w:r w:rsidRPr="0055704B">
              <w:rPr>
                <w:b/>
                <w:bCs/>
                <w:color w:val="000000"/>
                <w:sz w:val="20"/>
                <w:szCs w:val="20"/>
              </w:rPr>
              <w:t>1 665 041</w:t>
            </w:r>
          </w:p>
        </w:tc>
        <w:tc>
          <w:tcPr>
            <w:tcW w:w="606" w:type="pct"/>
            <w:vAlign w:val="bottom"/>
          </w:tcPr>
          <w:p w14:paraId="13D36449" w14:textId="3692BB21" w:rsidR="008A29FE" w:rsidRPr="0055704B" w:rsidRDefault="008A29FE" w:rsidP="00CA4572">
            <w:pPr>
              <w:jc w:val="right"/>
              <w:rPr>
                <w:sz w:val="20"/>
                <w:szCs w:val="20"/>
              </w:rPr>
            </w:pPr>
            <w:r w:rsidRPr="0055704B">
              <w:rPr>
                <w:b/>
                <w:bCs/>
                <w:color w:val="000000"/>
                <w:sz w:val="20"/>
                <w:szCs w:val="20"/>
              </w:rPr>
              <w:t>2 126 210</w:t>
            </w:r>
          </w:p>
        </w:tc>
        <w:tc>
          <w:tcPr>
            <w:tcW w:w="665" w:type="pct"/>
            <w:vAlign w:val="bottom"/>
          </w:tcPr>
          <w:p w14:paraId="2FBB125F" w14:textId="3621C000" w:rsidR="008A29FE" w:rsidRPr="0055704B" w:rsidRDefault="008A29FE" w:rsidP="00CA4572">
            <w:pPr>
              <w:jc w:val="right"/>
              <w:rPr>
                <w:sz w:val="20"/>
                <w:szCs w:val="20"/>
              </w:rPr>
            </w:pPr>
            <w:r w:rsidRPr="0055704B">
              <w:rPr>
                <w:b/>
                <w:bCs/>
                <w:color w:val="000000"/>
                <w:sz w:val="20"/>
                <w:szCs w:val="20"/>
              </w:rPr>
              <w:t>461 169</w:t>
            </w:r>
          </w:p>
        </w:tc>
        <w:tc>
          <w:tcPr>
            <w:tcW w:w="653" w:type="pct"/>
            <w:vAlign w:val="bottom"/>
          </w:tcPr>
          <w:p w14:paraId="1F4ADCD5" w14:textId="442A1BBD" w:rsidR="008A29FE" w:rsidRPr="0055704B" w:rsidRDefault="008A29FE" w:rsidP="006C0682">
            <w:pPr>
              <w:jc w:val="center"/>
              <w:rPr>
                <w:b/>
                <w:bCs/>
                <w:color w:val="000000"/>
                <w:sz w:val="20"/>
                <w:szCs w:val="20"/>
              </w:rPr>
            </w:pPr>
            <w:r w:rsidRPr="0055704B">
              <w:rPr>
                <w:b/>
                <w:bCs/>
                <w:color w:val="000000"/>
                <w:sz w:val="20"/>
                <w:szCs w:val="20"/>
              </w:rPr>
              <w:t>127,7</w:t>
            </w:r>
          </w:p>
        </w:tc>
      </w:tr>
      <w:tr w:rsidR="0072153C" w:rsidRPr="0039341A" w14:paraId="02DBFB43" w14:textId="7E654BC7" w:rsidTr="006C0682">
        <w:tc>
          <w:tcPr>
            <w:tcW w:w="1958" w:type="pct"/>
            <w:vAlign w:val="center"/>
          </w:tcPr>
          <w:p w14:paraId="7BCB2099" w14:textId="436C1E82" w:rsidR="008A29FE" w:rsidRPr="0055704B" w:rsidRDefault="008A29FE" w:rsidP="00CA4572">
            <w:pPr>
              <w:jc w:val="both"/>
              <w:rPr>
                <w:sz w:val="20"/>
                <w:szCs w:val="20"/>
              </w:rPr>
            </w:pPr>
            <w:r w:rsidRPr="002E55A3">
              <w:rPr>
                <w:color w:val="000000"/>
                <w:sz w:val="20"/>
                <w:szCs w:val="20"/>
              </w:rPr>
              <w:t>Odvody SR spolu bez tradičných vlastných zdrojov</w:t>
            </w:r>
          </w:p>
        </w:tc>
        <w:tc>
          <w:tcPr>
            <w:tcW w:w="606" w:type="pct"/>
            <w:vAlign w:val="bottom"/>
          </w:tcPr>
          <w:p w14:paraId="3AAE92F4" w14:textId="51E32E50" w:rsidR="008A29FE" w:rsidRPr="0055704B" w:rsidRDefault="008A29FE" w:rsidP="00CA4572">
            <w:pPr>
              <w:jc w:val="right"/>
              <w:rPr>
                <w:sz w:val="20"/>
                <w:szCs w:val="20"/>
              </w:rPr>
            </w:pPr>
            <w:r w:rsidRPr="0055704B">
              <w:rPr>
                <w:color w:val="000000"/>
                <w:sz w:val="20"/>
                <w:szCs w:val="20"/>
              </w:rPr>
              <w:t>731 424</w:t>
            </w:r>
          </w:p>
        </w:tc>
        <w:tc>
          <w:tcPr>
            <w:tcW w:w="512" w:type="pct"/>
            <w:vAlign w:val="bottom"/>
          </w:tcPr>
          <w:p w14:paraId="564880C4" w14:textId="137483B0" w:rsidR="008A29FE" w:rsidRPr="0055704B" w:rsidRDefault="008A29FE" w:rsidP="00CA4572">
            <w:pPr>
              <w:jc w:val="right"/>
              <w:rPr>
                <w:sz w:val="20"/>
                <w:szCs w:val="20"/>
              </w:rPr>
            </w:pPr>
            <w:r w:rsidRPr="0055704B">
              <w:rPr>
                <w:color w:val="000000"/>
                <w:sz w:val="20"/>
                <w:szCs w:val="20"/>
              </w:rPr>
              <w:t>839 668</w:t>
            </w:r>
          </w:p>
        </w:tc>
        <w:tc>
          <w:tcPr>
            <w:tcW w:w="606" w:type="pct"/>
            <w:vAlign w:val="bottom"/>
          </w:tcPr>
          <w:p w14:paraId="3680CF26" w14:textId="77ECBB7E" w:rsidR="008A29FE" w:rsidRPr="0055704B" w:rsidRDefault="008A29FE" w:rsidP="00CA4572">
            <w:pPr>
              <w:jc w:val="right"/>
              <w:rPr>
                <w:sz w:val="20"/>
                <w:szCs w:val="20"/>
              </w:rPr>
            </w:pPr>
            <w:r w:rsidRPr="0055704B">
              <w:rPr>
                <w:color w:val="000000"/>
                <w:sz w:val="20"/>
                <w:szCs w:val="20"/>
              </w:rPr>
              <w:t>750 226</w:t>
            </w:r>
          </w:p>
        </w:tc>
        <w:tc>
          <w:tcPr>
            <w:tcW w:w="665" w:type="pct"/>
            <w:vAlign w:val="bottom"/>
          </w:tcPr>
          <w:p w14:paraId="0697A685" w14:textId="4FE1D8B1" w:rsidR="008A29FE" w:rsidRPr="0055704B" w:rsidRDefault="008A29FE" w:rsidP="00CA4572">
            <w:pPr>
              <w:jc w:val="right"/>
              <w:rPr>
                <w:sz w:val="20"/>
                <w:szCs w:val="20"/>
              </w:rPr>
            </w:pPr>
            <w:r w:rsidRPr="0055704B">
              <w:rPr>
                <w:b/>
                <w:bCs/>
                <w:color w:val="000000"/>
                <w:sz w:val="20"/>
                <w:szCs w:val="20"/>
              </w:rPr>
              <w:t>-89 442</w:t>
            </w:r>
          </w:p>
        </w:tc>
        <w:tc>
          <w:tcPr>
            <w:tcW w:w="653" w:type="pct"/>
            <w:vAlign w:val="bottom"/>
          </w:tcPr>
          <w:p w14:paraId="13886B0E" w14:textId="1E770491" w:rsidR="008A29FE" w:rsidRPr="0055704B" w:rsidRDefault="008A29FE" w:rsidP="006C0682">
            <w:pPr>
              <w:jc w:val="center"/>
              <w:rPr>
                <w:color w:val="000000"/>
                <w:sz w:val="20"/>
                <w:szCs w:val="20"/>
              </w:rPr>
            </w:pPr>
            <w:r w:rsidRPr="0055704B">
              <w:rPr>
                <w:color w:val="000000"/>
                <w:sz w:val="20"/>
                <w:szCs w:val="20"/>
              </w:rPr>
              <w:t>89,3</w:t>
            </w:r>
          </w:p>
        </w:tc>
      </w:tr>
      <w:tr w:rsidR="0072153C" w:rsidRPr="0039341A" w14:paraId="028468F5" w14:textId="704A8DA4" w:rsidTr="006C0682">
        <w:tc>
          <w:tcPr>
            <w:tcW w:w="1958" w:type="pct"/>
            <w:vAlign w:val="center"/>
          </w:tcPr>
          <w:p w14:paraId="4C42DCA1" w14:textId="25DB38BF" w:rsidR="008A29FE" w:rsidRPr="0055704B" w:rsidRDefault="008A29FE" w:rsidP="00CA4572">
            <w:pPr>
              <w:jc w:val="both"/>
              <w:rPr>
                <w:sz w:val="20"/>
                <w:szCs w:val="20"/>
              </w:rPr>
            </w:pPr>
            <w:r w:rsidRPr="002E55A3">
              <w:rPr>
                <w:color w:val="000000"/>
                <w:sz w:val="20"/>
                <w:szCs w:val="20"/>
              </w:rPr>
              <w:t>Tradičné vlastné zdroje</w:t>
            </w:r>
          </w:p>
        </w:tc>
        <w:tc>
          <w:tcPr>
            <w:tcW w:w="606" w:type="pct"/>
            <w:vAlign w:val="bottom"/>
          </w:tcPr>
          <w:p w14:paraId="3C16FB89" w14:textId="7053C849" w:rsidR="008A29FE" w:rsidRPr="0055704B" w:rsidRDefault="008A29FE" w:rsidP="00CA4572">
            <w:pPr>
              <w:jc w:val="right"/>
              <w:rPr>
                <w:sz w:val="20"/>
                <w:szCs w:val="20"/>
              </w:rPr>
            </w:pPr>
            <w:r w:rsidRPr="0055704B">
              <w:rPr>
                <w:color w:val="000000"/>
                <w:sz w:val="20"/>
                <w:szCs w:val="20"/>
              </w:rPr>
              <w:t>93 385</w:t>
            </w:r>
          </w:p>
        </w:tc>
        <w:tc>
          <w:tcPr>
            <w:tcW w:w="512" w:type="pct"/>
            <w:vAlign w:val="bottom"/>
          </w:tcPr>
          <w:p w14:paraId="58BC8897" w14:textId="59377E7F" w:rsidR="008A29FE" w:rsidRPr="0055704B" w:rsidRDefault="008A29FE" w:rsidP="00CA4572">
            <w:pPr>
              <w:jc w:val="right"/>
              <w:rPr>
                <w:sz w:val="20"/>
                <w:szCs w:val="20"/>
              </w:rPr>
            </w:pPr>
            <w:r w:rsidRPr="0055704B">
              <w:rPr>
                <w:color w:val="000000"/>
                <w:sz w:val="20"/>
                <w:szCs w:val="20"/>
              </w:rPr>
              <w:t>96 311</w:t>
            </w:r>
          </w:p>
        </w:tc>
        <w:tc>
          <w:tcPr>
            <w:tcW w:w="606" w:type="pct"/>
            <w:vAlign w:val="bottom"/>
          </w:tcPr>
          <w:p w14:paraId="53D0F02E" w14:textId="40FCB038" w:rsidR="008A29FE" w:rsidRPr="0055704B" w:rsidRDefault="008A29FE" w:rsidP="00CA4572">
            <w:pPr>
              <w:jc w:val="right"/>
              <w:rPr>
                <w:sz w:val="20"/>
                <w:szCs w:val="20"/>
              </w:rPr>
            </w:pPr>
            <w:r w:rsidRPr="0055704B">
              <w:rPr>
                <w:color w:val="000000"/>
                <w:sz w:val="20"/>
                <w:szCs w:val="20"/>
              </w:rPr>
              <w:t>84 326</w:t>
            </w:r>
          </w:p>
        </w:tc>
        <w:tc>
          <w:tcPr>
            <w:tcW w:w="665" w:type="pct"/>
            <w:vAlign w:val="bottom"/>
          </w:tcPr>
          <w:p w14:paraId="119B010F" w14:textId="39012544" w:rsidR="008A29FE" w:rsidRPr="0055704B" w:rsidRDefault="008A29FE" w:rsidP="00CA4572">
            <w:pPr>
              <w:jc w:val="right"/>
              <w:rPr>
                <w:sz w:val="20"/>
                <w:szCs w:val="20"/>
              </w:rPr>
            </w:pPr>
            <w:r w:rsidRPr="0055704B">
              <w:rPr>
                <w:b/>
                <w:bCs/>
                <w:color w:val="000000"/>
                <w:sz w:val="20"/>
                <w:szCs w:val="20"/>
              </w:rPr>
              <w:t>-11 985</w:t>
            </w:r>
          </w:p>
        </w:tc>
        <w:tc>
          <w:tcPr>
            <w:tcW w:w="653" w:type="pct"/>
            <w:vAlign w:val="bottom"/>
          </w:tcPr>
          <w:p w14:paraId="02DFF0C2" w14:textId="56F6FF86" w:rsidR="008A29FE" w:rsidRPr="0055704B" w:rsidRDefault="008A29FE" w:rsidP="006C0682">
            <w:pPr>
              <w:jc w:val="center"/>
              <w:rPr>
                <w:color w:val="000000"/>
                <w:sz w:val="20"/>
                <w:szCs w:val="20"/>
              </w:rPr>
            </w:pPr>
            <w:r w:rsidRPr="0055704B">
              <w:rPr>
                <w:color w:val="000000"/>
                <w:sz w:val="20"/>
                <w:szCs w:val="20"/>
              </w:rPr>
              <w:t>87,6</w:t>
            </w:r>
          </w:p>
        </w:tc>
      </w:tr>
      <w:tr w:rsidR="0072153C" w:rsidRPr="0039341A" w14:paraId="3163A708" w14:textId="143049CA" w:rsidTr="006C0682">
        <w:tc>
          <w:tcPr>
            <w:tcW w:w="1958" w:type="pct"/>
            <w:vAlign w:val="center"/>
          </w:tcPr>
          <w:p w14:paraId="40D4A1F4" w14:textId="570BB86B" w:rsidR="008A29FE" w:rsidRPr="002E55A3" w:rsidRDefault="008A29FE" w:rsidP="00CA4572">
            <w:pPr>
              <w:jc w:val="both"/>
              <w:rPr>
                <w:color w:val="000000"/>
                <w:sz w:val="20"/>
                <w:szCs w:val="20"/>
              </w:rPr>
            </w:pPr>
            <w:r w:rsidRPr="006C0682">
              <w:rPr>
                <w:b/>
                <w:bCs/>
                <w:iCs/>
                <w:color w:val="000000"/>
                <w:sz w:val="20"/>
                <w:szCs w:val="20"/>
              </w:rPr>
              <w:t>Odvody do rozpočtu EÚ spolu</w:t>
            </w:r>
          </w:p>
        </w:tc>
        <w:tc>
          <w:tcPr>
            <w:tcW w:w="606" w:type="pct"/>
            <w:vAlign w:val="bottom"/>
          </w:tcPr>
          <w:p w14:paraId="3855EE26" w14:textId="54818EE6" w:rsidR="008A29FE" w:rsidRPr="002E55A3" w:rsidRDefault="008A29FE" w:rsidP="00CA4572">
            <w:pPr>
              <w:jc w:val="right"/>
              <w:rPr>
                <w:sz w:val="20"/>
                <w:szCs w:val="20"/>
              </w:rPr>
            </w:pPr>
            <w:r w:rsidRPr="006C0682">
              <w:rPr>
                <w:b/>
                <w:bCs/>
                <w:iCs/>
                <w:color w:val="000000"/>
                <w:sz w:val="20"/>
                <w:szCs w:val="20"/>
              </w:rPr>
              <w:t>824 809</w:t>
            </w:r>
          </w:p>
        </w:tc>
        <w:tc>
          <w:tcPr>
            <w:tcW w:w="512" w:type="pct"/>
            <w:vAlign w:val="bottom"/>
          </w:tcPr>
          <w:p w14:paraId="539DFFD8" w14:textId="0953F46F" w:rsidR="008A29FE" w:rsidRPr="002E55A3" w:rsidRDefault="008A29FE" w:rsidP="00CA4572">
            <w:pPr>
              <w:jc w:val="right"/>
              <w:rPr>
                <w:sz w:val="20"/>
                <w:szCs w:val="20"/>
              </w:rPr>
            </w:pPr>
            <w:r w:rsidRPr="006C0682">
              <w:rPr>
                <w:b/>
                <w:bCs/>
                <w:iCs/>
                <w:color w:val="000000"/>
                <w:sz w:val="20"/>
                <w:szCs w:val="20"/>
              </w:rPr>
              <w:t>935 979</w:t>
            </w:r>
          </w:p>
        </w:tc>
        <w:tc>
          <w:tcPr>
            <w:tcW w:w="606" w:type="pct"/>
            <w:vAlign w:val="bottom"/>
          </w:tcPr>
          <w:p w14:paraId="6F6CEBB7" w14:textId="74D508DC" w:rsidR="008A29FE" w:rsidRPr="002E55A3" w:rsidRDefault="008A29FE" w:rsidP="00CA4572">
            <w:pPr>
              <w:jc w:val="right"/>
              <w:rPr>
                <w:sz w:val="20"/>
                <w:szCs w:val="20"/>
              </w:rPr>
            </w:pPr>
            <w:r w:rsidRPr="006C0682">
              <w:rPr>
                <w:b/>
                <w:bCs/>
                <w:iCs/>
                <w:color w:val="000000"/>
                <w:sz w:val="20"/>
                <w:szCs w:val="20"/>
              </w:rPr>
              <w:t>834 552</w:t>
            </w:r>
          </w:p>
        </w:tc>
        <w:tc>
          <w:tcPr>
            <w:tcW w:w="665" w:type="pct"/>
            <w:vAlign w:val="bottom"/>
          </w:tcPr>
          <w:p w14:paraId="409BBB0D" w14:textId="2BC1C527" w:rsidR="008A29FE" w:rsidRPr="002E55A3" w:rsidRDefault="008A29FE" w:rsidP="00CA4572">
            <w:pPr>
              <w:jc w:val="right"/>
              <w:rPr>
                <w:sz w:val="20"/>
                <w:szCs w:val="20"/>
              </w:rPr>
            </w:pPr>
            <w:r w:rsidRPr="0055704B">
              <w:rPr>
                <w:b/>
                <w:bCs/>
                <w:color w:val="000000"/>
                <w:sz w:val="20"/>
                <w:szCs w:val="20"/>
              </w:rPr>
              <w:t>-</w:t>
            </w:r>
            <w:r w:rsidRPr="006C0682">
              <w:rPr>
                <w:b/>
                <w:bCs/>
                <w:iCs/>
                <w:color w:val="000000"/>
                <w:sz w:val="20"/>
                <w:szCs w:val="20"/>
              </w:rPr>
              <w:t>101 427</w:t>
            </w:r>
          </w:p>
        </w:tc>
        <w:tc>
          <w:tcPr>
            <w:tcW w:w="653" w:type="pct"/>
            <w:vAlign w:val="bottom"/>
          </w:tcPr>
          <w:p w14:paraId="514672D5" w14:textId="5CB59125" w:rsidR="008A29FE" w:rsidRPr="006C0682" w:rsidRDefault="008A29FE" w:rsidP="006C0682">
            <w:pPr>
              <w:jc w:val="center"/>
              <w:rPr>
                <w:b/>
                <w:bCs/>
                <w:iCs/>
                <w:color w:val="000000"/>
                <w:sz w:val="20"/>
                <w:szCs w:val="20"/>
              </w:rPr>
            </w:pPr>
            <w:r w:rsidRPr="006C0682">
              <w:rPr>
                <w:b/>
                <w:bCs/>
                <w:iCs/>
                <w:color w:val="000000"/>
                <w:sz w:val="20"/>
                <w:szCs w:val="20"/>
              </w:rPr>
              <w:t>89,2</w:t>
            </w:r>
          </w:p>
        </w:tc>
      </w:tr>
      <w:tr w:rsidR="0072153C" w:rsidRPr="0039341A" w14:paraId="08A86648" w14:textId="18631D3C" w:rsidTr="006C0682">
        <w:tc>
          <w:tcPr>
            <w:tcW w:w="1958" w:type="pct"/>
            <w:vAlign w:val="center"/>
          </w:tcPr>
          <w:p w14:paraId="35D18BB2" w14:textId="3F689107" w:rsidR="008A29FE" w:rsidRPr="006C0682" w:rsidRDefault="008A29FE" w:rsidP="00CA4572">
            <w:pPr>
              <w:jc w:val="both"/>
              <w:rPr>
                <w:b/>
                <w:bCs/>
                <w:iCs/>
                <w:color w:val="000000"/>
                <w:sz w:val="20"/>
                <w:szCs w:val="20"/>
              </w:rPr>
            </w:pPr>
            <w:r w:rsidRPr="006C0682">
              <w:rPr>
                <w:b/>
                <w:bCs/>
                <w:iCs/>
                <w:color w:val="000000"/>
                <w:sz w:val="20"/>
                <w:szCs w:val="20"/>
              </w:rPr>
              <w:t>Príspevky SR do Európskeho rozvojového fondu</w:t>
            </w:r>
          </w:p>
        </w:tc>
        <w:tc>
          <w:tcPr>
            <w:tcW w:w="606" w:type="pct"/>
            <w:vAlign w:val="bottom"/>
          </w:tcPr>
          <w:p w14:paraId="42E8F41F" w14:textId="1FE69C30" w:rsidR="008A29FE" w:rsidRPr="002E55A3" w:rsidRDefault="008A29FE" w:rsidP="00CA4572">
            <w:pPr>
              <w:jc w:val="right"/>
              <w:rPr>
                <w:sz w:val="20"/>
                <w:szCs w:val="20"/>
              </w:rPr>
            </w:pPr>
            <w:r w:rsidRPr="006C0682">
              <w:rPr>
                <w:b/>
                <w:bCs/>
                <w:iCs/>
                <w:color w:val="000000"/>
                <w:sz w:val="20"/>
                <w:szCs w:val="20"/>
              </w:rPr>
              <w:t>16 512</w:t>
            </w:r>
          </w:p>
        </w:tc>
        <w:tc>
          <w:tcPr>
            <w:tcW w:w="512" w:type="pct"/>
            <w:vAlign w:val="bottom"/>
          </w:tcPr>
          <w:p w14:paraId="7DEA1589" w14:textId="6D02B3AD" w:rsidR="008A29FE" w:rsidRPr="002E55A3" w:rsidRDefault="008A29FE" w:rsidP="00CA4572">
            <w:pPr>
              <w:jc w:val="right"/>
              <w:rPr>
                <w:sz w:val="20"/>
                <w:szCs w:val="20"/>
              </w:rPr>
            </w:pPr>
            <w:r w:rsidRPr="006C0682">
              <w:rPr>
                <w:b/>
                <w:bCs/>
                <w:iCs/>
                <w:color w:val="000000"/>
                <w:sz w:val="20"/>
                <w:szCs w:val="20"/>
              </w:rPr>
              <w:t>17 934</w:t>
            </w:r>
          </w:p>
        </w:tc>
        <w:tc>
          <w:tcPr>
            <w:tcW w:w="606" w:type="pct"/>
            <w:vAlign w:val="bottom"/>
          </w:tcPr>
          <w:p w14:paraId="18492587" w14:textId="1BB3F6AD" w:rsidR="008A29FE" w:rsidRPr="002E55A3" w:rsidRDefault="008A29FE" w:rsidP="00CA4572">
            <w:pPr>
              <w:jc w:val="right"/>
              <w:rPr>
                <w:sz w:val="20"/>
                <w:szCs w:val="20"/>
              </w:rPr>
            </w:pPr>
            <w:r w:rsidRPr="006C0682">
              <w:rPr>
                <w:b/>
                <w:bCs/>
                <w:iCs/>
                <w:color w:val="000000"/>
                <w:sz w:val="20"/>
                <w:szCs w:val="20"/>
              </w:rPr>
              <w:t>17 181</w:t>
            </w:r>
          </w:p>
        </w:tc>
        <w:tc>
          <w:tcPr>
            <w:tcW w:w="665" w:type="pct"/>
            <w:vAlign w:val="bottom"/>
          </w:tcPr>
          <w:p w14:paraId="49317027" w14:textId="620B0404" w:rsidR="008A29FE" w:rsidRPr="0055704B" w:rsidRDefault="008A29FE" w:rsidP="00CA4572">
            <w:pPr>
              <w:jc w:val="right"/>
              <w:rPr>
                <w:sz w:val="20"/>
                <w:szCs w:val="20"/>
              </w:rPr>
            </w:pPr>
            <w:r w:rsidRPr="0055704B">
              <w:rPr>
                <w:b/>
                <w:bCs/>
                <w:color w:val="000000"/>
                <w:sz w:val="20"/>
                <w:szCs w:val="20"/>
              </w:rPr>
              <w:t>-753</w:t>
            </w:r>
          </w:p>
        </w:tc>
        <w:tc>
          <w:tcPr>
            <w:tcW w:w="653" w:type="pct"/>
            <w:vAlign w:val="bottom"/>
          </w:tcPr>
          <w:p w14:paraId="02D08956" w14:textId="3C8E0DA3" w:rsidR="008A29FE" w:rsidRPr="006C0682" w:rsidRDefault="008A29FE" w:rsidP="006C0682">
            <w:pPr>
              <w:jc w:val="center"/>
              <w:rPr>
                <w:b/>
                <w:bCs/>
                <w:iCs/>
                <w:color w:val="000000"/>
                <w:sz w:val="20"/>
                <w:szCs w:val="20"/>
              </w:rPr>
            </w:pPr>
            <w:r w:rsidRPr="006C0682">
              <w:rPr>
                <w:b/>
                <w:bCs/>
                <w:iCs/>
                <w:color w:val="000000"/>
                <w:sz w:val="20"/>
                <w:szCs w:val="20"/>
              </w:rPr>
              <w:t>95,8</w:t>
            </w:r>
          </w:p>
        </w:tc>
      </w:tr>
      <w:tr w:rsidR="0072153C" w:rsidRPr="0039341A" w14:paraId="242EC69C" w14:textId="0A0DF2BC" w:rsidTr="006C0682">
        <w:tc>
          <w:tcPr>
            <w:tcW w:w="1958" w:type="pct"/>
            <w:vAlign w:val="center"/>
          </w:tcPr>
          <w:p w14:paraId="0F7C5631" w14:textId="31861BA0" w:rsidR="008A29FE" w:rsidRPr="006C0682" w:rsidRDefault="008A29FE" w:rsidP="00CA4572">
            <w:pPr>
              <w:jc w:val="both"/>
              <w:rPr>
                <w:b/>
                <w:bCs/>
                <w:iCs/>
                <w:color w:val="000000"/>
                <w:sz w:val="20"/>
                <w:szCs w:val="20"/>
              </w:rPr>
            </w:pPr>
            <w:r w:rsidRPr="002E55A3">
              <w:rPr>
                <w:b/>
                <w:bCs/>
                <w:color w:val="000000"/>
                <w:sz w:val="20"/>
                <w:szCs w:val="20"/>
              </w:rPr>
              <w:t xml:space="preserve">Spolu odvody a príspevky SR do všeobecného rozpočtu EÚ </w:t>
            </w:r>
          </w:p>
        </w:tc>
        <w:tc>
          <w:tcPr>
            <w:tcW w:w="606" w:type="pct"/>
            <w:vAlign w:val="bottom"/>
          </w:tcPr>
          <w:p w14:paraId="30034229" w14:textId="4B414581" w:rsidR="008A29FE" w:rsidRPr="0055704B" w:rsidRDefault="008A29FE" w:rsidP="00CA4572">
            <w:pPr>
              <w:jc w:val="right"/>
              <w:rPr>
                <w:sz w:val="20"/>
                <w:szCs w:val="20"/>
              </w:rPr>
            </w:pPr>
            <w:r w:rsidRPr="002E55A3">
              <w:rPr>
                <w:b/>
                <w:bCs/>
                <w:color w:val="000000"/>
                <w:sz w:val="20"/>
                <w:szCs w:val="20"/>
              </w:rPr>
              <w:t>841 321</w:t>
            </w:r>
          </w:p>
        </w:tc>
        <w:tc>
          <w:tcPr>
            <w:tcW w:w="512" w:type="pct"/>
            <w:vAlign w:val="bottom"/>
          </w:tcPr>
          <w:p w14:paraId="080DE6C1" w14:textId="221438BC" w:rsidR="008A29FE" w:rsidRPr="0055704B" w:rsidRDefault="008A29FE" w:rsidP="00CA4572">
            <w:pPr>
              <w:jc w:val="right"/>
              <w:rPr>
                <w:sz w:val="20"/>
                <w:szCs w:val="20"/>
              </w:rPr>
            </w:pPr>
            <w:r w:rsidRPr="0055704B">
              <w:rPr>
                <w:b/>
                <w:bCs/>
                <w:color w:val="000000"/>
                <w:sz w:val="20"/>
                <w:szCs w:val="20"/>
              </w:rPr>
              <w:t>953 913</w:t>
            </w:r>
          </w:p>
        </w:tc>
        <w:tc>
          <w:tcPr>
            <w:tcW w:w="606" w:type="pct"/>
            <w:vAlign w:val="bottom"/>
          </w:tcPr>
          <w:p w14:paraId="185A3502" w14:textId="7CD15A16" w:rsidR="008A29FE" w:rsidRPr="0055704B" w:rsidRDefault="008A29FE" w:rsidP="00CA4572">
            <w:pPr>
              <w:jc w:val="right"/>
              <w:rPr>
                <w:sz w:val="20"/>
                <w:szCs w:val="20"/>
              </w:rPr>
            </w:pPr>
            <w:r w:rsidRPr="0055704B">
              <w:rPr>
                <w:b/>
                <w:bCs/>
                <w:color w:val="000000"/>
                <w:sz w:val="20"/>
                <w:szCs w:val="20"/>
              </w:rPr>
              <w:t>851 733</w:t>
            </w:r>
          </w:p>
        </w:tc>
        <w:tc>
          <w:tcPr>
            <w:tcW w:w="665" w:type="pct"/>
            <w:vAlign w:val="bottom"/>
          </w:tcPr>
          <w:p w14:paraId="57B05EB9" w14:textId="0679FD60" w:rsidR="008A29FE" w:rsidRPr="0055704B" w:rsidRDefault="008A29FE" w:rsidP="00CA4572">
            <w:pPr>
              <w:jc w:val="right"/>
              <w:rPr>
                <w:sz w:val="20"/>
                <w:szCs w:val="20"/>
              </w:rPr>
            </w:pPr>
            <w:r w:rsidRPr="0055704B">
              <w:rPr>
                <w:b/>
                <w:bCs/>
                <w:color w:val="000000"/>
                <w:sz w:val="20"/>
                <w:szCs w:val="20"/>
              </w:rPr>
              <w:t>-102 180</w:t>
            </w:r>
          </w:p>
        </w:tc>
        <w:tc>
          <w:tcPr>
            <w:tcW w:w="653" w:type="pct"/>
            <w:vAlign w:val="bottom"/>
          </w:tcPr>
          <w:p w14:paraId="1FB2A960" w14:textId="30ADEDD9" w:rsidR="008A29FE" w:rsidRPr="0055704B" w:rsidRDefault="008A29FE" w:rsidP="006C0682">
            <w:pPr>
              <w:jc w:val="center"/>
              <w:rPr>
                <w:b/>
                <w:bCs/>
                <w:color w:val="000000"/>
                <w:sz w:val="20"/>
                <w:szCs w:val="20"/>
              </w:rPr>
            </w:pPr>
            <w:r w:rsidRPr="0055704B">
              <w:rPr>
                <w:b/>
                <w:bCs/>
                <w:color w:val="000000"/>
                <w:sz w:val="20"/>
                <w:szCs w:val="20"/>
              </w:rPr>
              <w:t>89,3</w:t>
            </w:r>
          </w:p>
        </w:tc>
      </w:tr>
      <w:tr w:rsidR="0072153C" w:rsidRPr="0039341A" w14:paraId="55135B07" w14:textId="608F7F55" w:rsidTr="006C0682">
        <w:tc>
          <w:tcPr>
            <w:tcW w:w="1958" w:type="pct"/>
            <w:vAlign w:val="center"/>
          </w:tcPr>
          <w:p w14:paraId="1753E582" w14:textId="6297ECEA" w:rsidR="008A29FE" w:rsidRPr="002E55A3" w:rsidRDefault="008A29FE" w:rsidP="00CA4572">
            <w:pPr>
              <w:jc w:val="both"/>
              <w:rPr>
                <w:b/>
                <w:bCs/>
                <w:color w:val="000000"/>
                <w:sz w:val="20"/>
                <w:szCs w:val="20"/>
              </w:rPr>
            </w:pPr>
            <w:r w:rsidRPr="002E55A3">
              <w:rPr>
                <w:b/>
                <w:bCs/>
                <w:color w:val="000000"/>
                <w:sz w:val="20"/>
                <w:szCs w:val="20"/>
              </w:rPr>
              <w:t>Čistá finančná pozícia</w:t>
            </w:r>
          </w:p>
        </w:tc>
        <w:tc>
          <w:tcPr>
            <w:tcW w:w="606" w:type="pct"/>
            <w:vAlign w:val="bottom"/>
          </w:tcPr>
          <w:p w14:paraId="08986780" w14:textId="4589B276" w:rsidR="008A29FE" w:rsidRPr="0055704B" w:rsidRDefault="008A29FE" w:rsidP="00CA4572">
            <w:pPr>
              <w:jc w:val="right"/>
              <w:rPr>
                <w:sz w:val="20"/>
                <w:szCs w:val="20"/>
              </w:rPr>
            </w:pPr>
            <w:r w:rsidRPr="0055704B">
              <w:rPr>
                <w:b/>
                <w:bCs/>
                <w:color w:val="000000"/>
                <w:sz w:val="20"/>
                <w:szCs w:val="20"/>
              </w:rPr>
              <w:t>1 328 411</w:t>
            </w:r>
          </w:p>
        </w:tc>
        <w:tc>
          <w:tcPr>
            <w:tcW w:w="512" w:type="pct"/>
            <w:vAlign w:val="bottom"/>
          </w:tcPr>
          <w:p w14:paraId="59C7409C" w14:textId="4E902153" w:rsidR="008A29FE" w:rsidRPr="0055704B" w:rsidRDefault="008A29FE" w:rsidP="00CA4572">
            <w:pPr>
              <w:jc w:val="right"/>
              <w:rPr>
                <w:sz w:val="20"/>
                <w:szCs w:val="20"/>
              </w:rPr>
            </w:pPr>
            <w:r w:rsidRPr="0055704B">
              <w:rPr>
                <w:b/>
                <w:bCs/>
                <w:color w:val="000000"/>
                <w:sz w:val="20"/>
                <w:szCs w:val="20"/>
              </w:rPr>
              <w:t>711 128</w:t>
            </w:r>
          </w:p>
        </w:tc>
        <w:tc>
          <w:tcPr>
            <w:tcW w:w="606" w:type="pct"/>
            <w:vAlign w:val="bottom"/>
          </w:tcPr>
          <w:p w14:paraId="4C0699D5" w14:textId="0A5B396F" w:rsidR="008A29FE" w:rsidRPr="0055704B" w:rsidRDefault="008A29FE" w:rsidP="00CA4572">
            <w:pPr>
              <w:jc w:val="right"/>
              <w:rPr>
                <w:sz w:val="20"/>
                <w:szCs w:val="20"/>
              </w:rPr>
            </w:pPr>
            <w:r w:rsidRPr="0055704B">
              <w:rPr>
                <w:b/>
                <w:bCs/>
                <w:color w:val="000000"/>
                <w:sz w:val="20"/>
                <w:szCs w:val="20"/>
              </w:rPr>
              <w:t>1 275 210</w:t>
            </w:r>
          </w:p>
        </w:tc>
        <w:tc>
          <w:tcPr>
            <w:tcW w:w="665" w:type="pct"/>
            <w:vAlign w:val="bottom"/>
          </w:tcPr>
          <w:p w14:paraId="34484F34" w14:textId="68B7075A" w:rsidR="008A29FE" w:rsidRPr="0055704B" w:rsidRDefault="008A29FE" w:rsidP="00CA4572">
            <w:pPr>
              <w:jc w:val="right"/>
              <w:rPr>
                <w:sz w:val="20"/>
                <w:szCs w:val="20"/>
              </w:rPr>
            </w:pPr>
            <w:r w:rsidRPr="0055704B">
              <w:rPr>
                <w:b/>
                <w:bCs/>
                <w:color w:val="000000"/>
                <w:sz w:val="20"/>
                <w:szCs w:val="20"/>
              </w:rPr>
              <w:t>564 082</w:t>
            </w:r>
          </w:p>
        </w:tc>
        <w:tc>
          <w:tcPr>
            <w:tcW w:w="653" w:type="pct"/>
            <w:vAlign w:val="bottom"/>
          </w:tcPr>
          <w:p w14:paraId="5E854C39" w14:textId="1B8A6A30" w:rsidR="008A29FE" w:rsidRPr="0055704B" w:rsidRDefault="008A29FE" w:rsidP="006C0682">
            <w:pPr>
              <w:jc w:val="center"/>
              <w:rPr>
                <w:b/>
                <w:bCs/>
                <w:color w:val="000000"/>
                <w:sz w:val="20"/>
                <w:szCs w:val="20"/>
              </w:rPr>
            </w:pPr>
            <w:r w:rsidRPr="0055704B">
              <w:rPr>
                <w:b/>
                <w:bCs/>
                <w:color w:val="000000"/>
                <w:sz w:val="20"/>
                <w:szCs w:val="20"/>
              </w:rPr>
              <w:t>179,3</w:t>
            </w:r>
          </w:p>
        </w:tc>
      </w:tr>
    </w:tbl>
    <w:p w14:paraId="43DFAC0A" w14:textId="28186A70" w:rsidR="00D168B3" w:rsidRDefault="008A29FE" w:rsidP="0067401C">
      <w:pPr>
        <w:spacing w:after="120"/>
        <w:jc w:val="both"/>
        <w:rPr>
          <w:i/>
          <w:sz w:val="18"/>
          <w:szCs w:val="20"/>
        </w:rPr>
      </w:pPr>
      <w:r w:rsidRPr="0039341A">
        <w:rPr>
          <w:i/>
          <w:sz w:val="18"/>
          <w:szCs w:val="20"/>
        </w:rPr>
        <w:t>Zdroj: MF SR</w:t>
      </w:r>
    </w:p>
    <w:p w14:paraId="34FE8D69" w14:textId="77777777" w:rsidR="00D52FBD" w:rsidRPr="006C0682" w:rsidRDefault="00D52FBD" w:rsidP="0067401C">
      <w:pPr>
        <w:spacing w:after="120"/>
        <w:jc w:val="both"/>
        <w:rPr>
          <w:sz w:val="18"/>
          <w:szCs w:val="20"/>
        </w:rPr>
      </w:pP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9356"/>
      </w:tblGrid>
      <w:tr w:rsidR="007F64A0" w14:paraId="46BB2708" w14:textId="77777777" w:rsidTr="007F64A0">
        <w:tc>
          <w:tcPr>
            <w:tcW w:w="9356" w:type="dxa"/>
            <w:shd w:val="clear" w:color="auto" w:fill="0070C0"/>
          </w:tcPr>
          <w:p w14:paraId="6C16EE26" w14:textId="3BA46D0F" w:rsidR="007F64A0" w:rsidRDefault="00CD2D36" w:rsidP="00D52FBD">
            <w:pPr>
              <w:pStyle w:val="Bezriadkovania"/>
              <w:jc w:val="both"/>
            </w:pPr>
            <w:r>
              <w:rPr>
                <w:rFonts w:cs="Arial"/>
                <w:b/>
                <w:color w:val="FFFFFF" w:themeColor="background1"/>
              </w:rPr>
              <w:lastRenderedPageBreak/>
              <w:t>Graf 2</w:t>
            </w:r>
            <w:r w:rsidR="00D52FBD">
              <w:rPr>
                <w:rFonts w:cs="Arial"/>
                <w:b/>
                <w:color w:val="FFFFFF" w:themeColor="background1"/>
              </w:rPr>
              <w:t>8</w:t>
            </w:r>
            <w:r>
              <w:rPr>
                <w:rFonts w:cs="Arial"/>
                <w:b/>
                <w:color w:val="FFFFFF" w:themeColor="background1"/>
              </w:rPr>
              <w:t xml:space="preserve">: </w:t>
            </w:r>
            <w:r w:rsidR="007F64A0" w:rsidRPr="007F64A0">
              <w:rPr>
                <w:rFonts w:cs="Arial"/>
                <w:b/>
                <w:color w:val="FFFFFF" w:themeColor="background1"/>
              </w:rPr>
              <w:t>Vývoj čistej finančnej pozície v rokoch 200</w:t>
            </w:r>
            <w:r w:rsidR="000C5F1A">
              <w:rPr>
                <w:rFonts w:cs="Arial"/>
                <w:b/>
                <w:color w:val="FFFFFF" w:themeColor="background1"/>
              </w:rPr>
              <w:t>5</w:t>
            </w:r>
            <w:r w:rsidR="00220EB0">
              <w:rPr>
                <w:rFonts w:cs="Arial"/>
                <w:b/>
                <w:color w:val="FFFFFF" w:themeColor="background1"/>
              </w:rPr>
              <w:t xml:space="preserve"> až 2022</w:t>
            </w:r>
          </w:p>
        </w:tc>
      </w:tr>
      <w:tr w:rsidR="007F64A0" w14:paraId="5540CF9B" w14:textId="77777777" w:rsidTr="00D92DD6">
        <w:trPr>
          <w:trHeight w:val="4128"/>
        </w:trPr>
        <w:tc>
          <w:tcPr>
            <w:tcW w:w="9356" w:type="dxa"/>
          </w:tcPr>
          <w:p w14:paraId="14D5483C" w14:textId="210C0106" w:rsidR="007F64A0" w:rsidRDefault="007F64A0" w:rsidP="00CA4572">
            <w:pPr>
              <w:pStyle w:val="Bezriadkovania"/>
              <w:jc w:val="both"/>
            </w:pPr>
            <w:r>
              <w:rPr>
                <w:noProof/>
              </w:rPr>
              <w:drawing>
                <wp:inline distT="0" distB="0" distL="0" distR="0" wp14:anchorId="648FFFCB" wp14:editId="75DCF38D">
                  <wp:extent cx="5859780" cy="2529840"/>
                  <wp:effectExtent l="0" t="0" r="7620" b="381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14:paraId="3352DCE0" w14:textId="0F2706C6" w:rsidR="007F64A0" w:rsidRPr="008B0098" w:rsidRDefault="007F64A0" w:rsidP="00CA4572">
      <w:pPr>
        <w:spacing w:after="120" w:line="276" w:lineRule="auto"/>
        <w:rPr>
          <w:i/>
          <w:sz w:val="18"/>
        </w:rPr>
      </w:pPr>
      <w:r w:rsidRPr="008B0098">
        <w:rPr>
          <w:i/>
          <w:sz w:val="18"/>
        </w:rPr>
        <w:t>Zdroj: Návrh ŠZÚ za rok 2019</w:t>
      </w:r>
    </w:p>
    <w:p w14:paraId="574FF35A" w14:textId="03D9DE76" w:rsidR="007F64A0" w:rsidRDefault="007F64A0" w:rsidP="00862AEB">
      <w:pPr>
        <w:spacing w:before="120" w:after="120"/>
        <w:jc w:val="both"/>
      </w:pPr>
      <w:r w:rsidRPr="00854A41">
        <w:t xml:space="preserve">Rok </w:t>
      </w:r>
      <w:r>
        <w:t>2019 bol</w:t>
      </w:r>
      <w:r w:rsidRPr="00854A41">
        <w:t xml:space="preserve"> </w:t>
      </w:r>
      <w:r>
        <w:t xml:space="preserve">šiestym </w:t>
      </w:r>
      <w:r w:rsidRPr="00854A41">
        <w:t>rokom implementácie programového obdobia 2014 – 2020, v ktorom čerpanie všetkých OP dosiahlo k 31.</w:t>
      </w:r>
      <w:r w:rsidR="00862AEB">
        <w:t xml:space="preserve"> </w:t>
      </w:r>
      <w:r>
        <w:t>12</w:t>
      </w:r>
      <w:r w:rsidRPr="00854A41">
        <w:t>.</w:t>
      </w:r>
      <w:r w:rsidR="00862AEB">
        <w:t xml:space="preserve"> </w:t>
      </w:r>
      <w:r w:rsidRPr="00854A41">
        <w:t>201</w:t>
      </w:r>
      <w:r>
        <w:t>9</w:t>
      </w:r>
      <w:r w:rsidRPr="00854A41">
        <w:t xml:space="preserve"> sumu </w:t>
      </w:r>
      <w:r>
        <w:rPr>
          <w:rFonts w:eastAsia="Times New Roman" w:cs="Arial"/>
          <w:lang w:eastAsia="sk-SK"/>
        </w:rPr>
        <w:t>3 936 048</w:t>
      </w:r>
      <w:r w:rsidRPr="00854A41">
        <w:rPr>
          <w:rFonts w:eastAsia="Times New Roman" w:cs="Arial"/>
          <w:lang w:eastAsia="sk-SK"/>
        </w:rPr>
        <w:t xml:space="preserve"> tis.</w:t>
      </w:r>
      <w:r w:rsidRPr="00854A41">
        <w:t xml:space="preserve"> eur, čo predstavuje </w:t>
      </w:r>
      <w:r>
        <w:t>28,55</w:t>
      </w:r>
      <w:r w:rsidRPr="00854A41">
        <w:t xml:space="preserve"> </w:t>
      </w:r>
      <w:r>
        <w:t>% z celkovej alokácie (EÚ zdroj</w:t>
      </w:r>
      <w:r w:rsidR="00BE0310">
        <w:t xml:space="preserve">, </w:t>
      </w:r>
      <w:r>
        <w:t>bez PRV</w:t>
      </w:r>
      <w:r w:rsidR="003A0142">
        <w:t>, Graf 29</w:t>
      </w:r>
      <w:r>
        <w:t>).</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9356"/>
      </w:tblGrid>
      <w:tr w:rsidR="007F64A0" w:rsidRPr="00D52FBD" w14:paraId="1842DBC4" w14:textId="77777777" w:rsidTr="00303737">
        <w:tc>
          <w:tcPr>
            <w:tcW w:w="9356" w:type="dxa"/>
            <w:shd w:val="clear" w:color="auto" w:fill="0070C0"/>
          </w:tcPr>
          <w:p w14:paraId="0DEB55AF" w14:textId="3760241C" w:rsidR="007F64A0" w:rsidRPr="00D52FBD" w:rsidRDefault="00D52FBD" w:rsidP="00CA4572">
            <w:pPr>
              <w:pStyle w:val="Bezriadkovania"/>
              <w:jc w:val="both"/>
              <w:rPr>
                <w:rFonts w:cs="Arial"/>
                <w:b/>
                <w:color w:val="FFFFFF" w:themeColor="background1"/>
              </w:rPr>
            </w:pPr>
            <w:r w:rsidRPr="00D52FBD">
              <w:rPr>
                <w:rFonts w:cs="Arial"/>
                <w:b/>
                <w:color w:val="FFFFFF" w:themeColor="background1"/>
              </w:rPr>
              <w:t>Graf 29</w:t>
            </w:r>
            <w:r w:rsidR="00CD2D36" w:rsidRPr="00D52FBD">
              <w:rPr>
                <w:rFonts w:cs="Arial"/>
                <w:b/>
                <w:color w:val="FFFFFF" w:themeColor="background1"/>
              </w:rPr>
              <w:t xml:space="preserve">: </w:t>
            </w:r>
            <w:r w:rsidR="007F64A0" w:rsidRPr="00D52FBD">
              <w:rPr>
                <w:rFonts w:cs="Arial"/>
                <w:b/>
                <w:color w:val="FFFFFF" w:themeColor="background1"/>
              </w:rPr>
              <w:t>Podiel čerpania OP EŠIF na celkovom čerpaní k 31.</w:t>
            </w:r>
            <w:r w:rsidR="0039341A" w:rsidRPr="00D52FBD">
              <w:rPr>
                <w:rFonts w:cs="Arial"/>
                <w:b/>
                <w:color w:val="FFFFFF" w:themeColor="background1"/>
              </w:rPr>
              <w:t xml:space="preserve"> </w:t>
            </w:r>
            <w:r w:rsidR="007F64A0" w:rsidRPr="00D52FBD">
              <w:rPr>
                <w:rFonts w:cs="Arial"/>
                <w:b/>
                <w:color w:val="FFFFFF" w:themeColor="background1"/>
              </w:rPr>
              <w:t>12.</w:t>
            </w:r>
            <w:r w:rsidR="0039341A" w:rsidRPr="00D52FBD">
              <w:rPr>
                <w:rFonts w:cs="Arial"/>
                <w:b/>
                <w:color w:val="FFFFFF" w:themeColor="background1"/>
              </w:rPr>
              <w:t xml:space="preserve"> </w:t>
            </w:r>
            <w:r w:rsidR="007F64A0" w:rsidRPr="00D52FBD">
              <w:rPr>
                <w:rFonts w:cs="Arial"/>
                <w:b/>
                <w:color w:val="FFFFFF" w:themeColor="background1"/>
              </w:rPr>
              <w:t>2019 (v %)</w:t>
            </w:r>
          </w:p>
        </w:tc>
      </w:tr>
      <w:tr w:rsidR="007F64A0" w14:paraId="0570A013" w14:textId="77777777" w:rsidTr="00F70D73">
        <w:trPr>
          <w:trHeight w:val="3139"/>
        </w:trPr>
        <w:tc>
          <w:tcPr>
            <w:tcW w:w="9356" w:type="dxa"/>
            <w:shd w:val="clear" w:color="auto" w:fill="auto"/>
          </w:tcPr>
          <w:p w14:paraId="57F5A2BA" w14:textId="44EB51E3" w:rsidR="007F64A0" w:rsidRDefault="007F64A0" w:rsidP="00CA4572">
            <w:pPr>
              <w:pStyle w:val="Bezriadkovania"/>
              <w:jc w:val="both"/>
            </w:pPr>
            <w:r>
              <w:rPr>
                <w:noProof/>
              </w:rPr>
              <w:drawing>
                <wp:inline distT="0" distB="0" distL="0" distR="0" wp14:anchorId="12B154AC" wp14:editId="64D7F692">
                  <wp:extent cx="5836920" cy="1931035"/>
                  <wp:effectExtent l="0" t="0" r="0" b="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14:paraId="13C3E313" w14:textId="77777777" w:rsidR="007F64A0" w:rsidRPr="0039341A" w:rsidRDefault="007F64A0" w:rsidP="00CA4572">
      <w:pPr>
        <w:rPr>
          <w:i/>
          <w:sz w:val="18"/>
        </w:rPr>
      </w:pPr>
      <w:r w:rsidRPr="0039341A">
        <w:rPr>
          <w:i/>
          <w:sz w:val="18"/>
        </w:rPr>
        <w:t>Zdroj: MF SR</w:t>
      </w:r>
    </w:p>
    <w:p w14:paraId="425833F0" w14:textId="6B06CD81" w:rsidR="007F64A0" w:rsidRPr="007F64A0" w:rsidRDefault="00F162EB" w:rsidP="00CA4572">
      <w:pPr>
        <w:spacing w:before="120" w:after="120"/>
        <w:jc w:val="both"/>
      </w:pPr>
      <w:r w:rsidRPr="00F162EB">
        <w:t>V období do 31. 12. 2019 mal najvyšší podiel čerpania na celkovom čerpaní OP Integrovaná infraštruktúra na úrovni 43,7 %, pričom za ním nasledoval OP Kvalita životného prostredia (21,78 %</w:t>
      </w:r>
      <w:r>
        <w:t>) a OP Ľudské zdroje (20,21 %).</w:t>
      </w:r>
    </w:p>
    <w:p w14:paraId="4CCD59D3" w14:textId="77777777" w:rsidR="007F64A0" w:rsidRPr="007F64A0" w:rsidRDefault="007F64A0" w:rsidP="00CA4572">
      <w:pPr>
        <w:spacing w:before="120" w:after="120"/>
        <w:jc w:val="both"/>
        <w:rPr>
          <w:rFonts w:cs="Arial"/>
          <w:b/>
        </w:rPr>
      </w:pPr>
      <w:r w:rsidRPr="007F64A0">
        <w:rPr>
          <w:rFonts w:cs="Arial"/>
          <w:b/>
        </w:rPr>
        <w:t>Údaje o nezrovnalostiach v rámci čerpania EŠIF</w:t>
      </w:r>
    </w:p>
    <w:p w14:paraId="7CFBD31C" w14:textId="06C6D0D1" w:rsidR="007F64A0" w:rsidRPr="007F64A0" w:rsidRDefault="007F64A0" w:rsidP="00CA4572">
      <w:pPr>
        <w:spacing w:before="120" w:after="120"/>
        <w:jc w:val="both"/>
        <w:rPr>
          <w:rFonts w:cs="Arial"/>
        </w:rPr>
      </w:pPr>
      <w:r w:rsidRPr="007F64A0">
        <w:rPr>
          <w:rFonts w:cs="Arial"/>
        </w:rPr>
        <w:t xml:space="preserve">Čerpanie EŠIF má vo svojom procese veľmi striktné pravidlá, pri nedodržaní </w:t>
      </w:r>
      <w:r w:rsidR="007809AF" w:rsidRPr="007F64A0">
        <w:rPr>
          <w:rFonts w:cs="Arial"/>
        </w:rPr>
        <w:t xml:space="preserve">ktorých </w:t>
      </w:r>
      <w:r w:rsidRPr="007F64A0">
        <w:rPr>
          <w:rFonts w:cs="Arial"/>
        </w:rPr>
        <w:t>nastupujú sankcie vo forme korekcií. Riadiace a kontrolné orgány sa pri procese kontroly musia riadiť metodickými pokynmi (najmä od CKO), ktoré detailne regulujú tento administratívne zložitý proces.</w:t>
      </w:r>
    </w:p>
    <w:p w14:paraId="63DEC2BE" w14:textId="66DFB413" w:rsidR="007F64A0" w:rsidRDefault="007F64A0" w:rsidP="00CA4572">
      <w:pPr>
        <w:spacing w:before="120" w:after="120"/>
        <w:jc w:val="both"/>
        <w:rPr>
          <w:rFonts w:cs="Arial"/>
          <w:b/>
          <w:u w:val="single"/>
        </w:rPr>
      </w:pPr>
      <w:r w:rsidRPr="007F64A0">
        <w:rPr>
          <w:rFonts w:cs="Arial"/>
          <w:b/>
          <w:u w:val="single"/>
        </w:rPr>
        <w:t>II. programové obdobie (2007 - 2013)</w:t>
      </w:r>
    </w:p>
    <w:p w14:paraId="58626F0C" w14:textId="038C5D6E" w:rsidR="00D168B3" w:rsidRDefault="00D9070A" w:rsidP="00D9070A">
      <w:pPr>
        <w:spacing w:before="120" w:after="120"/>
        <w:jc w:val="both"/>
      </w:pPr>
      <w:r>
        <w:t>Druhé programové obdobie je pre SR problematické a stále sa objavujú rozsiahle vratky a nezrovnalosti, ktoré dosahujú výšku až desiatok miliónov eur. Najväčšie problémy sú z hľadiska objemu pri OP Doprava, ktorý vykazuje sumu nezrovnalostí a vratiek 318 019 tis. eur (EÚ zdroj), pričom celkovo 14 OP z druhého programového obdobia vykazuje obdobné nezrovnalosti, sumárne vo výške 840 858 tis. eur (EÚ zdroj).</w:t>
      </w:r>
    </w:p>
    <w:p w14:paraId="2C663840" w14:textId="77777777" w:rsidR="00D168B3" w:rsidRDefault="00D168B3" w:rsidP="00D9070A">
      <w:pPr>
        <w:spacing w:before="120" w:after="120"/>
        <w:jc w:val="both"/>
      </w:pPr>
    </w:p>
    <w:p w14:paraId="10D4A36A" w14:textId="77777777" w:rsidR="00D9070A" w:rsidRPr="007F64A0" w:rsidRDefault="00D9070A" w:rsidP="00CA4572">
      <w:pPr>
        <w:spacing w:before="120" w:after="120"/>
        <w:jc w:val="both"/>
        <w:rPr>
          <w:rFonts w:cs="Arial"/>
          <w:b/>
          <w:u w:val="single"/>
        </w:rPr>
      </w:pPr>
    </w:p>
    <w:p w14:paraId="73E1F0AD" w14:textId="116B9A12" w:rsidR="007F64A0" w:rsidRPr="00220EB0" w:rsidRDefault="00BE0310" w:rsidP="0039341A">
      <w:pPr>
        <w:spacing w:before="120"/>
        <w:jc w:val="both"/>
        <w:rPr>
          <w:rFonts w:cs="Arial"/>
          <w:b/>
          <w:i/>
        </w:rPr>
      </w:pPr>
      <w:r w:rsidRPr="00220EB0">
        <w:rPr>
          <w:rFonts w:cs="Arial"/>
          <w:b/>
          <w:i/>
        </w:rPr>
        <w:lastRenderedPageBreak/>
        <w:t>V</w:t>
      </w:r>
      <w:r w:rsidR="007F64A0" w:rsidRPr="00220EB0">
        <w:rPr>
          <w:rFonts w:cs="Arial"/>
          <w:b/>
          <w:i/>
        </w:rPr>
        <w:t>ýšk</w:t>
      </w:r>
      <w:r w:rsidR="0039341A" w:rsidRPr="00220EB0">
        <w:rPr>
          <w:rFonts w:cs="Arial"/>
          <w:b/>
          <w:i/>
        </w:rPr>
        <w:t>a</w:t>
      </w:r>
      <w:r w:rsidR="007F64A0" w:rsidRPr="00220EB0">
        <w:rPr>
          <w:rFonts w:cs="Arial"/>
          <w:b/>
          <w:i/>
        </w:rPr>
        <w:t xml:space="preserve"> finančných opráv z titulu nezrovnalostí zohľadnených voči čerpaniu operačných programov v rámci uzatvárania s</w:t>
      </w:r>
      <w:r w:rsidRPr="00220EB0">
        <w:rPr>
          <w:rFonts w:cs="Arial"/>
          <w:b/>
          <w:i/>
        </w:rPr>
        <w:t> </w:t>
      </w:r>
      <w:r w:rsidR="007F64A0" w:rsidRPr="00220EB0">
        <w:rPr>
          <w:rFonts w:cs="Arial"/>
          <w:b/>
          <w:i/>
        </w:rPr>
        <w:t>E</w:t>
      </w:r>
      <w:r w:rsidR="0039341A" w:rsidRPr="00220EB0">
        <w:rPr>
          <w:rFonts w:cs="Arial"/>
          <w:b/>
          <w:i/>
        </w:rPr>
        <w:t>K</w:t>
      </w:r>
      <w:r w:rsidRPr="00220EB0">
        <w:rPr>
          <w:rFonts w:cs="Arial"/>
          <w:b/>
          <w:i/>
        </w:rPr>
        <w:t xml:space="preserve"> k</w:t>
      </w:r>
      <w:r w:rsidR="00331223" w:rsidRPr="00220EB0">
        <w:rPr>
          <w:rFonts w:cs="Arial"/>
          <w:b/>
          <w:i/>
        </w:rPr>
        <w:t> 31. 12. 2019</w:t>
      </w:r>
    </w:p>
    <w:tbl>
      <w:tblPr>
        <w:tblStyle w:val="Mriekatabuky"/>
        <w:tblW w:w="5000" w:type="pct"/>
        <w:tblLook w:val="04A0" w:firstRow="1" w:lastRow="0" w:firstColumn="1" w:lastColumn="0" w:noHBand="0" w:noVBand="1"/>
      </w:tblPr>
      <w:tblGrid>
        <w:gridCol w:w="5354"/>
        <w:gridCol w:w="1996"/>
        <w:gridCol w:w="1996"/>
      </w:tblGrid>
      <w:tr w:rsidR="007F64A0" w:rsidRPr="007F64A0" w14:paraId="6DBD6B19" w14:textId="77777777" w:rsidTr="00A57641">
        <w:trPr>
          <w:tblHeader/>
        </w:trPr>
        <w:tc>
          <w:tcPr>
            <w:tcW w:w="2864" w:type="pct"/>
            <w:vMerge w:val="restart"/>
            <w:shd w:val="clear" w:color="auto" w:fill="0070C0"/>
            <w:vAlign w:val="center"/>
          </w:tcPr>
          <w:p w14:paraId="3CF94002" w14:textId="384F2C7A" w:rsidR="007F64A0" w:rsidRPr="007F64A0" w:rsidRDefault="007F64A0" w:rsidP="00CA4572">
            <w:pPr>
              <w:rPr>
                <w:sz w:val="20"/>
                <w:szCs w:val="20"/>
              </w:rPr>
            </w:pPr>
            <w:r w:rsidRPr="007F64A0">
              <w:rPr>
                <w:b/>
                <w:color w:val="FFFFFF" w:themeColor="background1"/>
                <w:sz w:val="20"/>
                <w:szCs w:val="20"/>
              </w:rPr>
              <w:t>Program</w:t>
            </w:r>
          </w:p>
        </w:tc>
        <w:tc>
          <w:tcPr>
            <w:tcW w:w="2136" w:type="pct"/>
            <w:gridSpan w:val="2"/>
            <w:shd w:val="clear" w:color="auto" w:fill="0070C0"/>
            <w:vAlign w:val="center"/>
          </w:tcPr>
          <w:p w14:paraId="03479F78" w14:textId="55DA39F5" w:rsidR="007F64A0" w:rsidRPr="007F64A0" w:rsidRDefault="007F64A0" w:rsidP="00CA4572">
            <w:pPr>
              <w:jc w:val="center"/>
              <w:rPr>
                <w:sz w:val="20"/>
                <w:szCs w:val="20"/>
              </w:rPr>
            </w:pPr>
            <w:r w:rsidRPr="007F64A0">
              <w:rPr>
                <w:b/>
                <w:color w:val="FFFFFF" w:themeColor="background1"/>
                <w:sz w:val="20"/>
                <w:szCs w:val="20"/>
              </w:rPr>
              <w:t>Nezrovnalosti a vratky</w:t>
            </w:r>
          </w:p>
        </w:tc>
      </w:tr>
      <w:tr w:rsidR="007F64A0" w:rsidRPr="007F64A0" w14:paraId="42266C83" w14:textId="77777777" w:rsidTr="00A57641">
        <w:trPr>
          <w:tblHeader/>
        </w:trPr>
        <w:tc>
          <w:tcPr>
            <w:tcW w:w="2864" w:type="pct"/>
            <w:vMerge/>
            <w:shd w:val="clear" w:color="auto" w:fill="0070C0"/>
          </w:tcPr>
          <w:p w14:paraId="16C29A3E" w14:textId="77777777" w:rsidR="007F64A0" w:rsidRPr="007F64A0" w:rsidRDefault="007F64A0" w:rsidP="00CA4572">
            <w:pPr>
              <w:rPr>
                <w:sz w:val="20"/>
                <w:szCs w:val="20"/>
              </w:rPr>
            </w:pPr>
          </w:p>
        </w:tc>
        <w:tc>
          <w:tcPr>
            <w:tcW w:w="1068" w:type="pct"/>
            <w:shd w:val="clear" w:color="auto" w:fill="0070C0"/>
            <w:vAlign w:val="center"/>
          </w:tcPr>
          <w:p w14:paraId="42A4062E" w14:textId="791E116D" w:rsidR="007F64A0" w:rsidRPr="007F64A0" w:rsidRDefault="007F64A0" w:rsidP="00CA4572">
            <w:pPr>
              <w:jc w:val="center"/>
              <w:rPr>
                <w:sz w:val="20"/>
                <w:szCs w:val="20"/>
              </w:rPr>
            </w:pPr>
            <w:r w:rsidRPr="007F64A0">
              <w:rPr>
                <w:b/>
                <w:color w:val="FFFFFF" w:themeColor="background1"/>
                <w:sz w:val="20"/>
                <w:szCs w:val="20"/>
              </w:rPr>
              <w:t>EÚ zdroj</w:t>
            </w:r>
          </w:p>
        </w:tc>
        <w:tc>
          <w:tcPr>
            <w:tcW w:w="1068" w:type="pct"/>
            <w:shd w:val="clear" w:color="auto" w:fill="0070C0"/>
            <w:vAlign w:val="center"/>
          </w:tcPr>
          <w:p w14:paraId="298DDB65" w14:textId="3838A704" w:rsidR="007F64A0" w:rsidRPr="007F64A0" w:rsidRDefault="007F64A0" w:rsidP="00CA4572">
            <w:pPr>
              <w:jc w:val="center"/>
              <w:rPr>
                <w:sz w:val="20"/>
                <w:szCs w:val="20"/>
              </w:rPr>
            </w:pPr>
            <w:r w:rsidRPr="007F64A0">
              <w:rPr>
                <w:b/>
                <w:color w:val="FFFFFF" w:themeColor="background1"/>
                <w:sz w:val="20"/>
                <w:szCs w:val="20"/>
              </w:rPr>
              <w:t>ŠR zdroj</w:t>
            </w:r>
          </w:p>
        </w:tc>
      </w:tr>
      <w:tr w:rsidR="007F64A0" w:rsidRPr="007F64A0" w14:paraId="60D3A5F7" w14:textId="77777777" w:rsidTr="007F64A0">
        <w:tc>
          <w:tcPr>
            <w:tcW w:w="2864" w:type="pct"/>
            <w:vAlign w:val="bottom"/>
          </w:tcPr>
          <w:p w14:paraId="571DA79E" w14:textId="3E2CD7FC" w:rsidR="007F64A0" w:rsidRPr="007F64A0" w:rsidRDefault="007F64A0" w:rsidP="00CA4572">
            <w:pPr>
              <w:rPr>
                <w:sz w:val="20"/>
                <w:szCs w:val="20"/>
              </w:rPr>
            </w:pPr>
            <w:r w:rsidRPr="007F64A0">
              <w:rPr>
                <w:sz w:val="20"/>
                <w:szCs w:val="20"/>
              </w:rPr>
              <w:t>OP Informatizácia spoločnosti</w:t>
            </w:r>
          </w:p>
        </w:tc>
        <w:tc>
          <w:tcPr>
            <w:tcW w:w="1068" w:type="pct"/>
            <w:vAlign w:val="center"/>
          </w:tcPr>
          <w:p w14:paraId="27B443EC" w14:textId="1EE06873" w:rsidR="007F64A0" w:rsidRPr="007F64A0" w:rsidRDefault="007F64A0" w:rsidP="00CA4572">
            <w:pPr>
              <w:jc w:val="right"/>
              <w:rPr>
                <w:sz w:val="20"/>
                <w:szCs w:val="20"/>
              </w:rPr>
            </w:pPr>
            <w:r w:rsidRPr="007F64A0">
              <w:rPr>
                <w:sz w:val="20"/>
                <w:szCs w:val="20"/>
              </w:rPr>
              <w:t>96 188 058,85</w:t>
            </w:r>
          </w:p>
        </w:tc>
        <w:tc>
          <w:tcPr>
            <w:tcW w:w="1068" w:type="pct"/>
            <w:vAlign w:val="center"/>
          </w:tcPr>
          <w:p w14:paraId="499E8150" w14:textId="2213CB09" w:rsidR="007F64A0" w:rsidRPr="007F64A0" w:rsidRDefault="007F64A0" w:rsidP="00CA4572">
            <w:pPr>
              <w:jc w:val="right"/>
              <w:rPr>
                <w:sz w:val="20"/>
                <w:szCs w:val="20"/>
              </w:rPr>
            </w:pPr>
            <w:r w:rsidRPr="007F64A0">
              <w:rPr>
                <w:sz w:val="20"/>
                <w:szCs w:val="20"/>
              </w:rPr>
              <w:t>28 975 322,87</w:t>
            </w:r>
          </w:p>
        </w:tc>
      </w:tr>
      <w:tr w:rsidR="007F64A0" w:rsidRPr="007F64A0" w14:paraId="220FA4A8" w14:textId="77777777" w:rsidTr="007F64A0">
        <w:tc>
          <w:tcPr>
            <w:tcW w:w="2864" w:type="pct"/>
            <w:vAlign w:val="bottom"/>
          </w:tcPr>
          <w:p w14:paraId="3292CEA5" w14:textId="5966A6ED" w:rsidR="007F64A0" w:rsidRPr="007F64A0" w:rsidRDefault="007F64A0" w:rsidP="00CA4572">
            <w:pPr>
              <w:rPr>
                <w:sz w:val="20"/>
                <w:szCs w:val="20"/>
              </w:rPr>
            </w:pPr>
            <w:r w:rsidRPr="007F64A0">
              <w:rPr>
                <w:sz w:val="20"/>
                <w:szCs w:val="20"/>
              </w:rPr>
              <w:t>OP Bratislavský kraj</w:t>
            </w:r>
          </w:p>
        </w:tc>
        <w:tc>
          <w:tcPr>
            <w:tcW w:w="1068" w:type="pct"/>
            <w:vAlign w:val="center"/>
          </w:tcPr>
          <w:p w14:paraId="450E6895" w14:textId="6C60E824" w:rsidR="007F64A0" w:rsidRPr="007F64A0" w:rsidRDefault="007F64A0" w:rsidP="00CA4572">
            <w:pPr>
              <w:jc w:val="right"/>
              <w:rPr>
                <w:sz w:val="20"/>
                <w:szCs w:val="20"/>
              </w:rPr>
            </w:pPr>
            <w:r w:rsidRPr="007F64A0">
              <w:rPr>
                <w:sz w:val="20"/>
                <w:szCs w:val="20"/>
              </w:rPr>
              <w:t>5 927 721,46</w:t>
            </w:r>
          </w:p>
        </w:tc>
        <w:tc>
          <w:tcPr>
            <w:tcW w:w="1068" w:type="pct"/>
            <w:vAlign w:val="center"/>
          </w:tcPr>
          <w:p w14:paraId="54CEF165" w14:textId="5CB69F0B" w:rsidR="007F64A0" w:rsidRPr="007F64A0" w:rsidRDefault="007F64A0" w:rsidP="00CA4572">
            <w:pPr>
              <w:jc w:val="right"/>
              <w:rPr>
                <w:sz w:val="20"/>
                <w:szCs w:val="20"/>
              </w:rPr>
            </w:pPr>
            <w:r w:rsidRPr="007F64A0">
              <w:rPr>
                <w:sz w:val="20"/>
                <w:szCs w:val="20"/>
              </w:rPr>
              <w:t>911 957,15</w:t>
            </w:r>
          </w:p>
        </w:tc>
      </w:tr>
      <w:tr w:rsidR="007F64A0" w:rsidRPr="007F64A0" w14:paraId="43C9DA4E" w14:textId="77777777" w:rsidTr="007F64A0">
        <w:tc>
          <w:tcPr>
            <w:tcW w:w="2864" w:type="pct"/>
            <w:vAlign w:val="bottom"/>
          </w:tcPr>
          <w:p w14:paraId="4D2C8943" w14:textId="521EBDC5" w:rsidR="007F64A0" w:rsidRPr="007F64A0" w:rsidRDefault="007F64A0" w:rsidP="00CA4572">
            <w:pPr>
              <w:rPr>
                <w:sz w:val="20"/>
                <w:szCs w:val="20"/>
              </w:rPr>
            </w:pPr>
            <w:r w:rsidRPr="007F64A0">
              <w:rPr>
                <w:sz w:val="20"/>
                <w:szCs w:val="20"/>
              </w:rPr>
              <w:t>OP Konkurencieschopnosť a hospodársky rast</w:t>
            </w:r>
          </w:p>
        </w:tc>
        <w:tc>
          <w:tcPr>
            <w:tcW w:w="1068" w:type="pct"/>
            <w:vAlign w:val="center"/>
          </w:tcPr>
          <w:p w14:paraId="409AAD13" w14:textId="65004D79" w:rsidR="007F64A0" w:rsidRPr="007F64A0" w:rsidRDefault="007F64A0" w:rsidP="00CA4572">
            <w:pPr>
              <w:jc w:val="right"/>
              <w:rPr>
                <w:sz w:val="20"/>
                <w:szCs w:val="20"/>
              </w:rPr>
            </w:pPr>
            <w:r w:rsidRPr="007F64A0">
              <w:rPr>
                <w:sz w:val="20"/>
                <w:szCs w:val="20"/>
              </w:rPr>
              <w:t>47 102 596,60</w:t>
            </w:r>
          </w:p>
        </w:tc>
        <w:tc>
          <w:tcPr>
            <w:tcW w:w="1068" w:type="pct"/>
            <w:vAlign w:val="center"/>
          </w:tcPr>
          <w:p w14:paraId="08EE94A9" w14:textId="57A90B0C" w:rsidR="007F64A0" w:rsidRPr="007F64A0" w:rsidRDefault="007F64A0" w:rsidP="00CA4572">
            <w:pPr>
              <w:jc w:val="right"/>
              <w:rPr>
                <w:sz w:val="20"/>
                <w:szCs w:val="20"/>
              </w:rPr>
            </w:pPr>
            <w:r w:rsidRPr="007F64A0">
              <w:rPr>
                <w:sz w:val="20"/>
                <w:szCs w:val="20"/>
              </w:rPr>
              <w:t>8 214 604,34</w:t>
            </w:r>
          </w:p>
        </w:tc>
      </w:tr>
      <w:tr w:rsidR="007F64A0" w:rsidRPr="007F64A0" w14:paraId="317FF5EC" w14:textId="77777777" w:rsidTr="007F64A0">
        <w:tc>
          <w:tcPr>
            <w:tcW w:w="2864" w:type="pct"/>
            <w:vAlign w:val="bottom"/>
          </w:tcPr>
          <w:p w14:paraId="31C8C40B" w14:textId="00630916" w:rsidR="007F64A0" w:rsidRPr="007F64A0" w:rsidRDefault="007F64A0" w:rsidP="00CA4572">
            <w:pPr>
              <w:rPr>
                <w:sz w:val="20"/>
                <w:szCs w:val="20"/>
              </w:rPr>
            </w:pPr>
            <w:r w:rsidRPr="007F64A0">
              <w:rPr>
                <w:sz w:val="20"/>
                <w:szCs w:val="20"/>
              </w:rPr>
              <w:t>Regionálny OP</w:t>
            </w:r>
          </w:p>
        </w:tc>
        <w:tc>
          <w:tcPr>
            <w:tcW w:w="1068" w:type="pct"/>
            <w:vAlign w:val="center"/>
          </w:tcPr>
          <w:p w14:paraId="7E15AE70" w14:textId="0B19C160" w:rsidR="007F64A0" w:rsidRPr="007F64A0" w:rsidRDefault="007F64A0" w:rsidP="00CA4572">
            <w:pPr>
              <w:jc w:val="right"/>
              <w:rPr>
                <w:sz w:val="20"/>
                <w:szCs w:val="20"/>
              </w:rPr>
            </w:pPr>
            <w:r w:rsidRPr="007F64A0">
              <w:rPr>
                <w:sz w:val="20"/>
                <w:szCs w:val="20"/>
              </w:rPr>
              <w:t>66 661 856,63</w:t>
            </w:r>
          </w:p>
        </w:tc>
        <w:tc>
          <w:tcPr>
            <w:tcW w:w="1068" w:type="pct"/>
            <w:vAlign w:val="center"/>
          </w:tcPr>
          <w:p w14:paraId="20D1F3BA" w14:textId="761C3692" w:rsidR="007F64A0" w:rsidRPr="007F64A0" w:rsidRDefault="007F64A0" w:rsidP="00CA4572">
            <w:pPr>
              <w:jc w:val="right"/>
              <w:rPr>
                <w:sz w:val="20"/>
                <w:szCs w:val="20"/>
              </w:rPr>
            </w:pPr>
            <w:r w:rsidRPr="007F64A0">
              <w:rPr>
                <w:sz w:val="20"/>
                <w:szCs w:val="20"/>
              </w:rPr>
              <w:t>10 842 917,97</w:t>
            </w:r>
          </w:p>
        </w:tc>
      </w:tr>
      <w:tr w:rsidR="007F64A0" w:rsidRPr="007F64A0" w14:paraId="03A91BC4" w14:textId="77777777" w:rsidTr="007F64A0">
        <w:tc>
          <w:tcPr>
            <w:tcW w:w="2864" w:type="pct"/>
            <w:vAlign w:val="bottom"/>
          </w:tcPr>
          <w:p w14:paraId="150A1FED" w14:textId="72602E49" w:rsidR="007F64A0" w:rsidRPr="007F64A0" w:rsidRDefault="007F64A0" w:rsidP="00CA4572">
            <w:pPr>
              <w:rPr>
                <w:sz w:val="20"/>
                <w:szCs w:val="20"/>
              </w:rPr>
            </w:pPr>
            <w:r w:rsidRPr="007F64A0">
              <w:rPr>
                <w:sz w:val="20"/>
                <w:szCs w:val="20"/>
              </w:rPr>
              <w:t>OP Cezhraničnej spolupráce SR-ČR</w:t>
            </w:r>
          </w:p>
        </w:tc>
        <w:tc>
          <w:tcPr>
            <w:tcW w:w="1068" w:type="pct"/>
            <w:vAlign w:val="center"/>
          </w:tcPr>
          <w:p w14:paraId="40777B9F" w14:textId="33666FCF" w:rsidR="007F64A0" w:rsidRPr="007F64A0" w:rsidRDefault="007F64A0" w:rsidP="00CA4572">
            <w:pPr>
              <w:jc w:val="right"/>
              <w:rPr>
                <w:sz w:val="20"/>
                <w:szCs w:val="20"/>
              </w:rPr>
            </w:pPr>
            <w:r w:rsidRPr="007F64A0">
              <w:rPr>
                <w:sz w:val="20"/>
                <w:szCs w:val="20"/>
              </w:rPr>
              <w:t>2 998 305,30</w:t>
            </w:r>
          </w:p>
        </w:tc>
        <w:tc>
          <w:tcPr>
            <w:tcW w:w="1068" w:type="pct"/>
            <w:vAlign w:val="center"/>
          </w:tcPr>
          <w:p w14:paraId="42CE6944" w14:textId="7BDC19E8" w:rsidR="007F64A0" w:rsidRPr="007F64A0" w:rsidRDefault="007F64A0" w:rsidP="00CA4572">
            <w:pPr>
              <w:jc w:val="right"/>
              <w:rPr>
                <w:sz w:val="20"/>
                <w:szCs w:val="20"/>
              </w:rPr>
            </w:pPr>
            <w:r w:rsidRPr="007F64A0">
              <w:rPr>
                <w:sz w:val="20"/>
                <w:szCs w:val="20"/>
              </w:rPr>
              <w:t>522 898,81</w:t>
            </w:r>
          </w:p>
        </w:tc>
      </w:tr>
      <w:tr w:rsidR="007F64A0" w:rsidRPr="007F64A0" w14:paraId="1896F2C4" w14:textId="77777777" w:rsidTr="007F64A0">
        <w:tc>
          <w:tcPr>
            <w:tcW w:w="2864" w:type="pct"/>
            <w:vAlign w:val="bottom"/>
          </w:tcPr>
          <w:p w14:paraId="099ADB50" w14:textId="6EDCA78C" w:rsidR="007F64A0" w:rsidRPr="007F64A0" w:rsidRDefault="007F64A0" w:rsidP="00CA4572">
            <w:pPr>
              <w:rPr>
                <w:sz w:val="20"/>
                <w:szCs w:val="20"/>
              </w:rPr>
            </w:pPr>
            <w:r w:rsidRPr="007F64A0">
              <w:rPr>
                <w:sz w:val="20"/>
                <w:szCs w:val="20"/>
              </w:rPr>
              <w:t>OP Rybné hospodárstvo</w:t>
            </w:r>
          </w:p>
        </w:tc>
        <w:tc>
          <w:tcPr>
            <w:tcW w:w="1068" w:type="pct"/>
            <w:vAlign w:val="center"/>
          </w:tcPr>
          <w:p w14:paraId="14DC4CE1" w14:textId="45DAE4F3" w:rsidR="007F64A0" w:rsidRPr="007F64A0" w:rsidRDefault="007F64A0" w:rsidP="00CA4572">
            <w:pPr>
              <w:jc w:val="right"/>
              <w:rPr>
                <w:sz w:val="20"/>
                <w:szCs w:val="20"/>
              </w:rPr>
            </w:pPr>
            <w:r w:rsidRPr="007F64A0">
              <w:rPr>
                <w:sz w:val="20"/>
                <w:szCs w:val="20"/>
              </w:rPr>
              <w:t>895 184,95</w:t>
            </w:r>
          </w:p>
        </w:tc>
        <w:tc>
          <w:tcPr>
            <w:tcW w:w="1068" w:type="pct"/>
            <w:vAlign w:val="center"/>
          </w:tcPr>
          <w:p w14:paraId="627E0BC8" w14:textId="798E07EE" w:rsidR="007F64A0" w:rsidRPr="007F64A0" w:rsidRDefault="007F64A0" w:rsidP="00CA4572">
            <w:pPr>
              <w:jc w:val="right"/>
              <w:rPr>
                <w:sz w:val="20"/>
                <w:szCs w:val="20"/>
              </w:rPr>
            </w:pPr>
            <w:r w:rsidRPr="007F64A0">
              <w:rPr>
                <w:sz w:val="20"/>
                <w:szCs w:val="20"/>
              </w:rPr>
              <w:t>134 947,33</w:t>
            </w:r>
          </w:p>
        </w:tc>
      </w:tr>
      <w:tr w:rsidR="007F64A0" w:rsidRPr="007F64A0" w14:paraId="19C4529B" w14:textId="77777777" w:rsidTr="007F64A0">
        <w:tc>
          <w:tcPr>
            <w:tcW w:w="2864" w:type="pct"/>
            <w:vAlign w:val="bottom"/>
          </w:tcPr>
          <w:p w14:paraId="1C178D79" w14:textId="221485D8" w:rsidR="007F64A0" w:rsidRPr="007F64A0" w:rsidRDefault="007F64A0" w:rsidP="00CA4572">
            <w:pPr>
              <w:rPr>
                <w:sz w:val="20"/>
                <w:szCs w:val="20"/>
              </w:rPr>
            </w:pPr>
            <w:r w:rsidRPr="007F64A0">
              <w:rPr>
                <w:sz w:val="20"/>
                <w:szCs w:val="20"/>
              </w:rPr>
              <w:t>OP Zdravotníctvo</w:t>
            </w:r>
          </w:p>
        </w:tc>
        <w:tc>
          <w:tcPr>
            <w:tcW w:w="1068" w:type="pct"/>
            <w:vAlign w:val="center"/>
          </w:tcPr>
          <w:p w14:paraId="4E9B2B81" w14:textId="58D32481" w:rsidR="007F64A0" w:rsidRPr="007F64A0" w:rsidRDefault="007F64A0" w:rsidP="00CA4572">
            <w:pPr>
              <w:jc w:val="right"/>
              <w:rPr>
                <w:sz w:val="20"/>
                <w:szCs w:val="20"/>
              </w:rPr>
            </w:pPr>
            <w:r w:rsidRPr="007F64A0">
              <w:rPr>
                <w:sz w:val="20"/>
                <w:szCs w:val="20"/>
              </w:rPr>
              <w:t>38 948 553,21</w:t>
            </w:r>
          </w:p>
        </w:tc>
        <w:tc>
          <w:tcPr>
            <w:tcW w:w="1068" w:type="pct"/>
            <w:vAlign w:val="center"/>
          </w:tcPr>
          <w:p w14:paraId="31E0D7D2" w14:textId="372C4A32" w:rsidR="007F64A0" w:rsidRPr="007F64A0" w:rsidRDefault="007F64A0" w:rsidP="00CA4572">
            <w:pPr>
              <w:jc w:val="right"/>
              <w:rPr>
                <w:sz w:val="20"/>
                <w:szCs w:val="20"/>
              </w:rPr>
            </w:pPr>
            <w:r w:rsidRPr="007F64A0">
              <w:rPr>
                <w:sz w:val="20"/>
                <w:szCs w:val="20"/>
              </w:rPr>
              <w:t>6 873 274,10</w:t>
            </w:r>
          </w:p>
        </w:tc>
      </w:tr>
      <w:tr w:rsidR="007F64A0" w:rsidRPr="007F64A0" w14:paraId="53CFDD04" w14:textId="77777777" w:rsidTr="007F64A0">
        <w:tc>
          <w:tcPr>
            <w:tcW w:w="2864" w:type="pct"/>
            <w:vAlign w:val="bottom"/>
          </w:tcPr>
          <w:p w14:paraId="1BA1CA72" w14:textId="085F7D2C" w:rsidR="007F64A0" w:rsidRPr="007F64A0" w:rsidRDefault="007F64A0" w:rsidP="00CA4572">
            <w:pPr>
              <w:rPr>
                <w:sz w:val="20"/>
                <w:szCs w:val="20"/>
              </w:rPr>
            </w:pPr>
            <w:r w:rsidRPr="007F64A0">
              <w:rPr>
                <w:sz w:val="20"/>
                <w:szCs w:val="20"/>
              </w:rPr>
              <w:t>OP Výskum a vývoj</w:t>
            </w:r>
          </w:p>
        </w:tc>
        <w:tc>
          <w:tcPr>
            <w:tcW w:w="1068" w:type="pct"/>
            <w:vAlign w:val="center"/>
          </w:tcPr>
          <w:p w14:paraId="28E02B7E" w14:textId="39273821" w:rsidR="007F64A0" w:rsidRPr="007F64A0" w:rsidRDefault="007F64A0" w:rsidP="00CA4572">
            <w:pPr>
              <w:jc w:val="right"/>
              <w:rPr>
                <w:sz w:val="20"/>
                <w:szCs w:val="20"/>
              </w:rPr>
            </w:pPr>
            <w:r w:rsidRPr="007F64A0">
              <w:rPr>
                <w:sz w:val="20"/>
                <w:szCs w:val="20"/>
              </w:rPr>
              <w:t>114 955 694,92</w:t>
            </w:r>
          </w:p>
        </w:tc>
        <w:tc>
          <w:tcPr>
            <w:tcW w:w="1068" w:type="pct"/>
            <w:vAlign w:val="center"/>
          </w:tcPr>
          <w:p w14:paraId="3AF13D77" w14:textId="30A12D45" w:rsidR="007F64A0" w:rsidRPr="007F64A0" w:rsidRDefault="007F64A0" w:rsidP="00CA4572">
            <w:pPr>
              <w:jc w:val="right"/>
              <w:rPr>
                <w:sz w:val="20"/>
                <w:szCs w:val="20"/>
              </w:rPr>
            </w:pPr>
            <w:r w:rsidRPr="007F64A0">
              <w:rPr>
                <w:sz w:val="20"/>
                <w:szCs w:val="20"/>
              </w:rPr>
              <w:t>16 934 730,64</w:t>
            </w:r>
          </w:p>
        </w:tc>
      </w:tr>
      <w:tr w:rsidR="007F64A0" w:rsidRPr="007F64A0" w14:paraId="1DAA79C0" w14:textId="77777777" w:rsidTr="007F64A0">
        <w:tc>
          <w:tcPr>
            <w:tcW w:w="2864" w:type="pct"/>
            <w:vAlign w:val="bottom"/>
          </w:tcPr>
          <w:p w14:paraId="685EB3AC" w14:textId="5251C252" w:rsidR="007F64A0" w:rsidRPr="007F64A0" w:rsidRDefault="007F64A0" w:rsidP="00CA4572">
            <w:pPr>
              <w:rPr>
                <w:sz w:val="20"/>
                <w:szCs w:val="20"/>
              </w:rPr>
            </w:pPr>
            <w:r w:rsidRPr="007F64A0">
              <w:rPr>
                <w:sz w:val="20"/>
                <w:szCs w:val="20"/>
              </w:rPr>
              <w:t>OP Technická pomoc</w:t>
            </w:r>
          </w:p>
        </w:tc>
        <w:tc>
          <w:tcPr>
            <w:tcW w:w="1068" w:type="pct"/>
            <w:vAlign w:val="center"/>
          </w:tcPr>
          <w:p w14:paraId="141FC9CB" w14:textId="32527D65" w:rsidR="007F64A0" w:rsidRPr="007F64A0" w:rsidRDefault="007F64A0" w:rsidP="00CA4572">
            <w:pPr>
              <w:jc w:val="right"/>
              <w:rPr>
                <w:sz w:val="20"/>
                <w:szCs w:val="20"/>
              </w:rPr>
            </w:pPr>
            <w:r w:rsidRPr="007F64A0">
              <w:rPr>
                <w:sz w:val="20"/>
                <w:szCs w:val="20"/>
              </w:rPr>
              <w:t>9 752 991,23</w:t>
            </w:r>
          </w:p>
        </w:tc>
        <w:tc>
          <w:tcPr>
            <w:tcW w:w="1068" w:type="pct"/>
            <w:vAlign w:val="center"/>
          </w:tcPr>
          <w:p w14:paraId="228D3156" w14:textId="21A1508D" w:rsidR="007F64A0" w:rsidRPr="007F64A0" w:rsidRDefault="007F64A0" w:rsidP="00CA4572">
            <w:pPr>
              <w:jc w:val="right"/>
              <w:rPr>
                <w:sz w:val="20"/>
                <w:szCs w:val="20"/>
              </w:rPr>
            </w:pPr>
            <w:r w:rsidRPr="007F64A0">
              <w:rPr>
                <w:sz w:val="20"/>
                <w:szCs w:val="20"/>
              </w:rPr>
              <w:t>1 700 903,34</w:t>
            </w:r>
          </w:p>
        </w:tc>
      </w:tr>
      <w:tr w:rsidR="007F64A0" w:rsidRPr="007F64A0" w14:paraId="16461667" w14:textId="77777777" w:rsidTr="007F64A0">
        <w:tc>
          <w:tcPr>
            <w:tcW w:w="2864" w:type="pct"/>
            <w:vAlign w:val="bottom"/>
          </w:tcPr>
          <w:p w14:paraId="300D757F" w14:textId="2598AC9E" w:rsidR="007F64A0" w:rsidRPr="007F64A0" w:rsidRDefault="007F64A0" w:rsidP="00CA4572">
            <w:pPr>
              <w:rPr>
                <w:sz w:val="20"/>
                <w:szCs w:val="20"/>
              </w:rPr>
            </w:pPr>
            <w:r w:rsidRPr="007F64A0">
              <w:rPr>
                <w:sz w:val="20"/>
                <w:szCs w:val="20"/>
              </w:rPr>
              <w:t>OP Vzdelávanie</w:t>
            </w:r>
          </w:p>
        </w:tc>
        <w:tc>
          <w:tcPr>
            <w:tcW w:w="1068" w:type="pct"/>
            <w:vAlign w:val="center"/>
          </w:tcPr>
          <w:p w14:paraId="0F614C33" w14:textId="449C084A" w:rsidR="007F64A0" w:rsidRPr="007F64A0" w:rsidRDefault="007F64A0" w:rsidP="00CA4572">
            <w:pPr>
              <w:jc w:val="right"/>
              <w:rPr>
                <w:sz w:val="20"/>
                <w:szCs w:val="20"/>
              </w:rPr>
            </w:pPr>
            <w:r w:rsidRPr="007F64A0">
              <w:rPr>
                <w:sz w:val="20"/>
                <w:szCs w:val="20"/>
              </w:rPr>
              <w:t>34 357 031,68</w:t>
            </w:r>
          </w:p>
        </w:tc>
        <w:tc>
          <w:tcPr>
            <w:tcW w:w="1068" w:type="pct"/>
            <w:vAlign w:val="center"/>
          </w:tcPr>
          <w:p w14:paraId="22B509CF" w14:textId="30F6DB45" w:rsidR="007F64A0" w:rsidRPr="007F64A0" w:rsidRDefault="007F64A0" w:rsidP="00CA4572">
            <w:pPr>
              <w:jc w:val="right"/>
              <w:rPr>
                <w:sz w:val="20"/>
                <w:szCs w:val="20"/>
              </w:rPr>
            </w:pPr>
            <w:r w:rsidRPr="007F64A0">
              <w:rPr>
                <w:sz w:val="20"/>
                <w:szCs w:val="20"/>
              </w:rPr>
              <w:t>5 616 245,43</w:t>
            </w:r>
          </w:p>
        </w:tc>
      </w:tr>
      <w:tr w:rsidR="007F64A0" w:rsidRPr="007F64A0" w14:paraId="47FEA3B4" w14:textId="77777777" w:rsidTr="007F64A0">
        <w:tc>
          <w:tcPr>
            <w:tcW w:w="2864" w:type="pct"/>
            <w:vAlign w:val="bottom"/>
          </w:tcPr>
          <w:p w14:paraId="19D63CD8" w14:textId="6D22E14B" w:rsidR="007F64A0" w:rsidRPr="007F64A0" w:rsidRDefault="007F64A0" w:rsidP="00CA4572">
            <w:pPr>
              <w:rPr>
                <w:sz w:val="20"/>
                <w:szCs w:val="20"/>
              </w:rPr>
            </w:pPr>
            <w:r w:rsidRPr="007F64A0">
              <w:rPr>
                <w:sz w:val="20"/>
                <w:szCs w:val="20"/>
              </w:rPr>
              <w:t>OP Životné prostredie</w:t>
            </w:r>
          </w:p>
        </w:tc>
        <w:tc>
          <w:tcPr>
            <w:tcW w:w="1068" w:type="pct"/>
            <w:vAlign w:val="center"/>
          </w:tcPr>
          <w:p w14:paraId="4AE8F2A0" w14:textId="0946BE7C" w:rsidR="007F64A0" w:rsidRPr="007F64A0" w:rsidRDefault="007F64A0" w:rsidP="00CA4572">
            <w:pPr>
              <w:jc w:val="right"/>
              <w:rPr>
                <w:sz w:val="20"/>
                <w:szCs w:val="20"/>
              </w:rPr>
            </w:pPr>
            <w:r w:rsidRPr="007F64A0">
              <w:rPr>
                <w:sz w:val="20"/>
                <w:szCs w:val="20"/>
              </w:rPr>
              <w:t>61 861 665,44</w:t>
            </w:r>
          </w:p>
        </w:tc>
        <w:tc>
          <w:tcPr>
            <w:tcW w:w="1068" w:type="pct"/>
            <w:vAlign w:val="center"/>
          </w:tcPr>
          <w:p w14:paraId="65B0BAE4" w14:textId="7A065B68" w:rsidR="007F64A0" w:rsidRPr="007F64A0" w:rsidRDefault="007F64A0" w:rsidP="00CA4572">
            <w:pPr>
              <w:jc w:val="right"/>
              <w:rPr>
                <w:sz w:val="20"/>
                <w:szCs w:val="20"/>
              </w:rPr>
            </w:pPr>
            <w:r w:rsidRPr="007F64A0">
              <w:rPr>
                <w:sz w:val="20"/>
                <w:szCs w:val="20"/>
              </w:rPr>
              <w:t>10 112 349,03</w:t>
            </w:r>
          </w:p>
        </w:tc>
      </w:tr>
      <w:tr w:rsidR="007F64A0" w:rsidRPr="007F64A0" w14:paraId="09FE7F83" w14:textId="77777777" w:rsidTr="007F64A0">
        <w:tc>
          <w:tcPr>
            <w:tcW w:w="2864" w:type="pct"/>
            <w:vAlign w:val="bottom"/>
          </w:tcPr>
          <w:p w14:paraId="0EDB194B" w14:textId="6E29E76A" w:rsidR="007F64A0" w:rsidRPr="007F64A0" w:rsidRDefault="007F64A0" w:rsidP="00CA4572">
            <w:pPr>
              <w:rPr>
                <w:sz w:val="20"/>
                <w:szCs w:val="20"/>
              </w:rPr>
            </w:pPr>
            <w:r w:rsidRPr="007F64A0">
              <w:rPr>
                <w:sz w:val="20"/>
                <w:szCs w:val="20"/>
              </w:rPr>
              <w:t>OP Doprava</w:t>
            </w:r>
          </w:p>
        </w:tc>
        <w:tc>
          <w:tcPr>
            <w:tcW w:w="1068" w:type="pct"/>
            <w:vAlign w:val="center"/>
          </w:tcPr>
          <w:p w14:paraId="0666111D" w14:textId="60EDA61B" w:rsidR="007F64A0" w:rsidRPr="007F64A0" w:rsidRDefault="007F64A0" w:rsidP="00CA4572">
            <w:pPr>
              <w:jc w:val="right"/>
              <w:rPr>
                <w:sz w:val="20"/>
                <w:szCs w:val="20"/>
              </w:rPr>
            </w:pPr>
            <w:r w:rsidRPr="007F64A0">
              <w:rPr>
                <w:sz w:val="20"/>
                <w:szCs w:val="20"/>
              </w:rPr>
              <w:t>318 019 341,51</w:t>
            </w:r>
          </w:p>
        </w:tc>
        <w:tc>
          <w:tcPr>
            <w:tcW w:w="1068" w:type="pct"/>
            <w:vAlign w:val="center"/>
          </w:tcPr>
          <w:p w14:paraId="14AB4839" w14:textId="180A476E" w:rsidR="007F64A0" w:rsidRPr="007F64A0" w:rsidRDefault="007F64A0" w:rsidP="00CA4572">
            <w:pPr>
              <w:jc w:val="right"/>
              <w:rPr>
                <w:sz w:val="20"/>
                <w:szCs w:val="20"/>
              </w:rPr>
            </w:pPr>
            <w:r w:rsidRPr="007F64A0">
              <w:rPr>
                <w:sz w:val="20"/>
                <w:szCs w:val="20"/>
              </w:rPr>
              <w:t>55 461 975,59</w:t>
            </w:r>
          </w:p>
        </w:tc>
      </w:tr>
      <w:tr w:rsidR="007F64A0" w:rsidRPr="007F64A0" w14:paraId="29DEFECB" w14:textId="77777777" w:rsidTr="007F64A0">
        <w:tc>
          <w:tcPr>
            <w:tcW w:w="2864" w:type="pct"/>
            <w:vAlign w:val="bottom"/>
          </w:tcPr>
          <w:p w14:paraId="036E7F0A" w14:textId="589FC05F" w:rsidR="007F64A0" w:rsidRPr="007F64A0" w:rsidRDefault="007F64A0" w:rsidP="00CA4572">
            <w:pPr>
              <w:rPr>
                <w:sz w:val="20"/>
                <w:szCs w:val="20"/>
              </w:rPr>
            </w:pPr>
            <w:r w:rsidRPr="007F64A0">
              <w:rPr>
                <w:sz w:val="20"/>
                <w:szCs w:val="20"/>
              </w:rPr>
              <w:t>OP Zamestn. a sociálna inklúzia</w:t>
            </w:r>
          </w:p>
        </w:tc>
        <w:tc>
          <w:tcPr>
            <w:tcW w:w="1068" w:type="pct"/>
            <w:vAlign w:val="center"/>
          </w:tcPr>
          <w:p w14:paraId="410C49D2" w14:textId="5D6316D5" w:rsidR="007F64A0" w:rsidRPr="007F64A0" w:rsidRDefault="007F64A0" w:rsidP="00CA4572">
            <w:pPr>
              <w:jc w:val="right"/>
              <w:rPr>
                <w:sz w:val="20"/>
                <w:szCs w:val="20"/>
              </w:rPr>
            </w:pPr>
            <w:r w:rsidRPr="007F64A0">
              <w:rPr>
                <w:sz w:val="20"/>
                <w:szCs w:val="20"/>
              </w:rPr>
              <w:t>43 116 910,22</w:t>
            </w:r>
          </w:p>
        </w:tc>
        <w:tc>
          <w:tcPr>
            <w:tcW w:w="1068" w:type="pct"/>
            <w:vAlign w:val="center"/>
          </w:tcPr>
          <w:p w14:paraId="0F78D70E" w14:textId="3D6FDB58" w:rsidR="007F64A0" w:rsidRPr="007F64A0" w:rsidRDefault="007F64A0" w:rsidP="00CA4572">
            <w:pPr>
              <w:jc w:val="right"/>
              <w:rPr>
                <w:sz w:val="20"/>
                <w:szCs w:val="20"/>
              </w:rPr>
            </w:pPr>
            <w:r w:rsidRPr="007F64A0">
              <w:rPr>
                <w:sz w:val="20"/>
                <w:szCs w:val="20"/>
              </w:rPr>
              <w:t>7 519 508,12</w:t>
            </w:r>
          </w:p>
        </w:tc>
      </w:tr>
      <w:tr w:rsidR="007F64A0" w:rsidRPr="007F64A0" w14:paraId="3F41F785" w14:textId="77777777" w:rsidTr="007F64A0">
        <w:tc>
          <w:tcPr>
            <w:tcW w:w="2864" w:type="pct"/>
            <w:vAlign w:val="bottom"/>
          </w:tcPr>
          <w:p w14:paraId="6AE168E4" w14:textId="03A3E7E3" w:rsidR="007F64A0" w:rsidRPr="007F64A0" w:rsidRDefault="007F64A0" w:rsidP="00CA4572">
            <w:pPr>
              <w:rPr>
                <w:sz w:val="20"/>
                <w:szCs w:val="20"/>
              </w:rPr>
            </w:pPr>
            <w:r w:rsidRPr="007F64A0">
              <w:rPr>
                <w:sz w:val="20"/>
                <w:szCs w:val="20"/>
              </w:rPr>
              <w:t>OP INTERACT II</w:t>
            </w:r>
          </w:p>
        </w:tc>
        <w:tc>
          <w:tcPr>
            <w:tcW w:w="1068" w:type="pct"/>
            <w:vAlign w:val="center"/>
          </w:tcPr>
          <w:p w14:paraId="6481E70A" w14:textId="073EA360" w:rsidR="007F64A0" w:rsidRPr="007F64A0" w:rsidRDefault="007F64A0" w:rsidP="00CA4572">
            <w:pPr>
              <w:jc w:val="right"/>
              <w:rPr>
                <w:sz w:val="20"/>
                <w:szCs w:val="20"/>
              </w:rPr>
            </w:pPr>
            <w:r w:rsidRPr="007F64A0">
              <w:rPr>
                <w:sz w:val="20"/>
                <w:szCs w:val="20"/>
              </w:rPr>
              <w:t>71 762,67</w:t>
            </w:r>
          </w:p>
        </w:tc>
        <w:tc>
          <w:tcPr>
            <w:tcW w:w="1068" w:type="pct"/>
            <w:vAlign w:val="center"/>
          </w:tcPr>
          <w:p w14:paraId="66896058" w14:textId="090E5CA4" w:rsidR="007F64A0" w:rsidRPr="007F64A0" w:rsidRDefault="007F64A0" w:rsidP="00CA4572">
            <w:pPr>
              <w:jc w:val="right"/>
              <w:rPr>
                <w:sz w:val="20"/>
                <w:szCs w:val="20"/>
              </w:rPr>
            </w:pPr>
            <w:r w:rsidRPr="007F64A0">
              <w:rPr>
                <w:sz w:val="20"/>
                <w:szCs w:val="20"/>
              </w:rPr>
              <w:t>12 664,00</w:t>
            </w:r>
          </w:p>
        </w:tc>
      </w:tr>
      <w:tr w:rsidR="007F64A0" w:rsidRPr="007F64A0" w14:paraId="68DA98CB" w14:textId="77777777" w:rsidTr="007F64A0">
        <w:tc>
          <w:tcPr>
            <w:tcW w:w="2864" w:type="pct"/>
          </w:tcPr>
          <w:p w14:paraId="7B996084" w14:textId="25248FB8" w:rsidR="007F64A0" w:rsidRPr="007F64A0" w:rsidRDefault="007F64A0" w:rsidP="00CA4572">
            <w:pPr>
              <w:rPr>
                <w:sz w:val="20"/>
                <w:szCs w:val="20"/>
              </w:rPr>
            </w:pPr>
            <w:r w:rsidRPr="007F64A0">
              <w:rPr>
                <w:sz w:val="20"/>
                <w:szCs w:val="20"/>
              </w:rPr>
              <w:t>SPOLU</w:t>
            </w:r>
          </w:p>
        </w:tc>
        <w:tc>
          <w:tcPr>
            <w:tcW w:w="1068" w:type="pct"/>
            <w:vAlign w:val="center"/>
          </w:tcPr>
          <w:p w14:paraId="4618A66F" w14:textId="0704ACFD" w:rsidR="007F64A0" w:rsidRPr="007F64A0" w:rsidRDefault="007F64A0" w:rsidP="00CA4572">
            <w:pPr>
              <w:jc w:val="right"/>
              <w:rPr>
                <w:sz w:val="20"/>
                <w:szCs w:val="20"/>
              </w:rPr>
            </w:pPr>
            <w:r w:rsidRPr="007F64A0">
              <w:rPr>
                <w:sz w:val="20"/>
                <w:szCs w:val="20"/>
              </w:rPr>
              <w:t>840 857 674,67</w:t>
            </w:r>
          </w:p>
        </w:tc>
        <w:tc>
          <w:tcPr>
            <w:tcW w:w="1068" w:type="pct"/>
            <w:vAlign w:val="center"/>
          </w:tcPr>
          <w:p w14:paraId="3AB5BB2E" w14:textId="596D1C3B" w:rsidR="007F64A0" w:rsidRPr="007F64A0" w:rsidRDefault="007F64A0" w:rsidP="00CA4572">
            <w:pPr>
              <w:jc w:val="right"/>
              <w:rPr>
                <w:sz w:val="20"/>
                <w:szCs w:val="20"/>
              </w:rPr>
            </w:pPr>
            <w:r w:rsidRPr="007F64A0">
              <w:rPr>
                <w:sz w:val="20"/>
                <w:szCs w:val="20"/>
              </w:rPr>
              <w:t>153 834 298,72</w:t>
            </w:r>
          </w:p>
        </w:tc>
      </w:tr>
    </w:tbl>
    <w:p w14:paraId="1C207128" w14:textId="77777777" w:rsidR="007F64A0" w:rsidRPr="0039341A" w:rsidRDefault="007F64A0" w:rsidP="00CA4572">
      <w:pPr>
        <w:rPr>
          <w:i/>
          <w:sz w:val="18"/>
        </w:rPr>
      </w:pPr>
      <w:r w:rsidRPr="0039341A">
        <w:rPr>
          <w:i/>
          <w:sz w:val="18"/>
        </w:rPr>
        <w:t>Zdroj: MF SR</w:t>
      </w:r>
    </w:p>
    <w:p w14:paraId="07B6DE4F" w14:textId="77777777" w:rsidR="007F64A0" w:rsidRPr="00EE2107" w:rsidRDefault="007F64A0" w:rsidP="00CA4572">
      <w:pPr>
        <w:spacing w:before="120" w:after="120"/>
        <w:jc w:val="both"/>
        <w:rPr>
          <w:rFonts w:cs="Arial"/>
          <w:b/>
          <w:u w:val="single"/>
        </w:rPr>
      </w:pPr>
      <w:r w:rsidRPr="00EE2107">
        <w:rPr>
          <w:rFonts w:cs="Arial"/>
          <w:b/>
          <w:u w:val="single"/>
        </w:rPr>
        <w:t>III. programové obdobie (2014</w:t>
      </w:r>
      <w:r>
        <w:rPr>
          <w:rFonts w:cs="Arial"/>
          <w:b/>
          <w:u w:val="single"/>
        </w:rPr>
        <w:t xml:space="preserve"> </w:t>
      </w:r>
      <w:r w:rsidRPr="00EE2107">
        <w:rPr>
          <w:rFonts w:cs="Arial"/>
          <w:b/>
          <w:u w:val="single"/>
        </w:rPr>
        <w:t>-</w:t>
      </w:r>
      <w:r>
        <w:rPr>
          <w:rFonts w:cs="Arial"/>
          <w:b/>
          <w:u w:val="single"/>
        </w:rPr>
        <w:t xml:space="preserve"> </w:t>
      </w:r>
      <w:r w:rsidRPr="00EE2107">
        <w:rPr>
          <w:rFonts w:cs="Arial"/>
          <w:b/>
          <w:u w:val="single"/>
        </w:rPr>
        <w:t>2020)</w:t>
      </w:r>
    </w:p>
    <w:p w14:paraId="2E599869" w14:textId="7A7F1AC0" w:rsidR="00D9070A" w:rsidRDefault="00D9070A" w:rsidP="00D9070A">
      <w:pPr>
        <w:spacing w:before="120" w:after="120"/>
        <w:jc w:val="both"/>
      </w:pPr>
      <w:r>
        <w:t>Opravy a finančné nezrovnalosti narástli pri treťom programovom období</w:t>
      </w:r>
      <w:r w:rsidR="00AC1442">
        <w:t xml:space="preserve"> </w:t>
      </w:r>
      <w:r>
        <w:t xml:space="preserve">o viac ako 100 000 tis. eur na celkovú výšku 134 995 tis. eur, čo iba potvrdzuje pravidelné kontrolné zistenia NKÚ SR. </w:t>
      </w:r>
      <w:r w:rsidR="00525E30">
        <w:t>NKÚ SR</w:t>
      </w:r>
      <w:r>
        <w:t xml:space="preserve"> dlhodobo poukazuje na problémové čerpanie európskych fondov. Najvyššiu sumu nezrovnalostí v sebe zahŕňa OP Integrovaná infraštruktúra (zahrnuté sú aj rádovo nižšie nezrovnalosti z OP Výskum a inovácie, keďže prišlo k zlúčeniu týchto OP) vo výške 101 205 tis. eur.</w:t>
      </w:r>
    </w:p>
    <w:p w14:paraId="0D7B3832" w14:textId="35797151" w:rsidR="007F64A0" w:rsidRPr="00220EB0" w:rsidRDefault="00BE0310" w:rsidP="00CA4572">
      <w:pPr>
        <w:spacing w:before="120"/>
        <w:jc w:val="both"/>
        <w:rPr>
          <w:rFonts w:cs="Arial"/>
          <w:b/>
          <w:i/>
        </w:rPr>
      </w:pPr>
      <w:r w:rsidRPr="00220EB0">
        <w:rPr>
          <w:rFonts w:cs="Arial"/>
          <w:b/>
          <w:i/>
        </w:rPr>
        <w:t>K</w:t>
      </w:r>
      <w:r w:rsidR="007F64A0" w:rsidRPr="00220EB0">
        <w:rPr>
          <w:rFonts w:cs="Arial"/>
          <w:b/>
          <w:i/>
        </w:rPr>
        <w:t>umulatívn</w:t>
      </w:r>
      <w:r w:rsidR="0039341A" w:rsidRPr="00220EB0">
        <w:rPr>
          <w:rFonts w:cs="Arial"/>
          <w:b/>
          <w:i/>
        </w:rPr>
        <w:t>a</w:t>
      </w:r>
      <w:r w:rsidR="007F64A0" w:rsidRPr="00220EB0">
        <w:rPr>
          <w:rFonts w:cs="Arial"/>
          <w:b/>
          <w:i/>
        </w:rPr>
        <w:t xml:space="preserve"> výšk</w:t>
      </w:r>
      <w:r w:rsidR="0039341A" w:rsidRPr="00220EB0">
        <w:rPr>
          <w:rFonts w:cs="Arial"/>
          <w:b/>
          <w:i/>
        </w:rPr>
        <w:t>a</w:t>
      </w:r>
      <w:r w:rsidR="007F64A0" w:rsidRPr="00220EB0">
        <w:rPr>
          <w:rFonts w:cs="Arial"/>
          <w:b/>
          <w:i/>
        </w:rPr>
        <w:t xml:space="preserve"> finančných opráv z titulu nezrovnalostí voči čerpaniu operačný</w:t>
      </w:r>
      <w:r w:rsidR="00CA4572" w:rsidRPr="00220EB0">
        <w:rPr>
          <w:rFonts w:cs="Arial"/>
          <w:b/>
          <w:i/>
        </w:rPr>
        <w:t>ch programov na národnej úrovni</w:t>
      </w:r>
      <w:r w:rsidRPr="00220EB0">
        <w:rPr>
          <w:rFonts w:cs="Arial"/>
          <w:b/>
          <w:i/>
        </w:rPr>
        <w:t xml:space="preserve"> k</w:t>
      </w:r>
      <w:r w:rsidR="00331223" w:rsidRPr="00220EB0">
        <w:rPr>
          <w:rFonts w:cs="Arial"/>
          <w:b/>
          <w:i/>
        </w:rPr>
        <w:t> 31. 12. 2019</w:t>
      </w:r>
    </w:p>
    <w:tbl>
      <w:tblPr>
        <w:tblStyle w:val="Mriekatabuky"/>
        <w:tblpPr w:leftFromText="141" w:rightFromText="141" w:vertAnchor="text" w:horzAnchor="margin" w:tblpY="85"/>
        <w:tblW w:w="9169" w:type="dxa"/>
        <w:tblLook w:val="04A0" w:firstRow="1" w:lastRow="0" w:firstColumn="1" w:lastColumn="0" w:noHBand="0" w:noVBand="1"/>
      </w:tblPr>
      <w:tblGrid>
        <w:gridCol w:w="4248"/>
        <w:gridCol w:w="2551"/>
        <w:gridCol w:w="2370"/>
      </w:tblGrid>
      <w:tr w:rsidR="007F64A0" w:rsidRPr="00CA4572" w14:paraId="0934DA2E" w14:textId="77777777" w:rsidTr="00A57641">
        <w:trPr>
          <w:trHeight w:val="227"/>
        </w:trPr>
        <w:tc>
          <w:tcPr>
            <w:tcW w:w="4248" w:type="dxa"/>
            <w:vMerge w:val="restart"/>
            <w:shd w:val="clear" w:color="auto" w:fill="0070C0"/>
            <w:vAlign w:val="center"/>
          </w:tcPr>
          <w:p w14:paraId="4B27922E" w14:textId="77777777" w:rsidR="007F64A0" w:rsidRPr="00CA4572" w:rsidRDefault="007F64A0" w:rsidP="00CA4572">
            <w:pPr>
              <w:jc w:val="center"/>
              <w:rPr>
                <w:rFonts w:cs="Arial"/>
                <w:b/>
                <w:color w:val="FFFFFF" w:themeColor="background1"/>
                <w:sz w:val="20"/>
                <w:szCs w:val="20"/>
              </w:rPr>
            </w:pPr>
            <w:r w:rsidRPr="00CA4572">
              <w:rPr>
                <w:rFonts w:cs="Arial"/>
                <w:b/>
                <w:color w:val="FFFFFF" w:themeColor="background1"/>
                <w:sz w:val="20"/>
                <w:szCs w:val="20"/>
              </w:rPr>
              <w:t>Program</w:t>
            </w:r>
          </w:p>
        </w:tc>
        <w:tc>
          <w:tcPr>
            <w:tcW w:w="4921" w:type="dxa"/>
            <w:gridSpan w:val="2"/>
            <w:shd w:val="clear" w:color="auto" w:fill="0070C0"/>
            <w:vAlign w:val="center"/>
          </w:tcPr>
          <w:p w14:paraId="481FDB82" w14:textId="77777777" w:rsidR="007F64A0" w:rsidRPr="00CA4572" w:rsidRDefault="007F64A0" w:rsidP="00CA4572">
            <w:pPr>
              <w:jc w:val="center"/>
              <w:rPr>
                <w:rFonts w:cs="Arial"/>
                <w:b/>
                <w:color w:val="FFFFFF" w:themeColor="background1"/>
                <w:sz w:val="20"/>
                <w:szCs w:val="20"/>
              </w:rPr>
            </w:pPr>
            <w:r w:rsidRPr="00CA4572">
              <w:rPr>
                <w:rFonts w:cs="Arial"/>
                <w:b/>
                <w:color w:val="FFFFFF" w:themeColor="background1"/>
                <w:sz w:val="20"/>
                <w:szCs w:val="20"/>
              </w:rPr>
              <w:t>Nezrovnalosti a vratky</w:t>
            </w:r>
          </w:p>
        </w:tc>
      </w:tr>
      <w:tr w:rsidR="007F64A0" w:rsidRPr="00CA4572" w14:paraId="23F64ADF" w14:textId="77777777" w:rsidTr="00A57641">
        <w:trPr>
          <w:trHeight w:val="227"/>
        </w:trPr>
        <w:tc>
          <w:tcPr>
            <w:tcW w:w="4248" w:type="dxa"/>
            <w:vMerge/>
            <w:shd w:val="clear" w:color="auto" w:fill="0070C0"/>
          </w:tcPr>
          <w:p w14:paraId="4BA2C2EB" w14:textId="77777777" w:rsidR="007F64A0" w:rsidRPr="00CA4572" w:rsidRDefault="007F64A0" w:rsidP="00CA4572">
            <w:pPr>
              <w:jc w:val="both"/>
              <w:rPr>
                <w:rFonts w:cs="Arial"/>
                <w:b/>
                <w:color w:val="FFFFFF" w:themeColor="background1"/>
                <w:sz w:val="20"/>
                <w:szCs w:val="20"/>
              </w:rPr>
            </w:pPr>
          </w:p>
        </w:tc>
        <w:tc>
          <w:tcPr>
            <w:tcW w:w="2551" w:type="dxa"/>
            <w:shd w:val="clear" w:color="auto" w:fill="0070C0"/>
            <w:vAlign w:val="center"/>
          </w:tcPr>
          <w:p w14:paraId="3E1C91A8" w14:textId="77777777" w:rsidR="007F64A0" w:rsidRPr="00CA4572" w:rsidRDefault="007F64A0" w:rsidP="00CA4572">
            <w:pPr>
              <w:jc w:val="center"/>
              <w:rPr>
                <w:rFonts w:cs="Arial"/>
                <w:b/>
                <w:color w:val="FFFFFF" w:themeColor="background1"/>
                <w:sz w:val="20"/>
                <w:szCs w:val="20"/>
              </w:rPr>
            </w:pPr>
            <w:r w:rsidRPr="00CA4572">
              <w:rPr>
                <w:rFonts w:cs="Arial"/>
                <w:b/>
                <w:color w:val="FFFFFF" w:themeColor="background1"/>
                <w:sz w:val="20"/>
                <w:szCs w:val="20"/>
              </w:rPr>
              <w:t>EÚ zdroj</w:t>
            </w:r>
          </w:p>
        </w:tc>
        <w:tc>
          <w:tcPr>
            <w:tcW w:w="2370" w:type="dxa"/>
            <w:shd w:val="clear" w:color="auto" w:fill="0070C0"/>
            <w:vAlign w:val="center"/>
          </w:tcPr>
          <w:p w14:paraId="690C9D2A" w14:textId="77777777" w:rsidR="007F64A0" w:rsidRPr="00CA4572" w:rsidRDefault="007F64A0" w:rsidP="00CA4572">
            <w:pPr>
              <w:jc w:val="center"/>
              <w:rPr>
                <w:rFonts w:cs="Arial"/>
                <w:b/>
                <w:color w:val="FFFFFF" w:themeColor="background1"/>
                <w:sz w:val="20"/>
                <w:szCs w:val="20"/>
              </w:rPr>
            </w:pPr>
            <w:r w:rsidRPr="00CA4572">
              <w:rPr>
                <w:rFonts w:cs="Arial"/>
                <w:b/>
                <w:color w:val="FFFFFF" w:themeColor="background1"/>
                <w:sz w:val="20"/>
                <w:szCs w:val="20"/>
              </w:rPr>
              <w:t>ŠR zdroj</w:t>
            </w:r>
          </w:p>
        </w:tc>
      </w:tr>
      <w:tr w:rsidR="007F64A0" w:rsidRPr="00CA4572" w14:paraId="21BF0DCE" w14:textId="77777777" w:rsidTr="00A57641">
        <w:trPr>
          <w:trHeight w:val="227"/>
        </w:trPr>
        <w:tc>
          <w:tcPr>
            <w:tcW w:w="4248" w:type="dxa"/>
            <w:vAlign w:val="bottom"/>
          </w:tcPr>
          <w:p w14:paraId="3AA31518"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eastAsia="Arial Narrow" w:hAnsi="Arial Narrow" w:cs="Arial Narrow"/>
                <w:color w:val="000000"/>
                <w:sz w:val="20"/>
                <w:szCs w:val="20"/>
                <w:lang w:val="sk-SK" w:eastAsia="sk-SK" w:bidi="sk-SK"/>
              </w:rPr>
              <w:t xml:space="preserve">OP </w:t>
            </w:r>
            <w:r w:rsidRPr="00525E30">
              <w:rPr>
                <w:rFonts w:ascii="Arial Narrow" w:hAnsi="Arial Narrow"/>
                <w:i/>
                <w:iCs/>
                <w:color w:val="000000"/>
                <w:sz w:val="20"/>
                <w:szCs w:val="20"/>
                <w:lang w:val="sk-SK" w:eastAsia="sk-SK" w:bidi="sk-SK"/>
              </w:rPr>
              <w:t>Integrovaná infraštruktúra - pôvodné</w:t>
            </w:r>
          </w:p>
        </w:tc>
        <w:tc>
          <w:tcPr>
            <w:tcW w:w="2551" w:type="dxa"/>
            <w:vAlign w:val="center"/>
          </w:tcPr>
          <w:p w14:paraId="1D6D0985"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hAnsi="Arial Narrow"/>
                <w:i/>
                <w:iCs/>
                <w:color w:val="000000"/>
                <w:sz w:val="20"/>
                <w:szCs w:val="20"/>
                <w:lang w:eastAsia="sk-SK" w:bidi="sk-SK"/>
              </w:rPr>
              <w:t>99 611 027,61</w:t>
            </w:r>
          </w:p>
        </w:tc>
        <w:tc>
          <w:tcPr>
            <w:tcW w:w="2370" w:type="dxa"/>
            <w:vAlign w:val="center"/>
          </w:tcPr>
          <w:p w14:paraId="7B12F7F3"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hAnsi="Arial Narrow"/>
                <w:i/>
                <w:iCs/>
                <w:color w:val="000000"/>
                <w:sz w:val="20"/>
                <w:szCs w:val="20"/>
                <w:lang w:eastAsia="sk-SK" w:bidi="sk-SK"/>
              </w:rPr>
              <w:t>17 488 952,52</w:t>
            </w:r>
          </w:p>
        </w:tc>
      </w:tr>
      <w:tr w:rsidR="007F64A0" w:rsidRPr="00CA4572" w14:paraId="5F18DCB7" w14:textId="77777777" w:rsidTr="007F64A0">
        <w:trPr>
          <w:trHeight w:val="227"/>
        </w:trPr>
        <w:tc>
          <w:tcPr>
            <w:tcW w:w="4248" w:type="dxa"/>
            <w:vAlign w:val="bottom"/>
          </w:tcPr>
          <w:p w14:paraId="39815A4C"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hAnsi="Arial Narrow"/>
                <w:i/>
                <w:iCs/>
                <w:color w:val="000000"/>
                <w:sz w:val="20"/>
                <w:szCs w:val="20"/>
                <w:lang w:val="sk-SK" w:eastAsia="sk-SK" w:bidi="sk-SK"/>
              </w:rPr>
              <w:t>OP Výskum a inovácie - pôvodné</w:t>
            </w:r>
          </w:p>
        </w:tc>
        <w:tc>
          <w:tcPr>
            <w:tcW w:w="2551" w:type="dxa"/>
            <w:vAlign w:val="center"/>
          </w:tcPr>
          <w:p w14:paraId="3271F3DF"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hAnsi="Arial Narrow"/>
                <w:i/>
                <w:iCs/>
                <w:color w:val="000000"/>
                <w:sz w:val="20"/>
                <w:szCs w:val="20"/>
                <w:lang w:eastAsia="sk-SK" w:bidi="sk-SK"/>
              </w:rPr>
              <w:t>1 594 050,43</w:t>
            </w:r>
          </w:p>
        </w:tc>
        <w:tc>
          <w:tcPr>
            <w:tcW w:w="2370" w:type="dxa"/>
            <w:vAlign w:val="center"/>
          </w:tcPr>
          <w:p w14:paraId="58A578D1"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hAnsi="Arial Narrow"/>
                <w:i/>
                <w:iCs/>
                <w:color w:val="000000"/>
                <w:sz w:val="20"/>
                <w:szCs w:val="20"/>
                <w:lang w:eastAsia="sk-SK" w:bidi="sk-SK"/>
              </w:rPr>
              <w:t>151 338,39</w:t>
            </w:r>
          </w:p>
        </w:tc>
      </w:tr>
      <w:tr w:rsidR="007F64A0" w:rsidRPr="00CA4572" w14:paraId="14082398" w14:textId="77777777" w:rsidTr="007F64A0">
        <w:trPr>
          <w:trHeight w:val="227"/>
        </w:trPr>
        <w:tc>
          <w:tcPr>
            <w:tcW w:w="4248" w:type="dxa"/>
            <w:vAlign w:val="bottom"/>
          </w:tcPr>
          <w:p w14:paraId="57D83CCF"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eastAsia="Arial Narrow" w:hAnsi="Arial Narrow" w:cs="Arial Narrow"/>
                <w:color w:val="000000"/>
                <w:sz w:val="20"/>
                <w:szCs w:val="20"/>
                <w:lang w:val="sk-SK" w:eastAsia="sk-SK" w:bidi="sk-SK"/>
              </w:rPr>
              <w:t>OP Integrovaná infraštruktúra (OP II + OP Val)</w:t>
            </w:r>
          </w:p>
        </w:tc>
        <w:tc>
          <w:tcPr>
            <w:tcW w:w="2551" w:type="dxa"/>
            <w:vAlign w:val="center"/>
          </w:tcPr>
          <w:p w14:paraId="1DA1B35C"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101 205 078,04</w:t>
            </w:r>
          </w:p>
        </w:tc>
        <w:tc>
          <w:tcPr>
            <w:tcW w:w="2370" w:type="dxa"/>
            <w:vAlign w:val="center"/>
          </w:tcPr>
          <w:p w14:paraId="5F6A81F3"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17 640 290,91</w:t>
            </w:r>
          </w:p>
        </w:tc>
      </w:tr>
      <w:tr w:rsidR="007F64A0" w:rsidRPr="00CA4572" w14:paraId="1DC62D5F" w14:textId="77777777" w:rsidTr="007F64A0">
        <w:trPr>
          <w:trHeight w:val="227"/>
        </w:trPr>
        <w:tc>
          <w:tcPr>
            <w:tcW w:w="4248" w:type="dxa"/>
            <w:vAlign w:val="bottom"/>
          </w:tcPr>
          <w:p w14:paraId="174A294E"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eastAsia="Arial Narrow" w:hAnsi="Arial Narrow" w:cs="Arial Narrow"/>
                <w:color w:val="000000"/>
                <w:sz w:val="20"/>
                <w:szCs w:val="20"/>
                <w:lang w:val="sk-SK" w:eastAsia="sk-SK" w:bidi="sk-SK"/>
              </w:rPr>
              <w:t>OP Kvalita životného prostredia</w:t>
            </w:r>
          </w:p>
        </w:tc>
        <w:tc>
          <w:tcPr>
            <w:tcW w:w="2551" w:type="dxa"/>
            <w:vAlign w:val="center"/>
          </w:tcPr>
          <w:p w14:paraId="131F59D3"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12 738 787,03</w:t>
            </w:r>
          </w:p>
        </w:tc>
        <w:tc>
          <w:tcPr>
            <w:tcW w:w="2370" w:type="dxa"/>
            <w:vAlign w:val="center"/>
          </w:tcPr>
          <w:p w14:paraId="34C5A7E1"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1 034 306,48</w:t>
            </w:r>
          </w:p>
        </w:tc>
      </w:tr>
      <w:tr w:rsidR="007F64A0" w:rsidRPr="00CA4572" w14:paraId="2C80879F" w14:textId="77777777" w:rsidTr="007F64A0">
        <w:trPr>
          <w:trHeight w:val="227"/>
        </w:trPr>
        <w:tc>
          <w:tcPr>
            <w:tcW w:w="4248" w:type="dxa"/>
            <w:vAlign w:val="bottom"/>
          </w:tcPr>
          <w:p w14:paraId="56C745B1"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eastAsia="Arial Narrow" w:hAnsi="Arial Narrow" w:cs="Arial Narrow"/>
                <w:color w:val="000000"/>
                <w:sz w:val="20"/>
                <w:szCs w:val="20"/>
                <w:lang w:val="sk-SK" w:eastAsia="sk-SK" w:bidi="sk-SK"/>
              </w:rPr>
              <w:t>OP Ľudské zdroje</w:t>
            </w:r>
          </w:p>
        </w:tc>
        <w:tc>
          <w:tcPr>
            <w:tcW w:w="2551" w:type="dxa"/>
            <w:vAlign w:val="center"/>
          </w:tcPr>
          <w:p w14:paraId="35C96946"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19 315 299,42</w:t>
            </w:r>
          </w:p>
        </w:tc>
        <w:tc>
          <w:tcPr>
            <w:tcW w:w="2370" w:type="dxa"/>
            <w:vAlign w:val="center"/>
          </w:tcPr>
          <w:p w14:paraId="0AD87155"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3 382 752,21</w:t>
            </w:r>
          </w:p>
        </w:tc>
      </w:tr>
      <w:tr w:rsidR="007F64A0" w:rsidRPr="00CA4572" w14:paraId="149D849F" w14:textId="77777777" w:rsidTr="007F64A0">
        <w:trPr>
          <w:trHeight w:val="227"/>
        </w:trPr>
        <w:tc>
          <w:tcPr>
            <w:tcW w:w="4248" w:type="dxa"/>
            <w:vAlign w:val="bottom"/>
          </w:tcPr>
          <w:p w14:paraId="59DFAC03"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eastAsia="Arial Narrow" w:hAnsi="Arial Narrow" w:cs="Arial Narrow"/>
                <w:color w:val="000000"/>
                <w:sz w:val="20"/>
                <w:szCs w:val="20"/>
                <w:lang w:val="sk-SK" w:eastAsia="sk-SK" w:bidi="sk-SK"/>
              </w:rPr>
              <w:t>Integrovaný regionálny OP</w:t>
            </w:r>
          </w:p>
        </w:tc>
        <w:tc>
          <w:tcPr>
            <w:tcW w:w="2551" w:type="dxa"/>
            <w:vAlign w:val="center"/>
          </w:tcPr>
          <w:p w14:paraId="74D6D357"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1 439 122,15</w:t>
            </w:r>
          </w:p>
        </w:tc>
        <w:tc>
          <w:tcPr>
            <w:tcW w:w="2370" w:type="dxa"/>
            <w:vAlign w:val="center"/>
          </w:tcPr>
          <w:p w14:paraId="7076B227"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542 377,20</w:t>
            </w:r>
          </w:p>
        </w:tc>
      </w:tr>
      <w:tr w:rsidR="007F64A0" w:rsidRPr="00CA4572" w14:paraId="01E58488" w14:textId="77777777" w:rsidTr="007F64A0">
        <w:trPr>
          <w:trHeight w:val="227"/>
        </w:trPr>
        <w:tc>
          <w:tcPr>
            <w:tcW w:w="4248" w:type="dxa"/>
            <w:vAlign w:val="bottom"/>
          </w:tcPr>
          <w:p w14:paraId="79F58460"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eastAsia="Arial Narrow" w:hAnsi="Arial Narrow" w:cs="Arial Narrow"/>
                <w:color w:val="000000"/>
                <w:sz w:val="20"/>
                <w:szCs w:val="20"/>
                <w:lang w:val="sk-SK" w:eastAsia="sk-SK" w:bidi="sk-SK"/>
              </w:rPr>
              <w:t>OP Efektívna verejná správa</w:t>
            </w:r>
          </w:p>
        </w:tc>
        <w:tc>
          <w:tcPr>
            <w:tcW w:w="2551" w:type="dxa"/>
            <w:vAlign w:val="center"/>
          </w:tcPr>
          <w:p w14:paraId="5AE4550E"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109 379,14</w:t>
            </w:r>
          </w:p>
        </w:tc>
        <w:tc>
          <w:tcPr>
            <w:tcW w:w="2370" w:type="dxa"/>
            <w:vAlign w:val="center"/>
          </w:tcPr>
          <w:p w14:paraId="049FCF6F"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29 731,66</w:t>
            </w:r>
          </w:p>
        </w:tc>
      </w:tr>
      <w:tr w:rsidR="007F64A0" w:rsidRPr="00CA4572" w14:paraId="4885FD53" w14:textId="77777777" w:rsidTr="007F64A0">
        <w:trPr>
          <w:trHeight w:val="227"/>
        </w:trPr>
        <w:tc>
          <w:tcPr>
            <w:tcW w:w="4248" w:type="dxa"/>
            <w:vAlign w:val="bottom"/>
          </w:tcPr>
          <w:p w14:paraId="5D1A1984"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eastAsia="Arial Narrow" w:hAnsi="Arial Narrow" w:cs="Arial Narrow"/>
                <w:color w:val="000000"/>
                <w:sz w:val="20"/>
                <w:szCs w:val="20"/>
                <w:lang w:val="sk-SK" w:eastAsia="sk-SK" w:bidi="sk-SK"/>
              </w:rPr>
              <w:t>OP Technická pomoc</w:t>
            </w:r>
          </w:p>
        </w:tc>
        <w:tc>
          <w:tcPr>
            <w:tcW w:w="2551" w:type="dxa"/>
            <w:vAlign w:val="center"/>
          </w:tcPr>
          <w:p w14:paraId="4D51BB11"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29 134,79</w:t>
            </w:r>
          </w:p>
        </w:tc>
        <w:tc>
          <w:tcPr>
            <w:tcW w:w="2370" w:type="dxa"/>
            <w:vAlign w:val="center"/>
          </w:tcPr>
          <w:p w14:paraId="53824B0C"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4 761,74</w:t>
            </w:r>
          </w:p>
        </w:tc>
      </w:tr>
      <w:tr w:rsidR="007F64A0" w:rsidRPr="00CA4572" w14:paraId="130AD727" w14:textId="77777777" w:rsidTr="007F64A0">
        <w:trPr>
          <w:trHeight w:val="227"/>
        </w:trPr>
        <w:tc>
          <w:tcPr>
            <w:tcW w:w="4248" w:type="dxa"/>
            <w:vAlign w:val="bottom"/>
          </w:tcPr>
          <w:p w14:paraId="57543D8E"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eastAsia="Arial Narrow" w:hAnsi="Arial Narrow" w:cs="Arial Narrow"/>
                <w:color w:val="000000"/>
                <w:sz w:val="20"/>
                <w:szCs w:val="20"/>
                <w:lang w:val="sk-SK" w:eastAsia="sk-SK" w:bidi="sk-SK"/>
              </w:rPr>
              <w:t>Program Interreg V-A SK-CZ</w:t>
            </w:r>
          </w:p>
        </w:tc>
        <w:tc>
          <w:tcPr>
            <w:tcW w:w="2551" w:type="dxa"/>
            <w:vAlign w:val="center"/>
          </w:tcPr>
          <w:p w14:paraId="55CA59B6"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5 631,25</w:t>
            </w:r>
          </w:p>
        </w:tc>
        <w:tc>
          <w:tcPr>
            <w:tcW w:w="2370" w:type="dxa"/>
            <w:vAlign w:val="center"/>
          </w:tcPr>
          <w:p w14:paraId="4EE06EE3"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331,25</w:t>
            </w:r>
          </w:p>
        </w:tc>
      </w:tr>
      <w:tr w:rsidR="007F64A0" w:rsidRPr="00CA4572" w14:paraId="0436FC67" w14:textId="77777777" w:rsidTr="007F64A0">
        <w:trPr>
          <w:trHeight w:val="227"/>
        </w:trPr>
        <w:tc>
          <w:tcPr>
            <w:tcW w:w="4248" w:type="dxa"/>
            <w:vAlign w:val="bottom"/>
          </w:tcPr>
          <w:p w14:paraId="21ECC118"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eastAsia="Arial Narrow" w:hAnsi="Arial Narrow" w:cs="Arial Narrow"/>
                <w:color w:val="000000"/>
                <w:sz w:val="20"/>
                <w:szCs w:val="20"/>
                <w:lang w:val="sk-SK" w:eastAsia="sk-SK" w:bidi="sk-SK"/>
              </w:rPr>
              <w:t>Program Interreg V-A SK-AT</w:t>
            </w:r>
          </w:p>
        </w:tc>
        <w:tc>
          <w:tcPr>
            <w:tcW w:w="2551" w:type="dxa"/>
            <w:vAlign w:val="center"/>
          </w:tcPr>
          <w:p w14:paraId="12B88BF7"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3 085,11</w:t>
            </w:r>
          </w:p>
        </w:tc>
        <w:tc>
          <w:tcPr>
            <w:tcW w:w="2370" w:type="dxa"/>
            <w:vAlign w:val="center"/>
          </w:tcPr>
          <w:p w14:paraId="4CDE38D4"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289,43</w:t>
            </w:r>
          </w:p>
        </w:tc>
      </w:tr>
      <w:tr w:rsidR="007F64A0" w:rsidRPr="00CA4572" w14:paraId="69E435CB" w14:textId="77777777" w:rsidTr="007F64A0">
        <w:trPr>
          <w:trHeight w:val="227"/>
        </w:trPr>
        <w:tc>
          <w:tcPr>
            <w:tcW w:w="4248" w:type="dxa"/>
          </w:tcPr>
          <w:p w14:paraId="4C7DB7A9"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eastAsia="Arial Narrow" w:hAnsi="Arial Narrow" w:cs="Arial Narrow"/>
                <w:color w:val="000000"/>
                <w:sz w:val="20"/>
                <w:szCs w:val="20"/>
                <w:lang w:val="sk-SK" w:eastAsia="sk-SK" w:bidi="sk-SK"/>
              </w:rPr>
              <w:t>PS INTERACT III*</w:t>
            </w:r>
          </w:p>
        </w:tc>
        <w:tc>
          <w:tcPr>
            <w:tcW w:w="2551" w:type="dxa"/>
            <w:vAlign w:val="center"/>
          </w:tcPr>
          <w:p w14:paraId="0DFBA9BC"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35 205,57</w:t>
            </w:r>
          </w:p>
        </w:tc>
        <w:tc>
          <w:tcPr>
            <w:tcW w:w="2370" w:type="dxa"/>
            <w:vAlign w:val="center"/>
          </w:tcPr>
          <w:p w14:paraId="0AAB54E3"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6 212,76</w:t>
            </w:r>
          </w:p>
        </w:tc>
      </w:tr>
      <w:tr w:rsidR="007F64A0" w:rsidRPr="00CA4572" w14:paraId="56E51910" w14:textId="77777777" w:rsidTr="007F64A0">
        <w:trPr>
          <w:trHeight w:val="227"/>
        </w:trPr>
        <w:tc>
          <w:tcPr>
            <w:tcW w:w="4248" w:type="dxa"/>
            <w:vAlign w:val="bottom"/>
          </w:tcPr>
          <w:p w14:paraId="72F0A8D3"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eastAsia="Arial Narrow" w:hAnsi="Arial Narrow" w:cs="Arial Narrow"/>
                <w:color w:val="000000"/>
                <w:sz w:val="20"/>
                <w:szCs w:val="20"/>
                <w:lang w:val="sk-SK" w:eastAsia="sk-SK" w:bidi="sk-SK"/>
              </w:rPr>
              <w:t>OP Rybné hospodárstvo</w:t>
            </w:r>
          </w:p>
        </w:tc>
        <w:tc>
          <w:tcPr>
            <w:tcW w:w="2551" w:type="dxa"/>
            <w:vAlign w:val="center"/>
          </w:tcPr>
          <w:p w14:paraId="15899F11"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114 404,89</w:t>
            </w:r>
          </w:p>
        </w:tc>
        <w:tc>
          <w:tcPr>
            <w:tcW w:w="2370" w:type="dxa"/>
            <w:vAlign w:val="center"/>
          </w:tcPr>
          <w:p w14:paraId="5BA7FEC1"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eastAsia="Arial Narrow" w:hAnsi="Arial Narrow" w:cs="Arial Narrow"/>
                <w:color w:val="000000"/>
                <w:sz w:val="20"/>
                <w:szCs w:val="20"/>
                <w:lang w:eastAsia="sk-SK" w:bidi="sk-SK"/>
              </w:rPr>
              <w:t>12 711,65</w:t>
            </w:r>
          </w:p>
        </w:tc>
      </w:tr>
      <w:tr w:rsidR="007F64A0" w:rsidRPr="00CA4572" w14:paraId="1995767A" w14:textId="77777777" w:rsidTr="007F64A0">
        <w:trPr>
          <w:trHeight w:val="227"/>
        </w:trPr>
        <w:tc>
          <w:tcPr>
            <w:tcW w:w="4248" w:type="dxa"/>
          </w:tcPr>
          <w:p w14:paraId="2DFF6AAF" w14:textId="77777777" w:rsidR="007F64A0" w:rsidRPr="00525E30" w:rsidRDefault="007F64A0" w:rsidP="00CA4572">
            <w:pPr>
              <w:pStyle w:val="In0"/>
              <w:shd w:val="clear" w:color="auto" w:fill="auto"/>
              <w:spacing w:after="0" w:line="240" w:lineRule="auto"/>
              <w:jc w:val="left"/>
              <w:rPr>
                <w:rFonts w:ascii="Arial Narrow" w:hAnsi="Arial Narrow"/>
                <w:b/>
                <w:sz w:val="20"/>
                <w:szCs w:val="20"/>
                <w:lang w:val="sk-SK"/>
              </w:rPr>
            </w:pPr>
            <w:r w:rsidRPr="00525E30">
              <w:rPr>
                <w:rFonts w:ascii="Arial Narrow" w:hAnsi="Arial Narrow"/>
                <w:color w:val="000000"/>
                <w:sz w:val="20"/>
                <w:szCs w:val="20"/>
                <w:lang w:val="sk-SK" w:eastAsia="sk-SK" w:bidi="sk-SK"/>
              </w:rPr>
              <w:t>SPOLU</w:t>
            </w:r>
          </w:p>
        </w:tc>
        <w:tc>
          <w:tcPr>
            <w:tcW w:w="2551" w:type="dxa"/>
            <w:vAlign w:val="center"/>
          </w:tcPr>
          <w:p w14:paraId="3AAC7652"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hAnsi="Arial Narrow"/>
                <w:color w:val="000000"/>
                <w:sz w:val="20"/>
                <w:szCs w:val="20"/>
                <w:lang w:eastAsia="sk-SK" w:bidi="sk-SK"/>
              </w:rPr>
              <w:t>134 995 127,39</w:t>
            </w:r>
          </w:p>
        </w:tc>
        <w:tc>
          <w:tcPr>
            <w:tcW w:w="2370" w:type="dxa"/>
            <w:vAlign w:val="center"/>
          </w:tcPr>
          <w:p w14:paraId="0543EADB" w14:textId="77777777" w:rsidR="007F64A0" w:rsidRPr="00CA4572" w:rsidRDefault="007F64A0" w:rsidP="00CA4572">
            <w:pPr>
              <w:pStyle w:val="In0"/>
              <w:shd w:val="clear" w:color="auto" w:fill="auto"/>
              <w:spacing w:after="0" w:line="240" w:lineRule="auto"/>
              <w:jc w:val="right"/>
              <w:rPr>
                <w:rFonts w:ascii="Arial Narrow" w:hAnsi="Arial Narrow"/>
                <w:b/>
                <w:sz w:val="20"/>
                <w:szCs w:val="20"/>
              </w:rPr>
            </w:pPr>
            <w:r w:rsidRPr="00CA4572">
              <w:rPr>
                <w:rFonts w:ascii="Arial Narrow" w:hAnsi="Arial Narrow"/>
                <w:color w:val="000000"/>
                <w:sz w:val="20"/>
                <w:szCs w:val="20"/>
                <w:lang w:eastAsia="sk-SK" w:bidi="sk-SK"/>
              </w:rPr>
              <w:t>22 653 765,29</w:t>
            </w:r>
          </w:p>
        </w:tc>
      </w:tr>
    </w:tbl>
    <w:p w14:paraId="15EEF286" w14:textId="77777777" w:rsidR="007F64A0" w:rsidRPr="00CA4572" w:rsidRDefault="007F64A0" w:rsidP="00CA4572">
      <w:pPr>
        <w:rPr>
          <w:i/>
          <w:sz w:val="18"/>
        </w:rPr>
      </w:pPr>
      <w:r w:rsidRPr="00CA4572">
        <w:rPr>
          <w:i/>
          <w:sz w:val="18"/>
        </w:rPr>
        <w:t>Zdroj: MF SR</w:t>
      </w:r>
    </w:p>
    <w:p w14:paraId="0721A9F8" w14:textId="51145C58" w:rsidR="007F64A0" w:rsidRDefault="007F64A0" w:rsidP="00CA4572">
      <w:pPr>
        <w:spacing w:before="120" w:after="120"/>
        <w:jc w:val="both"/>
        <w:rPr>
          <w:rFonts w:cs="Times New Roman"/>
        </w:rPr>
      </w:pPr>
      <w:r>
        <w:rPr>
          <w:rFonts w:cs="Times New Roman"/>
        </w:rPr>
        <w:t>Podľa údajov Európskeho úradu pre boj proti podvodom</w:t>
      </w:r>
      <w:r w:rsidR="007809AF">
        <w:rPr>
          <w:rFonts w:cs="Times New Roman"/>
        </w:rPr>
        <w:t>,</w:t>
      </w:r>
      <w:r>
        <w:rPr>
          <w:rFonts w:cs="Times New Roman"/>
        </w:rPr>
        <w:t xml:space="preserve"> za obdobie rokov 2014 až 2018 bolo na Slovensku zistených 1 644 podvodných a nepodvodných nezrovnalostí pri čerpaní peňazí z fondov EÚ a poľnohospodárskych dotácií. V skúmanom období sa podozrenia týkali až 19,29 % všetkých platieb z rozpočtov kohéznej a spoločnej poľnohospodárskej politiky EÚ. To je najviac v rámci krajín EÚ. Pre porovnanie, druhú najvyššiu mieru nezrovnalostí má Španielsko – 3,3</w:t>
      </w:r>
      <w:r w:rsidR="0067401C">
        <w:rPr>
          <w:rFonts w:cs="Times New Roman"/>
        </w:rPr>
        <w:t xml:space="preserve"> </w:t>
      </w:r>
      <w:r>
        <w:rPr>
          <w:rFonts w:cs="Times New Roman"/>
        </w:rPr>
        <w:t xml:space="preserve">%. </w:t>
      </w:r>
    </w:p>
    <w:tbl>
      <w:tblPr>
        <w:tblStyle w:val="Mriekatabuky"/>
        <w:tblW w:w="5000" w:type="pct"/>
        <w:shd w:val="clear" w:color="auto" w:fill="95B3D7" w:themeFill="accent1" w:themeFillTint="99"/>
        <w:tblLook w:val="04A0" w:firstRow="1" w:lastRow="0" w:firstColumn="1" w:lastColumn="0" w:noHBand="0" w:noVBand="1"/>
      </w:tblPr>
      <w:tblGrid>
        <w:gridCol w:w="9346"/>
      </w:tblGrid>
      <w:tr w:rsidR="007F64A0" w:rsidRPr="00CC2973" w14:paraId="0F29622D" w14:textId="77777777" w:rsidTr="00303737">
        <w:tc>
          <w:tcPr>
            <w:tcW w:w="5000" w:type="pct"/>
            <w:shd w:val="clear" w:color="auto" w:fill="95B3D7" w:themeFill="accent1" w:themeFillTint="99"/>
          </w:tcPr>
          <w:p w14:paraId="6CCAD203" w14:textId="08BD31E2" w:rsidR="007F64A0" w:rsidRPr="00DC5275" w:rsidRDefault="007F64A0" w:rsidP="00CA4572">
            <w:pPr>
              <w:pStyle w:val="2stlpce"/>
              <w:rPr>
                <w:rFonts w:ascii="Arial Narrow" w:hAnsi="Arial Narrow" w:cstheme="minorHAnsi"/>
                <w:b/>
              </w:rPr>
            </w:pPr>
            <w:r w:rsidRPr="00DC5275">
              <w:rPr>
                <w:rFonts w:ascii="Arial Narrow" w:hAnsi="Arial Narrow" w:cstheme="minorHAnsi"/>
                <w:b/>
              </w:rPr>
              <w:t>Kontrolná činnosť NKÚ SR v roku 2019 v rámci E</w:t>
            </w:r>
            <w:r w:rsidR="0067401C">
              <w:rPr>
                <w:rFonts w:ascii="Arial Narrow" w:hAnsi="Arial Narrow" w:cstheme="minorHAnsi"/>
                <w:b/>
              </w:rPr>
              <w:t>ŠIF</w:t>
            </w:r>
          </w:p>
          <w:p w14:paraId="40D7C023" w14:textId="519D49FB" w:rsidR="007F64A0" w:rsidRPr="009C5828" w:rsidRDefault="007F64A0" w:rsidP="00CA4572">
            <w:pPr>
              <w:spacing w:after="120"/>
              <w:jc w:val="both"/>
              <w:rPr>
                <w:rFonts w:cstheme="minorHAnsi"/>
              </w:rPr>
            </w:pPr>
            <w:r w:rsidRPr="00B42C8C">
              <w:rPr>
                <w:rFonts w:cstheme="minorHAnsi"/>
              </w:rPr>
              <w:t xml:space="preserve">NKÚ SR </w:t>
            </w:r>
            <w:r w:rsidR="00A247EB">
              <w:rPr>
                <w:rFonts w:cstheme="minorHAnsi"/>
              </w:rPr>
              <w:t xml:space="preserve">sa </w:t>
            </w:r>
            <w:r w:rsidRPr="00B42C8C">
              <w:rPr>
                <w:rFonts w:cstheme="minorHAnsi"/>
              </w:rPr>
              <w:t>v roku 2019</w:t>
            </w:r>
            <w:r w:rsidR="00A247EB">
              <w:rPr>
                <w:rFonts w:cstheme="minorHAnsi"/>
              </w:rPr>
              <w:t xml:space="preserve"> zameral na proces </w:t>
            </w:r>
            <w:r w:rsidRPr="00B42C8C">
              <w:rPr>
                <w:rFonts w:cstheme="minorHAnsi"/>
              </w:rPr>
              <w:t>realizáci</w:t>
            </w:r>
            <w:r w:rsidR="00A247EB">
              <w:rPr>
                <w:rFonts w:cstheme="minorHAnsi"/>
              </w:rPr>
              <w:t>e</w:t>
            </w:r>
            <w:r w:rsidRPr="00B42C8C">
              <w:rPr>
                <w:rFonts w:cstheme="minorHAnsi"/>
              </w:rPr>
              <w:t xml:space="preserve"> projektov s dôrazom na účinne vynaložené finančné prostriedky. Ú</w:t>
            </w:r>
            <w:r w:rsidRPr="00B42C8C">
              <w:t>čelom kontroly „Overenie procesu monitorovania a kontroly projektov v podmienkach OP EŠIF“ bolo posúdiť primeranosť procesu monitorovania a výkonu kontrol zo strany riadiaceho a sprostredkovateľského orgánu  pri overovaní plnenia merateľných ukazovateľov a cieľov projektov. Tento proces by mal včas odhaliť prípadné problémy, ktoré by v konečnom dôsledku mohli ohroziť</w:t>
            </w:r>
            <w:r w:rsidRPr="009C5828">
              <w:t xml:space="preserve"> úspešnosť realizácie projektu alebo viesť k povinnosti </w:t>
            </w:r>
            <w:r w:rsidRPr="009C5828">
              <w:lastRenderedPageBreak/>
              <w:t>prijímateľa vrátiť poskytnuté finančné prostriedky.</w:t>
            </w:r>
            <w:r w:rsidRPr="00B42C8C">
              <w:rPr>
                <w:rFonts w:cstheme="minorHAnsi"/>
              </w:rPr>
              <w:t xml:space="preserve"> </w:t>
            </w:r>
            <w:r w:rsidRPr="009C5828">
              <w:rPr>
                <w:rFonts w:cstheme="minorHAnsi"/>
              </w:rPr>
              <w:t>NKÚ SR vykonal kontrolu v </w:t>
            </w:r>
            <w:r w:rsidR="00A247EB">
              <w:rPr>
                <w:rFonts w:cstheme="minorHAnsi"/>
              </w:rPr>
              <w:t>16</w:t>
            </w:r>
            <w:r w:rsidRPr="009C5828">
              <w:rPr>
                <w:rFonts w:cstheme="minorHAnsi"/>
              </w:rPr>
              <w:t xml:space="preserve"> subjektoch. Na M</w:t>
            </w:r>
            <w:r w:rsidR="00982E11">
              <w:rPr>
                <w:rFonts w:cstheme="minorHAnsi"/>
              </w:rPr>
              <w:t>PRV</w:t>
            </w:r>
            <w:r w:rsidRPr="009C5828">
              <w:rPr>
                <w:rFonts w:cstheme="minorHAnsi"/>
              </w:rPr>
              <w:t xml:space="preserve"> SR (riadiaci orgán pre I</w:t>
            </w:r>
            <w:r w:rsidR="00982E11">
              <w:rPr>
                <w:rFonts w:cstheme="minorHAnsi"/>
              </w:rPr>
              <w:t>ROP</w:t>
            </w:r>
            <w:r w:rsidRPr="009C5828">
              <w:rPr>
                <w:rFonts w:cstheme="minorHAnsi"/>
              </w:rPr>
              <w:t>) a</w:t>
            </w:r>
            <w:r w:rsidR="00982E11">
              <w:rPr>
                <w:rFonts w:cstheme="minorHAnsi"/>
              </w:rPr>
              <w:t> </w:t>
            </w:r>
            <w:r w:rsidRPr="009C5828">
              <w:rPr>
                <w:rFonts w:cstheme="minorHAnsi"/>
              </w:rPr>
              <w:t>M</w:t>
            </w:r>
            <w:r w:rsidR="00982E11">
              <w:rPr>
                <w:rFonts w:cstheme="minorHAnsi"/>
              </w:rPr>
              <w:t>H SR</w:t>
            </w:r>
            <w:r w:rsidRPr="009C5828">
              <w:rPr>
                <w:rFonts w:cstheme="minorHAnsi"/>
              </w:rPr>
              <w:t xml:space="preserve"> (sprostredkovateľský orgán pre O</w:t>
            </w:r>
            <w:r w:rsidR="00982E11">
              <w:rPr>
                <w:rFonts w:cstheme="minorHAnsi"/>
              </w:rPr>
              <w:t>P</w:t>
            </w:r>
            <w:r w:rsidRPr="009C5828">
              <w:rPr>
                <w:rFonts w:cstheme="minorHAnsi"/>
              </w:rPr>
              <w:t xml:space="preserve"> Výskum a inovácie), t</w:t>
            </w:r>
            <w:r w:rsidR="007809AF">
              <w:rPr>
                <w:rFonts w:cstheme="minorHAnsi"/>
              </w:rPr>
              <w:t>. j.</w:t>
            </w:r>
            <w:r w:rsidRPr="009C5828">
              <w:rPr>
                <w:rFonts w:cstheme="minorHAnsi"/>
              </w:rPr>
              <w:t xml:space="preserve"> na úrovni riadiacich a sprostredkovateľských orgánov, a u </w:t>
            </w:r>
            <w:r w:rsidR="00A247EB">
              <w:rPr>
                <w:rFonts w:cstheme="minorHAnsi"/>
              </w:rPr>
              <w:t>14</w:t>
            </w:r>
            <w:r w:rsidRPr="009C5828">
              <w:rPr>
                <w:rFonts w:cstheme="minorHAnsi"/>
              </w:rPr>
              <w:t xml:space="preserve"> prijímateľov nenávratného finančného príspevku. </w:t>
            </w:r>
          </w:p>
          <w:p w14:paraId="2FF2E7C4" w14:textId="63782170" w:rsidR="007F64A0" w:rsidRDefault="007F64A0" w:rsidP="00CA4572">
            <w:pPr>
              <w:pStyle w:val="2stlpce"/>
              <w:rPr>
                <w:rStyle w:val="Siln"/>
                <w:rFonts w:ascii="Arial Narrow" w:hAnsi="Arial Narrow" w:cstheme="minorHAnsi"/>
              </w:rPr>
            </w:pPr>
            <w:r w:rsidRPr="009C5828">
              <w:rPr>
                <w:rFonts w:ascii="Arial Narrow" w:hAnsi="Arial Narrow" w:cstheme="minorHAnsi"/>
              </w:rPr>
              <w:t xml:space="preserve">Celkovo zaznamenali kontrolóri 27 zistení. V prípade </w:t>
            </w:r>
            <w:r w:rsidR="00A247EB">
              <w:rPr>
                <w:rFonts w:ascii="Arial Narrow" w:hAnsi="Arial Narrow" w:cstheme="minorHAnsi"/>
              </w:rPr>
              <w:t>7</w:t>
            </w:r>
            <w:r w:rsidRPr="009C5828">
              <w:rPr>
                <w:rFonts w:ascii="Arial Narrow" w:hAnsi="Arial Narrow" w:cstheme="minorHAnsi"/>
              </w:rPr>
              <w:t xml:space="preserve"> kontrolovaných prijímateľov príspevku v rezorte hospodárstva boli zistené nedostatky len u jedného prijímateľa, v rezorte pôdohospodárstva boli zistené nedostatky u  všetkých </w:t>
            </w:r>
            <w:r w:rsidR="00A247EB">
              <w:rPr>
                <w:rFonts w:ascii="Arial Narrow" w:hAnsi="Arial Narrow" w:cstheme="minorHAnsi"/>
              </w:rPr>
              <w:t>7</w:t>
            </w:r>
            <w:r w:rsidRPr="009C5828">
              <w:rPr>
                <w:rFonts w:ascii="Arial Narrow" w:hAnsi="Arial Narrow" w:cstheme="minorHAnsi"/>
              </w:rPr>
              <w:t xml:space="preserve"> prijímateľov.</w:t>
            </w:r>
            <w:r w:rsidRPr="00B42C8C">
              <w:t xml:space="preserve"> </w:t>
            </w:r>
            <w:r w:rsidRPr="00B42C8C">
              <w:rPr>
                <w:rFonts w:ascii="Arial Narrow" w:hAnsi="Arial Narrow" w:cstheme="minorHAnsi"/>
              </w:rPr>
              <w:t>Prijímatelia v projektoch nesprávne stanovili cieľové hodnoty niektorých merateľných ukazovateľov, čo</w:t>
            </w:r>
            <w:r w:rsidRPr="00B42C8C">
              <w:t xml:space="preserve"> </w:t>
            </w:r>
            <w:r w:rsidRPr="00B42C8C">
              <w:rPr>
                <w:rFonts w:ascii="Arial Narrow" w:hAnsi="Arial Narrow" w:cstheme="minorHAnsi"/>
              </w:rPr>
              <w:t>malo vplyv aj na následné nesprávne vykazovanie dosiahnutých hodnôt merateľných ukazovateľov po realizácii projektu.</w:t>
            </w:r>
            <w:r w:rsidRPr="00B42C8C">
              <w:rPr>
                <w:rFonts w:ascii="Arial Narrow" w:hAnsi="Arial Narrow" w:cstheme="minorHAnsi"/>
                <w:b/>
              </w:rPr>
              <w:t xml:space="preserve"> </w:t>
            </w:r>
            <w:r w:rsidRPr="00B42C8C">
              <w:rPr>
                <w:rStyle w:val="Siln"/>
                <w:rFonts w:ascii="Arial Narrow" w:hAnsi="Arial Narrow" w:cstheme="minorHAnsi"/>
              </w:rPr>
              <w:t>Riadiaci ani sprostredkovateľský orgán neodhalili nesprávne hodnoty merateľných ukazovateľov v procese schvaľovania projektov, ani v priebehu ich realizácie.</w:t>
            </w:r>
            <w:r w:rsidRPr="00B42C8C">
              <w:rPr>
                <w:b/>
              </w:rPr>
              <w:t xml:space="preserve"> </w:t>
            </w:r>
            <w:r w:rsidRPr="00B42C8C">
              <w:rPr>
                <w:rStyle w:val="Siln"/>
                <w:rFonts w:ascii="Arial Narrow" w:hAnsi="Arial Narrow" w:cstheme="minorHAnsi"/>
              </w:rPr>
              <w:t>V uplatňovanom systéme kontroly riadiaceho a sprostredkovateľského orgánu nebolo preukázané zabezpečenie overovania niektorých podmienok poskytnutia príspevku,</w:t>
            </w:r>
            <w:r w:rsidRPr="00B42C8C">
              <w:rPr>
                <w:b/>
              </w:rPr>
              <w:t xml:space="preserve"> </w:t>
            </w:r>
            <w:r w:rsidRPr="00B42C8C">
              <w:rPr>
                <w:rStyle w:val="Siln"/>
                <w:rFonts w:ascii="Arial Narrow" w:hAnsi="Arial Narrow" w:cstheme="minorHAnsi"/>
              </w:rPr>
              <w:t>vo viacerých prípadoch neboli kontrolované dodatky k zmluve s dodávateľom či zhotoviteľom po ich predložení prijímateľom.</w:t>
            </w:r>
          </w:p>
          <w:p w14:paraId="14B21702" w14:textId="2CE93C0F" w:rsidR="007F64A0" w:rsidRPr="0064521C" w:rsidRDefault="007F64A0" w:rsidP="007809AF">
            <w:pPr>
              <w:pStyle w:val="Zarkazkladnhotextu"/>
              <w:ind w:left="0"/>
              <w:jc w:val="both"/>
              <w:rPr>
                <w:kern w:val="20"/>
                <w:sz w:val="20"/>
                <w:lang w:eastAsia="ja-JP"/>
              </w:rPr>
            </w:pPr>
            <w:r w:rsidRPr="001246C0">
              <w:rPr>
                <w:rStyle w:val="Siln"/>
                <w:rFonts w:cstheme="minorHAnsi"/>
              </w:rPr>
              <w:t xml:space="preserve">U oboch kontrolovaných ministerstiev upozornili kontrolóri na nedodržanie lehôt stanovených v riadiacej dokumentácii a to najmä pri výkone kontroly </w:t>
            </w:r>
            <w:r w:rsidR="00A247EB">
              <w:rPr>
                <w:rStyle w:val="Siln"/>
                <w:rFonts w:cstheme="minorHAnsi"/>
              </w:rPr>
              <w:t>VO</w:t>
            </w:r>
            <w:r w:rsidRPr="001246C0">
              <w:rPr>
                <w:rStyle w:val="Siln"/>
                <w:rFonts w:cstheme="minorHAnsi"/>
              </w:rPr>
              <w:t>. Dlhé lehoty v rezorte hospodárstva sa týkali aj finančnej kontroly na mieste</w:t>
            </w:r>
            <w:r w:rsidR="00A247EB">
              <w:rPr>
                <w:rStyle w:val="Siln"/>
                <w:rFonts w:cstheme="minorHAnsi"/>
              </w:rPr>
              <w:t>,</w:t>
            </w:r>
            <w:r w:rsidRPr="001246C0">
              <w:rPr>
                <w:rStyle w:val="Siln"/>
                <w:rFonts w:cstheme="minorHAnsi"/>
              </w:rPr>
              <w:t xml:space="preserve"> od jej vykonania </w:t>
            </w:r>
            <w:r w:rsidR="007809AF">
              <w:rPr>
                <w:rStyle w:val="Siln"/>
                <w:rFonts w:cstheme="minorHAnsi"/>
              </w:rPr>
              <w:t xml:space="preserve">až </w:t>
            </w:r>
            <w:r w:rsidRPr="001246C0">
              <w:rPr>
                <w:rStyle w:val="Siln"/>
                <w:rFonts w:cstheme="minorHAnsi"/>
              </w:rPr>
              <w:t xml:space="preserve">po spracovanie správy z kontroly. Nedodržiavanie lehôt riadiacim alebo sprostredkovateľským orgánom pritom spomaľuje realizáciu projektov aj čerpanie finančných prostriedkov. Zvyšuje sa </w:t>
            </w:r>
            <w:r w:rsidR="007809AF">
              <w:rPr>
                <w:rStyle w:val="Siln"/>
                <w:rFonts w:cstheme="minorHAnsi"/>
              </w:rPr>
              <w:t>zároveň</w:t>
            </w:r>
            <w:r>
              <w:rPr>
                <w:rStyle w:val="Siln"/>
                <w:rFonts w:cstheme="minorHAnsi"/>
              </w:rPr>
              <w:t xml:space="preserve"> riziko nesplnenia pravidla N</w:t>
            </w:r>
            <w:r w:rsidRPr="001246C0">
              <w:rPr>
                <w:rStyle w:val="Siln"/>
                <w:rFonts w:cstheme="minorHAnsi"/>
              </w:rPr>
              <w:t xml:space="preserve">+3, teda </w:t>
            </w:r>
            <w:r w:rsidR="007809AF">
              <w:rPr>
                <w:rStyle w:val="Siln"/>
                <w:rFonts w:cstheme="minorHAnsi"/>
              </w:rPr>
              <w:t>riziko nevyčerpania</w:t>
            </w:r>
            <w:r w:rsidRPr="001246C0">
              <w:rPr>
                <w:rStyle w:val="Siln"/>
                <w:rFonts w:cstheme="minorHAnsi"/>
              </w:rPr>
              <w:t xml:space="preserve"> stanovených finančných prostriedkov a ich následné prepadnutie (dekomitment).</w:t>
            </w:r>
          </w:p>
        </w:tc>
      </w:tr>
      <w:tr w:rsidR="007F64A0" w:rsidRPr="00CC2973" w14:paraId="700C6011" w14:textId="77777777" w:rsidTr="00303737">
        <w:tc>
          <w:tcPr>
            <w:tcW w:w="5000" w:type="pct"/>
            <w:shd w:val="clear" w:color="auto" w:fill="95B3D7" w:themeFill="accent1" w:themeFillTint="99"/>
          </w:tcPr>
          <w:p w14:paraId="65030488" w14:textId="45B9C8CC" w:rsidR="007F64A0" w:rsidRDefault="007F64A0" w:rsidP="00CA4572">
            <w:pPr>
              <w:pStyle w:val="Zarkazkladnhotextu"/>
              <w:ind w:left="0"/>
              <w:jc w:val="both"/>
              <w:rPr>
                <w:kern w:val="20"/>
                <w:lang w:eastAsia="ja-JP"/>
              </w:rPr>
            </w:pPr>
            <w:r w:rsidRPr="00EB1C15">
              <w:rPr>
                <w:kern w:val="20"/>
                <w:lang w:eastAsia="ja-JP"/>
              </w:rPr>
              <w:lastRenderedPageBreak/>
              <w:t xml:space="preserve">NKÚ SR na </w:t>
            </w:r>
            <w:r>
              <w:rPr>
                <w:kern w:val="20"/>
                <w:lang w:eastAsia="ja-JP"/>
              </w:rPr>
              <w:t xml:space="preserve">niekoľkých ministerstvách vykonal </w:t>
            </w:r>
            <w:r w:rsidR="00A247EB">
              <w:rPr>
                <w:kern w:val="20"/>
                <w:lang w:eastAsia="ja-JP"/>
              </w:rPr>
              <w:t xml:space="preserve">rýchlu </w:t>
            </w:r>
            <w:r>
              <w:rPr>
                <w:kern w:val="20"/>
                <w:lang w:eastAsia="ja-JP"/>
              </w:rPr>
              <w:t xml:space="preserve">kontrolu záverečných účtov kapitol a niektoré z jeho zistení </w:t>
            </w:r>
            <w:r w:rsidR="00A247EB">
              <w:rPr>
                <w:kern w:val="20"/>
                <w:lang w:eastAsia="ja-JP"/>
              </w:rPr>
              <w:t xml:space="preserve">sa týkali aj čerpania </w:t>
            </w:r>
            <w:r w:rsidR="00C45E0A">
              <w:rPr>
                <w:kern w:val="20"/>
                <w:lang w:eastAsia="ja-JP"/>
              </w:rPr>
              <w:t xml:space="preserve">fondov </w:t>
            </w:r>
            <w:r w:rsidR="00A247EB">
              <w:rPr>
                <w:kern w:val="20"/>
                <w:lang w:eastAsia="ja-JP"/>
              </w:rPr>
              <w:t>EÚ.</w:t>
            </w:r>
          </w:p>
          <w:p w14:paraId="3FD1C679" w14:textId="72DBBC39" w:rsidR="007F64A0" w:rsidRPr="00EB1C15" w:rsidRDefault="007F64A0" w:rsidP="00CA4572">
            <w:pPr>
              <w:pStyle w:val="Zarkazkladnhotextu"/>
              <w:ind w:left="0"/>
              <w:jc w:val="both"/>
              <w:rPr>
                <w:kern w:val="20"/>
                <w:lang w:eastAsia="ja-JP"/>
              </w:rPr>
            </w:pPr>
            <w:r>
              <w:rPr>
                <w:kern w:val="20"/>
                <w:lang w:eastAsia="ja-JP"/>
              </w:rPr>
              <w:t xml:space="preserve">Na </w:t>
            </w:r>
            <w:r w:rsidRPr="00A247EB">
              <w:rPr>
                <w:b/>
                <w:kern w:val="20"/>
                <w:lang w:eastAsia="ja-JP"/>
              </w:rPr>
              <w:t>MV SR bolo zistené, že napriek zvýšenému čerpaniu oproti minulým rokom existujú stále dôvody nízkeho čerpania</w:t>
            </w:r>
            <w:r w:rsidRPr="00EB1C15">
              <w:rPr>
                <w:kern w:val="20"/>
                <w:lang w:eastAsia="ja-JP"/>
              </w:rPr>
              <w:t xml:space="preserve">. Medzi najčastejšie dôvody v roku 2019 patrili: </w:t>
            </w:r>
          </w:p>
          <w:p w14:paraId="6DB7ED77" w14:textId="2BFEEDEE" w:rsidR="007F64A0" w:rsidRPr="00EB1C15" w:rsidRDefault="007F64A0" w:rsidP="00A247EB">
            <w:pPr>
              <w:pStyle w:val="Odsekzoznamu"/>
              <w:numPr>
                <w:ilvl w:val="0"/>
                <w:numId w:val="16"/>
              </w:numPr>
              <w:contextualSpacing w:val="0"/>
              <w:jc w:val="both"/>
              <w:rPr>
                <w:rFonts w:eastAsia="Times New Roman" w:cs="Times New Roman"/>
                <w:kern w:val="20"/>
                <w:lang w:eastAsia="ja-JP"/>
              </w:rPr>
            </w:pPr>
            <w:r w:rsidRPr="00EB1C15">
              <w:rPr>
                <w:rFonts w:eastAsia="Times New Roman" w:cs="Times New Roman"/>
                <w:kern w:val="20"/>
                <w:lang w:eastAsia="ja-JP"/>
              </w:rPr>
              <w:t>v OP E</w:t>
            </w:r>
            <w:r w:rsidR="001630E5">
              <w:rPr>
                <w:rFonts w:eastAsia="Times New Roman" w:cs="Times New Roman"/>
                <w:kern w:val="20"/>
                <w:lang w:eastAsia="ja-JP"/>
              </w:rPr>
              <w:t>fektívna verejná správa</w:t>
            </w:r>
            <w:r w:rsidRPr="00EB1C15">
              <w:rPr>
                <w:rFonts w:eastAsia="Times New Roman" w:cs="Times New Roman"/>
                <w:kern w:val="20"/>
                <w:lang w:eastAsia="ja-JP"/>
              </w:rPr>
              <w:t xml:space="preserve"> išlo o nepredkladanie dostatočného objemu oprávnených výdavkov v žiadostiach o platby zo strany prijímateľov, zdĺhavý proces VO, chybovosť podpornej dokumentácie žiadostí o platbu, čím sa predlžujú  lehoty na  výkon administratívnej finančnej kontr</w:t>
            </w:r>
            <w:r w:rsidR="00A247EB">
              <w:rPr>
                <w:rFonts w:eastAsia="Times New Roman" w:cs="Times New Roman"/>
                <w:kern w:val="20"/>
                <w:lang w:eastAsia="ja-JP"/>
              </w:rPr>
              <w:t>oly</w:t>
            </w:r>
          </w:p>
          <w:p w14:paraId="441DE272" w14:textId="532603AA" w:rsidR="007F64A0" w:rsidRPr="00EB1C15" w:rsidRDefault="007F64A0" w:rsidP="00A247EB">
            <w:pPr>
              <w:pStyle w:val="Odsekzoznamu"/>
              <w:numPr>
                <w:ilvl w:val="0"/>
                <w:numId w:val="16"/>
              </w:numPr>
              <w:contextualSpacing w:val="0"/>
              <w:jc w:val="both"/>
              <w:rPr>
                <w:rFonts w:eastAsia="Times New Roman" w:cs="Times New Roman"/>
                <w:kern w:val="20"/>
                <w:lang w:eastAsia="ja-JP"/>
              </w:rPr>
            </w:pPr>
            <w:r w:rsidRPr="00EB1C15">
              <w:rPr>
                <w:rFonts w:eastAsia="Times New Roman" w:cs="Times New Roman"/>
                <w:kern w:val="20"/>
                <w:lang w:eastAsia="ja-JP"/>
              </w:rPr>
              <w:t>v OP K</w:t>
            </w:r>
            <w:r w:rsidR="001630E5">
              <w:rPr>
                <w:rFonts w:eastAsia="Times New Roman" w:cs="Times New Roman"/>
                <w:kern w:val="20"/>
                <w:lang w:eastAsia="ja-JP"/>
              </w:rPr>
              <w:t>valita životného prostredia</w:t>
            </w:r>
            <w:r w:rsidRPr="00EB1C15">
              <w:rPr>
                <w:rFonts w:eastAsia="Times New Roman" w:cs="Times New Roman"/>
                <w:kern w:val="20"/>
                <w:lang w:eastAsia="ja-JP"/>
              </w:rPr>
              <w:t xml:space="preserve"> dôvodom nízkeho čerpania boli komplikované postupy pri VO, hlavne pri nadlimitných zákazkách</w:t>
            </w:r>
            <w:r w:rsidR="00C45E0A">
              <w:rPr>
                <w:rFonts w:eastAsia="Times New Roman" w:cs="Times New Roman"/>
                <w:kern w:val="20"/>
                <w:lang w:val="en-US" w:eastAsia="ja-JP"/>
              </w:rPr>
              <w:t>;</w:t>
            </w:r>
            <w:r w:rsidRPr="00EB1C15">
              <w:rPr>
                <w:rFonts w:eastAsia="Times New Roman" w:cs="Times New Roman"/>
                <w:kern w:val="20"/>
                <w:lang w:eastAsia="ja-JP"/>
              </w:rPr>
              <w:t xml:space="preserve"> </w:t>
            </w:r>
            <w:r w:rsidR="00C45E0A">
              <w:rPr>
                <w:rFonts w:eastAsia="Times New Roman" w:cs="Times New Roman"/>
                <w:kern w:val="20"/>
                <w:lang w:eastAsia="ja-JP"/>
              </w:rPr>
              <w:t>l</w:t>
            </w:r>
            <w:r w:rsidRPr="00EB1C15">
              <w:rPr>
                <w:rFonts w:eastAsia="Times New Roman" w:cs="Times New Roman"/>
                <w:kern w:val="20"/>
                <w:lang w:eastAsia="ja-JP"/>
              </w:rPr>
              <w:t>en samotný proces VO so všetkými typmi kontrol (vrátane kontroly ÚVO) predstavoval min. 12 mesiacov a k tomu bolo ešte potrebné pripočítať lehoty dodania, čo pri špecifických typoch výdavkov za túto časť OP predstavovalo od 6 - 18 mesiacov</w:t>
            </w:r>
            <w:r w:rsidR="00C45E0A">
              <w:rPr>
                <w:rFonts w:eastAsia="Times New Roman" w:cs="Times New Roman"/>
                <w:kern w:val="20"/>
                <w:lang w:eastAsia="ja-JP"/>
              </w:rPr>
              <w:t>;</w:t>
            </w:r>
            <w:r w:rsidRPr="00EB1C15">
              <w:rPr>
                <w:rFonts w:eastAsia="Times New Roman" w:cs="Times New Roman"/>
                <w:kern w:val="20"/>
                <w:lang w:eastAsia="ja-JP"/>
              </w:rPr>
              <w:t xml:space="preserve"> </w:t>
            </w:r>
            <w:r w:rsidR="00C45E0A">
              <w:rPr>
                <w:rFonts w:eastAsia="Times New Roman" w:cs="Times New Roman"/>
                <w:kern w:val="20"/>
                <w:lang w:eastAsia="ja-JP"/>
              </w:rPr>
              <w:t>z</w:t>
            </w:r>
            <w:r w:rsidRPr="00EB1C15">
              <w:rPr>
                <w:rFonts w:eastAsia="Times New Roman" w:cs="Times New Roman"/>
                <w:kern w:val="20"/>
                <w:lang w:eastAsia="ja-JP"/>
              </w:rPr>
              <w:t xml:space="preserve"> tohto pohľadu časový údaj od schválenia projektu až po jeho dodanie v niektorých prípado</w:t>
            </w:r>
            <w:r w:rsidR="00C45E0A">
              <w:rPr>
                <w:rFonts w:eastAsia="Times New Roman" w:cs="Times New Roman"/>
                <w:kern w:val="20"/>
                <w:lang w:eastAsia="ja-JP"/>
              </w:rPr>
              <w:t>ch predstavoval viac ako 2 roky</w:t>
            </w:r>
          </w:p>
          <w:p w14:paraId="4984FEC3" w14:textId="46944472" w:rsidR="007F64A0" w:rsidRDefault="007F64A0" w:rsidP="00A247EB">
            <w:pPr>
              <w:pStyle w:val="Odsekzoznamu"/>
              <w:numPr>
                <w:ilvl w:val="0"/>
                <w:numId w:val="16"/>
              </w:numPr>
              <w:contextualSpacing w:val="0"/>
              <w:jc w:val="both"/>
              <w:rPr>
                <w:rFonts w:eastAsia="Times New Roman" w:cs="Times New Roman"/>
                <w:kern w:val="20"/>
                <w:lang w:eastAsia="ja-JP"/>
              </w:rPr>
            </w:pPr>
            <w:r w:rsidRPr="00EB1C15">
              <w:rPr>
                <w:rFonts w:eastAsia="Times New Roman" w:cs="Times New Roman"/>
                <w:kern w:val="20"/>
                <w:lang w:eastAsia="ja-JP"/>
              </w:rPr>
              <w:t>v OP Ľ</w:t>
            </w:r>
            <w:r w:rsidR="001630E5">
              <w:rPr>
                <w:rFonts w:eastAsia="Times New Roman" w:cs="Times New Roman"/>
                <w:kern w:val="20"/>
                <w:lang w:eastAsia="ja-JP"/>
              </w:rPr>
              <w:t>udské zdroje</w:t>
            </w:r>
            <w:r w:rsidRPr="00EB1C15">
              <w:rPr>
                <w:rFonts w:eastAsia="Times New Roman" w:cs="Times New Roman"/>
                <w:kern w:val="20"/>
                <w:lang w:eastAsia="ja-JP"/>
              </w:rPr>
              <w:t xml:space="preserve"> </w:t>
            </w:r>
            <w:r w:rsidR="00C45E0A">
              <w:rPr>
                <w:rFonts w:eastAsia="Times New Roman" w:cs="Times New Roman"/>
                <w:kern w:val="20"/>
                <w:lang w:eastAsia="ja-JP"/>
              </w:rPr>
              <w:t xml:space="preserve">to boli: </w:t>
            </w:r>
            <w:r w:rsidRPr="00EB1C15">
              <w:rPr>
                <w:rFonts w:eastAsia="Times New Roman" w:cs="Times New Roman"/>
                <w:kern w:val="20"/>
                <w:lang w:eastAsia="ja-JP"/>
              </w:rPr>
              <w:t>nízke čerpanie spôsobené prísnym nastavením podmienok výziev na začiatku z pohľadu benchmarkov/finančných limitov, nízka úspešnosť podávaných žiadostí o NFP (cca 50</w:t>
            </w:r>
            <w:r w:rsidR="00A247EB">
              <w:rPr>
                <w:rFonts w:eastAsia="Times New Roman" w:cs="Times New Roman"/>
                <w:kern w:val="20"/>
                <w:lang w:eastAsia="ja-JP"/>
              </w:rPr>
              <w:t xml:space="preserve"> </w:t>
            </w:r>
            <w:r w:rsidRPr="00EB1C15">
              <w:rPr>
                <w:rFonts w:eastAsia="Times New Roman" w:cs="Times New Roman"/>
                <w:kern w:val="20"/>
                <w:lang w:eastAsia="ja-JP"/>
              </w:rPr>
              <w:t>%) z dôvodu nízkej kvality projektov a prísnejšie nastavených podmienok, zdĺhavý proces VO,  potreba niekoľkonásobného opakovania procesu VO pri veľkej časti projektov, vysoká chybovosť, predlžovanie harmonogramu realizácie projektov najmä z dôvodu meškajúceho VO.</w:t>
            </w:r>
          </w:p>
          <w:p w14:paraId="251AE538" w14:textId="7EEB1A97" w:rsidR="007F64A0" w:rsidRDefault="007F64A0" w:rsidP="00CA4572">
            <w:pPr>
              <w:spacing w:before="120" w:after="120"/>
              <w:jc w:val="both"/>
            </w:pPr>
            <w:r>
              <w:rPr>
                <w:rFonts w:eastAsia="Times New Roman" w:cs="Times New Roman"/>
                <w:kern w:val="20"/>
                <w:lang w:eastAsia="ja-JP"/>
              </w:rPr>
              <w:t xml:space="preserve">V rámci kontroly ZÚ na </w:t>
            </w:r>
            <w:r w:rsidRPr="00AC6AB4">
              <w:rPr>
                <w:rFonts w:eastAsia="Times New Roman" w:cs="Times New Roman"/>
                <w:b/>
                <w:kern w:val="20"/>
                <w:lang w:eastAsia="ja-JP"/>
              </w:rPr>
              <w:t>M</w:t>
            </w:r>
            <w:r>
              <w:rPr>
                <w:rFonts w:eastAsia="Times New Roman" w:cs="Times New Roman"/>
                <w:b/>
                <w:kern w:val="20"/>
                <w:lang w:eastAsia="ja-JP"/>
              </w:rPr>
              <w:t xml:space="preserve">Z SR </w:t>
            </w:r>
            <w:r>
              <w:rPr>
                <w:rFonts w:eastAsia="Times New Roman" w:cs="Times New Roman"/>
                <w:kern w:val="20"/>
                <w:lang w:eastAsia="ja-JP"/>
              </w:rPr>
              <w:t>bol kontrolovaný operačný program IROP 2014</w:t>
            </w:r>
            <w:r w:rsidR="00A247EB">
              <w:rPr>
                <w:rFonts w:eastAsia="Times New Roman" w:cs="Times New Roman"/>
                <w:kern w:val="20"/>
                <w:lang w:eastAsia="ja-JP"/>
              </w:rPr>
              <w:t xml:space="preserve"> </w:t>
            </w:r>
            <w:r>
              <w:rPr>
                <w:rFonts w:eastAsia="Times New Roman" w:cs="Times New Roman"/>
                <w:kern w:val="20"/>
                <w:lang w:eastAsia="ja-JP"/>
              </w:rPr>
              <w:t>-</w:t>
            </w:r>
            <w:r w:rsidR="00A247EB">
              <w:rPr>
                <w:rFonts w:eastAsia="Times New Roman" w:cs="Times New Roman"/>
                <w:kern w:val="20"/>
                <w:lang w:eastAsia="ja-JP"/>
              </w:rPr>
              <w:t xml:space="preserve"> </w:t>
            </w:r>
            <w:r>
              <w:rPr>
                <w:rFonts w:eastAsia="Times New Roman" w:cs="Times New Roman"/>
                <w:kern w:val="20"/>
                <w:lang w:eastAsia="ja-JP"/>
              </w:rPr>
              <w:t xml:space="preserve">2020, pri ktorom je </w:t>
            </w:r>
            <w:r>
              <w:t>kontrolovaný subjekt sprostredkovateľským orgánom pre prioritnú</w:t>
            </w:r>
            <w:r w:rsidRPr="0091266E">
              <w:t xml:space="preserve"> os č. 2 </w:t>
            </w:r>
            <w:r>
              <w:t>„</w:t>
            </w:r>
            <w:r w:rsidRPr="0091266E">
              <w:t>Ľahší prístup k efektívnym a kvalitnejším verejným službám</w:t>
            </w:r>
            <w:r>
              <w:t>.“ V rámci nej implementuje špecifický cieľ 2.1.2 „Modernizácia zdravotníckej infraštruktúry</w:t>
            </w:r>
            <w:r w:rsidRPr="0091266E">
              <w:t xml:space="preserve"> za účelom integrácie primárnej zdravotnej starostlivosti</w:t>
            </w:r>
            <w:r>
              <w:t>“ a  špecifický cieľ 2.1.3 „Modernizácia infraštruktúry</w:t>
            </w:r>
            <w:r w:rsidRPr="0091266E">
              <w:t xml:space="preserve"> ústavných zariadení poskytujúcich akútnu zdravotnú starostlivosť, za účelom zvýšenia ich produktivity a</w:t>
            </w:r>
            <w:r>
              <w:t> </w:t>
            </w:r>
            <w:r w:rsidRPr="0091266E">
              <w:t>efektívnosti</w:t>
            </w:r>
            <w:r>
              <w:t xml:space="preserve">“. </w:t>
            </w:r>
            <w:r w:rsidR="00A247EB">
              <w:t>Zistenia sú nasledovné</w:t>
            </w:r>
            <w:r w:rsidR="00C45E0A">
              <w:t>.</w:t>
            </w:r>
          </w:p>
          <w:p w14:paraId="6D543C1A" w14:textId="7E6FB43D" w:rsidR="007F64A0" w:rsidRPr="00A247EB" w:rsidRDefault="00336064" w:rsidP="00A247EB">
            <w:pPr>
              <w:pStyle w:val="Odsekzoznamu"/>
              <w:numPr>
                <w:ilvl w:val="0"/>
                <w:numId w:val="17"/>
              </w:numPr>
              <w:spacing w:before="120" w:after="120"/>
              <w:jc w:val="both"/>
              <w:rPr>
                <w:rFonts w:eastAsia="Times New Roman" w:cs="Times New Roman"/>
                <w:kern w:val="20"/>
                <w:lang w:eastAsia="ja-JP"/>
              </w:rPr>
            </w:pPr>
            <w:r>
              <w:t>V</w:t>
            </w:r>
            <w:r w:rsidRPr="002054AD">
              <w:t>ýzv</w:t>
            </w:r>
            <w:r>
              <w:t>y</w:t>
            </w:r>
            <w:r w:rsidRPr="002054AD">
              <w:t xml:space="preserve"> z rok</w:t>
            </w:r>
            <w:r>
              <w:t>u</w:t>
            </w:r>
            <w:r w:rsidRPr="002054AD">
              <w:t xml:space="preserve"> 2017 sa prejavil</w:t>
            </w:r>
            <w:r>
              <w:t>i</w:t>
            </w:r>
            <w:r w:rsidRPr="002054AD">
              <w:t xml:space="preserve"> v kontrahovaní a realizácii v rokoch 2018 a 2019, keď sa vyčerpalo 97,2 % finančných prostriedkov, avšak ďalšie výzvy</w:t>
            </w:r>
            <w:r>
              <w:t xml:space="preserve"> vyhlásené</w:t>
            </w:r>
            <w:r w:rsidRPr="002054AD">
              <w:t xml:space="preserve"> v rokoch 2018 a 2019 boli skontrahované a realizované iba </w:t>
            </w:r>
            <w:r w:rsidR="00C45E0A">
              <w:t>v rozsahu</w:t>
            </w:r>
            <w:r w:rsidRPr="002054AD">
              <w:t xml:space="preserve"> približne 3 %, teda vzniká riziko nedočerpania fondov. </w:t>
            </w:r>
            <w:r w:rsidR="007F64A0" w:rsidRPr="00563494">
              <w:t xml:space="preserve">V tejto súvislosti </w:t>
            </w:r>
            <w:r w:rsidR="00A247EB">
              <w:t xml:space="preserve">treba </w:t>
            </w:r>
            <w:r w:rsidR="007F64A0" w:rsidRPr="00563494">
              <w:t>pouk</w:t>
            </w:r>
            <w:r w:rsidR="00A247EB">
              <w:t>ázať</w:t>
            </w:r>
            <w:r w:rsidR="007F64A0" w:rsidRPr="00563494">
              <w:t xml:space="preserve"> na vysoko rizikový stav v aktivitách subjektu v celom procese implementácie PO č. 2. Rizikovosť nesúvisí s formálnym manažovaním implementácie, ale s vecnými otázkami </w:t>
            </w:r>
            <w:r w:rsidR="00A62CA6">
              <w:t xml:space="preserve">z </w:t>
            </w:r>
            <w:r w:rsidR="007F64A0" w:rsidRPr="00563494">
              <w:t>oblasti rizika.</w:t>
            </w:r>
          </w:p>
          <w:p w14:paraId="5392AB47" w14:textId="4589BF70" w:rsidR="007F64A0" w:rsidRPr="00A247EB" w:rsidRDefault="007F64A0" w:rsidP="00A247EB">
            <w:pPr>
              <w:pStyle w:val="Odsekzoznamu"/>
              <w:numPr>
                <w:ilvl w:val="0"/>
                <w:numId w:val="17"/>
              </w:numPr>
              <w:spacing w:before="120" w:after="120"/>
              <w:jc w:val="both"/>
              <w:rPr>
                <w:rFonts w:eastAsia="Times New Roman" w:cs="Times New Roman"/>
                <w:b/>
                <w:kern w:val="20"/>
                <w:lang w:eastAsia="ja-JP"/>
              </w:rPr>
            </w:pPr>
            <w:r w:rsidRPr="00A247EB">
              <w:rPr>
                <w:rFonts w:cs="Times New Roman"/>
                <w:b/>
              </w:rPr>
              <w:t>Nízka úroveň čerpania v aktuálnej situácii nízkej pripravenosti projektov je vysokým a významným rizikom nesplnenia pravidla N+3.</w:t>
            </w:r>
          </w:p>
          <w:p w14:paraId="6CA82D3E" w14:textId="71966A9A" w:rsidR="007F64A0" w:rsidRDefault="007F64A0" w:rsidP="00CA4572">
            <w:pPr>
              <w:spacing w:before="120" w:after="120"/>
              <w:jc w:val="both"/>
              <w:rPr>
                <w:rFonts w:eastAsia="Times New Roman" w:cs="Times New Roman"/>
                <w:kern w:val="20"/>
                <w:lang w:eastAsia="ja-JP"/>
              </w:rPr>
            </w:pPr>
            <w:r>
              <w:rPr>
                <w:rFonts w:eastAsia="Times New Roman" w:cs="Times New Roman"/>
                <w:kern w:val="20"/>
                <w:lang w:eastAsia="ja-JP"/>
              </w:rPr>
              <w:t xml:space="preserve">Pri kontrole ZÚ na </w:t>
            </w:r>
            <w:r w:rsidRPr="00103379">
              <w:rPr>
                <w:rFonts w:eastAsia="Times New Roman" w:cs="Times New Roman"/>
                <w:b/>
                <w:kern w:val="20"/>
                <w:lang w:eastAsia="ja-JP"/>
              </w:rPr>
              <w:t>M</w:t>
            </w:r>
            <w:r>
              <w:rPr>
                <w:rFonts w:eastAsia="Times New Roman" w:cs="Times New Roman"/>
                <w:b/>
                <w:kern w:val="20"/>
                <w:lang w:eastAsia="ja-JP"/>
              </w:rPr>
              <w:t>ŠVVŠ SR</w:t>
            </w:r>
            <w:r>
              <w:rPr>
                <w:rFonts w:eastAsia="Times New Roman" w:cs="Times New Roman"/>
                <w:kern w:val="20"/>
                <w:lang w:eastAsia="ja-JP"/>
              </w:rPr>
              <w:t xml:space="preserve"> sa NKÚ SR pozrel na dva operačné programy – OP Ľudské zdroje a OP Výskum a inovácie, hlavne s ohľadom na nedočerpané záväzky z rokov 2014</w:t>
            </w:r>
            <w:r w:rsidR="00A247EB">
              <w:rPr>
                <w:rFonts w:eastAsia="Times New Roman" w:cs="Times New Roman"/>
                <w:kern w:val="20"/>
                <w:lang w:eastAsia="ja-JP"/>
              </w:rPr>
              <w:t xml:space="preserve"> </w:t>
            </w:r>
            <w:r>
              <w:rPr>
                <w:rFonts w:eastAsia="Times New Roman" w:cs="Times New Roman"/>
                <w:kern w:val="20"/>
                <w:lang w:eastAsia="ja-JP"/>
              </w:rPr>
              <w:t>-</w:t>
            </w:r>
            <w:r w:rsidR="00A247EB">
              <w:rPr>
                <w:rFonts w:eastAsia="Times New Roman" w:cs="Times New Roman"/>
                <w:kern w:val="20"/>
                <w:lang w:eastAsia="ja-JP"/>
              </w:rPr>
              <w:t xml:space="preserve"> </w:t>
            </w:r>
            <w:r>
              <w:rPr>
                <w:rFonts w:eastAsia="Times New Roman" w:cs="Times New Roman"/>
                <w:kern w:val="20"/>
                <w:lang w:eastAsia="ja-JP"/>
              </w:rPr>
              <w:t>2016 v zmysle pravidla N+3.</w:t>
            </w:r>
          </w:p>
          <w:p w14:paraId="0ADC9664" w14:textId="77777777" w:rsidR="007F64A0" w:rsidRPr="007F64A0" w:rsidRDefault="007F64A0" w:rsidP="00A247EB">
            <w:pPr>
              <w:pStyle w:val="Odsekzoznamu"/>
              <w:numPr>
                <w:ilvl w:val="0"/>
                <w:numId w:val="18"/>
              </w:numPr>
              <w:spacing w:before="120" w:after="120"/>
              <w:jc w:val="both"/>
              <w:rPr>
                <w:rFonts w:eastAsia="Calibri"/>
              </w:rPr>
            </w:pPr>
            <w:r w:rsidRPr="007F64A0">
              <w:rPr>
                <w:rFonts w:eastAsia="Calibri"/>
              </w:rPr>
              <w:lastRenderedPageBreak/>
              <w:t xml:space="preserve">V rámci OP Výskum a inovácie bolo nesplnenie finančného záväzku (dekomitment N+3), t. j. prepadnutie nevyčerpanej sumy z tohto záväzku vo výške </w:t>
            </w:r>
            <w:r w:rsidRPr="007F64A0">
              <w:rPr>
                <w:rFonts w:eastAsia="Calibri"/>
                <w:b/>
              </w:rPr>
              <w:t>108 424 254 eur</w:t>
            </w:r>
            <w:r w:rsidRPr="007F64A0">
              <w:rPr>
                <w:rFonts w:eastAsia="Calibri"/>
              </w:rPr>
              <w:t>. Dekomitment sa týkal rokov 2017 a 2018. V roku 2019 nedošlo k nedočerpaniu záväzku z dôvodu zlúčenia OP Výskum a inovácie s OP Integrovaná infraštruktúra.</w:t>
            </w:r>
          </w:p>
          <w:p w14:paraId="39EA6408" w14:textId="2F469253" w:rsidR="007F64A0" w:rsidRPr="007F64A0" w:rsidRDefault="007F64A0" w:rsidP="00A62CA6">
            <w:pPr>
              <w:pStyle w:val="Odsekzoznamu"/>
              <w:numPr>
                <w:ilvl w:val="0"/>
                <w:numId w:val="18"/>
              </w:numPr>
              <w:spacing w:before="120" w:after="120"/>
              <w:jc w:val="both"/>
              <w:rPr>
                <w:rFonts w:eastAsia="Calibri"/>
              </w:rPr>
            </w:pPr>
            <w:r w:rsidRPr="007F64A0">
              <w:rPr>
                <w:rFonts w:eastAsia="Calibri"/>
              </w:rPr>
              <w:t xml:space="preserve">V súčasnosti sú na dlžníka MŠVVŠ SR </w:t>
            </w:r>
            <w:r w:rsidRPr="007F64A0">
              <w:rPr>
                <w:rFonts w:eastAsia="Calibri"/>
                <w:b/>
                <w:bCs/>
              </w:rPr>
              <w:t>za OP Ľudské zdroje</w:t>
            </w:r>
            <w:r w:rsidRPr="007F64A0">
              <w:rPr>
                <w:rFonts w:eastAsia="Calibri"/>
              </w:rPr>
              <w:t xml:space="preserve"> vystavené nezrovnalosti v stave „Zistenie nezrovnalosti" v celkovej sume 749 181,45 eur, z toho s do</w:t>
            </w:r>
            <w:r w:rsidR="00A62CA6">
              <w:rPr>
                <w:rFonts w:eastAsia="Calibri"/>
              </w:rPr>
              <w:t>sahom</w:t>
            </w:r>
            <w:r w:rsidRPr="007F64A0">
              <w:rPr>
                <w:rFonts w:eastAsia="Calibri"/>
              </w:rPr>
              <w:t xml:space="preserve"> na rozpočet EÚ vo výške 495 581,88 eur (obe sumy za všetky zdroje - EU, ŠR, vlastné zdroje). Podľa vyjadrenia ministerstva </w:t>
            </w:r>
            <w:r w:rsidRPr="007F64A0">
              <w:rPr>
                <w:rFonts w:eastAsia="Calibri"/>
                <w:b/>
              </w:rPr>
              <w:t>existuje riziko, že suma uhradená zo ŠR za nezrovnalosti v OP Ľudské zdroje môže byť až vo výške 726 327,22 eur.</w:t>
            </w:r>
            <w:r w:rsidRPr="007F64A0">
              <w:rPr>
                <w:sz w:val="20"/>
                <w:szCs w:val="20"/>
              </w:rPr>
              <w:t xml:space="preserve"> </w:t>
            </w:r>
          </w:p>
        </w:tc>
      </w:tr>
    </w:tbl>
    <w:p w14:paraId="45C16560" w14:textId="77777777" w:rsidR="007F64A0" w:rsidRPr="0064521C" w:rsidRDefault="007F64A0" w:rsidP="00CA4572">
      <w:pPr>
        <w:autoSpaceDE w:val="0"/>
        <w:autoSpaceDN w:val="0"/>
        <w:adjustRightInd w:val="0"/>
        <w:spacing w:before="120" w:after="120"/>
        <w:jc w:val="both"/>
        <w:rPr>
          <w:b/>
        </w:rPr>
      </w:pPr>
      <w:r w:rsidRPr="0064521C">
        <w:rPr>
          <w:b/>
        </w:rPr>
        <w:lastRenderedPageBreak/>
        <w:t>Programové obdobie 2021 - 2027</w:t>
      </w:r>
    </w:p>
    <w:p w14:paraId="275AFB34" w14:textId="5E7683B4" w:rsidR="007F64A0" w:rsidRPr="00B42C8C" w:rsidRDefault="007F64A0" w:rsidP="00CA4572">
      <w:pPr>
        <w:autoSpaceDE w:val="0"/>
        <w:autoSpaceDN w:val="0"/>
        <w:adjustRightInd w:val="0"/>
        <w:spacing w:before="120" w:after="120"/>
        <w:jc w:val="both"/>
      </w:pPr>
      <w:r w:rsidRPr="00D530EA">
        <w:rPr>
          <w:rFonts w:cs="Bariol-Light"/>
          <w:color w:val="000000"/>
        </w:rPr>
        <w:t>E</w:t>
      </w:r>
      <w:r w:rsidR="00982E11">
        <w:rPr>
          <w:rFonts w:cs="Bariol-Light"/>
          <w:color w:val="000000"/>
        </w:rPr>
        <w:t>K</w:t>
      </w:r>
      <w:r w:rsidRPr="00D530EA">
        <w:rPr>
          <w:rFonts w:cs="Bariol-Light"/>
          <w:color w:val="000000"/>
        </w:rPr>
        <w:t xml:space="preserve"> v máji 2018 predložila návrh nového viacročného finančného rámca </w:t>
      </w:r>
      <w:r w:rsidRPr="00D530EA">
        <w:rPr>
          <w:rFonts w:cs="Bariol-Light"/>
          <w:b/>
          <w:color w:val="000000"/>
        </w:rPr>
        <w:t>2021 – 2027</w:t>
      </w:r>
      <w:r w:rsidRPr="00D530EA">
        <w:rPr>
          <w:rFonts w:cs="Bariol-Light"/>
          <w:color w:val="000000"/>
        </w:rPr>
        <w:t xml:space="preserve">. Predstavila v ňom svoju víziu o tom, ako by sa </w:t>
      </w:r>
      <w:r w:rsidR="00A247EB">
        <w:rPr>
          <w:rFonts w:cs="Bariol-Light"/>
          <w:color w:val="000000"/>
        </w:rPr>
        <w:t>E</w:t>
      </w:r>
      <w:r w:rsidRPr="00D530EA">
        <w:rPr>
          <w:rFonts w:cs="Bariol-Light"/>
          <w:color w:val="000000"/>
        </w:rPr>
        <w:t xml:space="preserve">Ú mala vysporiadať s výpadkom britských príspevkov a ako zafinancovať riešenie problémov, ktorých význam v predošlých rokoch narástol. Pri politike súdržnosti sú rizikovými prvkami zmeny pri čerpaní fondov, a to navrhovaná </w:t>
      </w:r>
      <w:r w:rsidRPr="00D530EA">
        <w:rPr>
          <w:rFonts w:cs="Bariol-Light"/>
          <w:b/>
          <w:color w:val="000000"/>
        </w:rPr>
        <w:t>znížená miera spolufinancovania</w:t>
      </w:r>
      <w:r w:rsidRPr="00D530EA">
        <w:rPr>
          <w:rFonts w:cs="Bariol-Light"/>
          <w:color w:val="000000"/>
        </w:rPr>
        <w:t xml:space="preserve"> E</w:t>
      </w:r>
      <w:r w:rsidR="00982E11">
        <w:rPr>
          <w:rFonts w:cs="Bariol-Light"/>
          <w:color w:val="000000"/>
        </w:rPr>
        <w:t>ŠIF</w:t>
      </w:r>
      <w:r w:rsidRPr="00D530EA">
        <w:rPr>
          <w:rFonts w:cs="Bariol-Light"/>
          <w:color w:val="000000"/>
        </w:rPr>
        <w:t xml:space="preserve"> z rozpočtu EÚ zo súčasných 85 % na navrhovaných 70 % pre menej rozvinuté regióny (všetky regióny SR okrem Bratislavského kraja) a Kohézny fond, pričom pre prechodné regióny by išlo o zníženie zo 60 % na 55 %, pre rozvinutejšie regióny z 50 % na 40 %. EK navrhuje pre obdobie 2021 – 2027 (s čiastočnou výnimkou pre prvý rok) uplatňovať pravidlo zrušenia záväzkov </w:t>
      </w:r>
      <w:r w:rsidRPr="00D530EA">
        <w:rPr>
          <w:rFonts w:cs="Bariol-Light"/>
          <w:b/>
          <w:color w:val="000000"/>
        </w:rPr>
        <w:t>N+2, namiesto súčasného N+3</w:t>
      </w:r>
      <w:r w:rsidRPr="00D530EA">
        <w:rPr>
          <w:rFonts w:cs="Bariol-Light"/>
          <w:color w:val="000000"/>
        </w:rPr>
        <w:t>, čo môže pre SR znamenať zvýšenie rizika nevyužitia a vrátenia prostriedkov do rozpočtu EÚ.</w:t>
      </w:r>
      <w:r w:rsidRPr="00D530EA">
        <w:t xml:space="preserve"> EK t</w:t>
      </w:r>
      <w:r w:rsidRPr="00D530EA">
        <w:rPr>
          <w:rFonts w:cs="Bariol-Light"/>
          <w:color w:val="000000"/>
        </w:rPr>
        <w:t xml:space="preserve">aktiež navrhuje </w:t>
      </w:r>
      <w:r w:rsidRPr="00D530EA">
        <w:rPr>
          <w:rFonts w:cs="Bariol-Light"/>
          <w:b/>
          <w:color w:val="000000"/>
        </w:rPr>
        <w:t>zníženie výšky zálohových platieb z EK</w:t>
      </w:r>
      <w:r w:rsidRPr="00D530EA">
        <w:rPr>
          <w:rFonts w:cs="Bariol-Light"/>
          <w:color w:val="000000"/>
        </w:rPr>
        <w:t xml:space="preserve">, čo bude znamenať pokles o 2,948 mld. </w:t>
      </w:r>
      <w:r w:rsidR="0039341A">
        <w:rPr>
          <w:rFonts w:cs="Bariol-Light"/>
          <w:color w:val="000000"/>
        </w:rPr>
        <w:t>eur</w:t>
      </w:r>
      <w:r w:rsidRPr="00D530EA">
        <w:rPr>
          <w:rFonts w:cs="Bariol-Light"/>
          <w:color w:val="000000"/>
        </w:rPr>
        <w:t xml:space="preserve"> oproti programovému obdobiu 2014 – 2020. Z tohto dôvodu sa očakáva dočasný možný výpadok úhrad príjmov za prostriedky EÚ v rozpočte SR.</w:t>
      </w:r>
    </w:p>
    <w:p w14:paraId="7E810A71" w14:textId="77777777" w:rsidR="005B3D19" w:rsidRPr="00757E44" w:rsidRDefault="003E1FBB" w:rsidP="007534CE">
      <w:pPr>
        <w:pStyle w:val="Nadpis1"/>
        <w:numPr>
          <w:ilvl w:val="0"/>
          <w:numId w:val="23"/>
        </w:numPr>
      </w:pPr>
      <w:bookmarkStart w:id="61" w:name="_Toc480788339"/>
      <w:bookmarkStart w:id="62" w:name="_Toc43218088"/>
      <w:r w:rsidRPr="0002327B">
        <w:t>H</w:t>
      </w:r>
      <w:r w:rsidR="005B3D19" w:rsidRPr="0002327B">
        <w:t>ospodáreni</w:t>
      </w:r>
      <w:r w:rsidRPr="0002327B">
        <w:t>e</w:t>
      </w:r>
      <w:r w:rsidR="005B3D19" w:rsidRPr="00757E44">
        <w:t xml:space="preserve"> územnej samosprávy</w:t>
      </w:r>
      <w:bookmarkEnd w:id="61"/>
      <w:bookmarkEnd w:id="62"/>
    </w:p>
    <w:bookmarkEnd w:id="0"/>
    <w:bookmarkEnd w:id="1"/>
    <w:bookmarkEnd w:id="2"/>
    <w:p w14:paraId="56E82278" w14:textId="00135445" w:rsidR="0084732D" w:rsidRPr="0084732D" w:rsidRDefault="0084732D" w:rsidP="00CA4572">
      <w:pPr>
        <w:spacing w:before="60" w:after="60"/>
        <w:jc w:val="both"/>
        <w:rPr>
          <w:rFonts w:eastAsia="Times New Roman" w:cs="Times New Roman"/>
          <w:szCs w:val="24"/>
          <w:lang w:eastAsia="sk-SK"/>
        </w:rPr>
      </w:pPr>
      <w:r w:rsidRPr="0084732D">
        <w:rPr>
          <w:rFonts w:eastAsia="Calibri" w:cs="Times New Roman"/>
        </w:rPr>
        <w:t xml:space="preserve">Hospodárenie územnej samosprávy (VÚC a obce) dosiahlo na hotovostnej báze v roku 2019 </w:t>
      </w:r>
      <w:r w:rsidRPr="0084732D">
        <w:rPr>
          <w:rFonts w:eastAsia="Calibri" w:cs="Times New Roman"/>
          <w:b/>
        </w:rPr>
        <w:t xml:space="preserve">výrazný prebytok </w:t>
      </w:r>
      <w:r w:rsidRPr="00057F30">
        <w:t>–</w:t>
      </w:r>
      <w:r w:rsidRPr="0084732D">
        <w:rPr>
          <w:rFonts w:eastAsia="Calibri" w:cs="Times New Roman"/>
          <w:b/>
        </w:rPr>
        <w:t xml:space="preserve"> 640 574  tis. eur</w:t>
      </w:r>
      <w:r w:rsidRPr="0084732D">
        <w:rPr>
          <w:rFonts w:eastAsia="Calibri" w:cs="Times New Roman"/>
        </w:rPr>
        <w:t xml:space="preserve">. VÚC vykázali prebytok vo výške 229 284 tis. eur, </w:t>
      </w:r>
      <w:r w:rsidR="00CC4961">
        <w:rPr>
          <w:rFonts w:eastAsia="Calibri" w:cs="Times New Roman"/>
        </w:rPr>
        <w:t>čo predstavuje 8,8 % nárast oproti roku 2018</w:t>
      </w:r>
      <w:r w:rsidR="00CC4961">
        <w:rPr>
          <w:rFonts w:eastAsia="Calibri" w:cs="Times New Roman"/>
          <w:lang w:val="en-US"/>
        </w:rPr>
        <w:t xml:space="preserve">; </w:t>
      </w:r>
      <w:r w:rsidRPr="0084732D">
        <w:rPr>
          <w:rFonts w:eastAsia="Calibri" w:cs="Times New Roman"/>
        </w:rPr>
        <w:t>prebytok obcí bol 411 290 tis. eur</w:t>
      </w:r>
      <w:r w:rsidR="00CC4961">
        <w:rPr>
          <w:rFonts w:eastAsia="Calibri" w:cs="Times New Roman"/>
        </w:rPr>
        <w:t>, vzrástol medziročne o 9,7 %</w:t>
      </w:r>
      <w:r w:rsidRPr="0084732D">
        <w:rPr>
          <w:rFonts w:eastAsia="Calibri" w:cs="Times New Roman"/>
        </w:rPr>
        <w:t xml:space="preserve">. Na prebytku sa podieľali vyššie daňové príjmy oproti schválenému rozpočtu. Rovnako sa na jeho náraste podieľali aj finančné operácie. Plnenie finančných operácií na strane príjmov bolo v porovnaní so schváleným rozpočtom vyššie (vďaka navýšeniu prostriedkov z predchádzajúcich rokov). </w:t>
      </w:r>
      <w:r w:rsidRPr="0084732D">
        <w:rPr>
          <w:rFonts w:eastAsia="Times New Roman" w:cs="Times New Roman"/>
          <w:szCs w:val="24"/>
          <w:lang w:eastAsia="sk-SK"/>
        </w:rPr>
        <w:t xml:space="preserve">NKÚ SR pripomína, že údaje o hospodárení subjektov územnej samosprávy vychádzajú z finančných výkazov za rok </w:t>
      </w:r>
      <w:r w:rsidR="006D49E3">
        <w:rPr>
          <w:rFonts w:eastAsia="Times New Roman" w:cs="Times New Roman"/>
          <w:szCs w:val="24"/>
          <w:lang w:eastAsia="sk-SK"/>
        </w:rPr>
        <w:t>2019</w:t>
      </w:r>
      <w:r w:rsidRPr="0084732D">
        <w:rPr>
          <w:rFonts w:eastAsia="Times New Roman" w:cs="Times New Roman"/>
          <w:szCs w:val="24"/>
          <w:lang w:eastAsia="sk-SK"/>
        </w:rPr>
        <w:t>, ktoré ešte neprešli schvaľovacím procesom a auditom.</w:t>
      </w:r>
    </w:p>
    <w:p w14:paraId="227F2E9C" w14:textId="77777777" w:rsidR="0084732D" w:rsidRPr="00220EB0" w:rsidRDefault="0084732D" w:rsidP="00CA4572">
      <w:pPr>
        <w:spacing w:before="120"/>
        <w:jc w:val="both"/>
        <w:rPr>
          <w:rFonts w:eastAsia="Times New Roman" w:cs="Times New Roman"/>
          <w:b/>
          <w:i/>
          <w:szCs w:val="24"/>
          <w:lang w:eastAsia="sk-SK"/>
        </w:rPr>
      </w:pPr>
      <w:r w:rsidRPr="00220EB0">
        <w:rPr>
          <w:rFonts w:eastAsia="Times New Roman" w:cs="Times New Roman"/>
          <w:b/>
          <w:i/>
          <w:szCs w:val="24"/>
          <w:lang w:eastAsia="sk-SK"/>
        </w:rPr>
        <w:t>Dlh územnej samosprávy za roky 2017 až 2019</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28"/>
        <w:gridCol w:w="1228"/>
        <w:gridCol w:w="1228"/>
        <w:gridCol w:w="1224"/>
        <w:gridCol w:w="1209"/>
      </w:tblGrid>
      <w:tr w:rsidR="0084732D" w14:paraId="1087494D" w14:textId="77777777" w:rsidTr="006C0682">
        <w:trPr>
          <w:trHeight w:val="227"/>
          <w:tblHeader/>
        </w:trPr>
        <w:tc>
          <w:tcPr>
            <w:tcW w:w="1727" w:type="pct"/>
            <w:shd w:val="clear" w:color="auto" w:fill="0070C0"/>
            <w:vAlign w:val="center"/>
            <w:hideMark/>
          </w:tcPr>
          <w:p w14:paraId="2380313B" w14:textId="75B67B82" w:rsidR="0084732D" w:rsidRPr="002E55A3" w:rsidRDefault="0084732D">
            <w:pPr>
              <w:jc w:val="center"/>
              <w:rPr>
                <w:rFonts w:eastAsia="Times New Roman" w:cs="Times New Roman"/>
                <w:color w:val="FFFFFF"/>
                <w:sz w:val="20"/>
                <w:szCs w:val="20"/>
                <w:lang w:eastAsia="sk-SK"/>
              </w:rPr>
            </w:pPr>
            <w:r w:rsidRPr="002E55A3">
              <w:rPr>
                <w:rFonts w:eastAsia="Times New Roman" w:cs="Times New Roman"/>
                <w:b/>
                <w:color w:val="FFFFFF"/>
                <w:sz w:val="20"/>
                <w:szCs w:val="20"/>
                <w:lang w:eastAsia="sk-SK"/>
              </w:rPr>
              <w:t>Názov ukazovateľa</w:t>
            </w:r>
            <w:r w:rsidR="00AF6067" w:rsidRPr="006C0682">
              <w:rPr>
                <w:rFonts w:eastAsia="Times New Roman" w:cs="Times New Roman"/>
                <w:b/>
                <w:color w:val="FFFFFF"/>
                <w:sz w:val="20"/>
                <w:szCs w:val="20"/>
                <w:lang w:eastAsia="sk-SK"/>
              </w:rPr>
              <w:t xml:space="preserve"> </w:t>
            </w:r>
            <w:r w:rsidRPr="006C0682">
              <w:rPr>
                <w:rFonts w:eastAsia="Times New Roman" w:cs="Times New Roman"/>
                <w:b/>
                <w:color w:val="FFFFFF"/>
                <w:sz w:val="20"/>
                <w:szCs w:val="20"/>
                <w:lang w:eastAsia="sk-SK"/>
              </w:rPr>
              <w:t>(tis. eur)</w:t>
            </w:r>
          </w:p>
        </w:tc>
        <w:tc>
          <w:tcPr>
            <w:tcW w:w="657" w:type="pct"/>
            <w:shd w:val="clear" w:color="auto" w:fill="0070C0"/>
            <w:vAlign w:val="center"/>
          </w:tcPr>
          <w:p w14:paraId="07ED6E8B" w14:textId="77777777" w:rsidR="0084732D" w:rsidRPr="00AF6067" w:rsidRDefault="0084732D">
            <w:pPr>
              <w:jc w:val="center"/>
              <w:rPr>
                <w:rFonts w:eastAsia="Times New Roman" w:cs="Times New Roman"/>
                <w:b/>
                <w:color w:val="FFFFFF"/>
                <w:sz w:val="20"/>
                <w:szCs w:val="20"/>
                <w:lang w:eastAsia="sk-SK"/>
              </w:rPr>
            </w:pPr>
            <w:r w:rsidRPr="00AF6067">
              <w:rPr>
                <w:rFonts w:eastAsia="Times New Roman" w:cs="Times New Roman"/>
                <w:b/>
                <w:color w:val="FFFFFF"/>
                <w:sz w:val="20"/>
                <w:szCs w:val="20"/>
                <w:lang w:eastAsia="sk-SK"/>
              </w:rPr>
              <w:t>2017</w:t>
            </w:r>
          </w:p>
        </w:tc>
        <w:tc>
          <w:tcPr>
            <w:tcW w:w="657" w:type="pct"/>
            <w:shd w:val="clear" w:color="auto" w:fill="0070C0"/>
            <w:vAlign w:val="center"/>
          </w:tcPr>
          <w:p w14:paraId="3AB67043" w14:textId="77777777" w:rsidR="0084732D" w:rsidRPr="00AF6067" w:rsidRDefault="0084732D">
            <w:pPr>
              <w:jc w:val="center"/>
              <w:rPr>
                <w:rFonts w:eastAsia="Times New Roman" w:cs="Times New Roman"/>
                <w:b/>
                <w:color w:val="FFFFFF"/>
                <w:sz w:val="20"/>
                <w:szCs w:val="20"/>
                <w:lang w:eastAsia="sk-SK"/>
              </w:rPr>
            </w:pPr>
            <w:r w:rsidRPr="00AF6067">
              <w:rPr>
                <w:rFonts w:eastAsia="Times New Roman" w:cs="Times New Roman"/>
                <w:b/>
                <w:color w:val="FFFFFF"/>
                <w:sz w:val="20"/>
                <w:szCs w:val="20"/>
                <w:lang w:eastAsia="sk-SK"/>
              </w:rPr>
              <w:t>2018</w:t>
            </w:r>
          </w:p>
        </w:tc>
        <w:tc>
          <w:tcPr>
            <w:tcW w:w="657" w:type="pct"/>
            <w:shd w:val="clear" w:color="auto" w:fill="0070C0"/>
            <w:vAlign w:val="center"/>
          </w:tcPr>
          <w:p w14:paraId="03FD82CD" w14:textId="77777777" w:rsidR="0084732D" w:rsidRPr="00AF6067" w:rsidRDefault="0084732D">
            <w:pPr>
              <w:jc w:val="center"/>
              <w:rPr>
                <w:rFonts w:eastAsia="Times New Roman" w:cs="Times New Roman"/>
                <w:b/>
                <w:color w:val="FFFFFF"/>
                <w:sz w:val="20"/>
                <w:szCs w:val="20"/>
                <w:lang w:eastAsia="sk-SK"/>
              </w:rPr>
            </w:pPr>
            <w:r w:rsidRPr="00AF6067">
              <w:rPr>
                <w:rFonts w:eastAsia="Times New Roman" w:cs="Times New Roman"/>
                <w:b/>
                <w:color w:val="FFFFFF"/>
                <w:sz w:val="20"/>
                <w:szCs w:val="20"/>
                <w:lang w:eastAsia="sk-SK"/>
              </w:rPr>
              <w:t>2019</w:t>
            </w:r>
          </w:p>
        </w:tc>
        <w:tc>
          <w:tcPr>
            <w:tcW w:w="655" w:type="pct"/>
            <w:shd w:val="clear" w:color="auto" w:fill="0070C0"/>
            <w:vAlign w:val="center"/>
          </w:tcPr>
          <w:p w14:paraId="32D5E45C" w14:textId="2FBDACAE" w:rsidR="0084732D" w:rsidRPr="00AF6067" w:rsidRDefault="0072153C">
            <w:pPr>
              <w:jc w:val="center"/>
              <w:rPr>
                <w:rFonts w:eastAsia="Times New Roman" w:cs="Times New Roman"/>
                <w:b/>
                <w:color w:val="FFFFFF"/>
                <w:sz w:val="20"/>
                <w:szCs w:val="20"/>
                <w:lang w:eastAsia="sk-SK"/>
              </w:rPr>
            </w:pPr>
            <w:r w:rsidRPr="00AF6067">
              <w:rPr>
                <w:rFonts w:eastAsia="Times New Roman" w:cs="Times New Roman"/>
                <w:b/>
                <w:color w:val="FFFFFF"/>
                <w:sz w:val="20"/>
                <w:szCs w:val="20"/>
                <w:lang w:eastAsia="sk-SK"/>
              </w:rPr>
              <w:t>Rozdiel</w:t>
            </w:r>
          </w:p>
        </w:tc>
        <w:tc>
          <w:tcPr>
            <w:tcW w:w="647" w:type="pct"/>
            <w:shd w:val="clear" w:color="auto" w:fill="0070C0"/>
            <w:vAlign w:val="center"/>
          </w:tcPr>
          <w:p w14:paraId="53F59CA5" w14:textId="12E21C18" w:rsidR="0084732D" w:rsidRPr="00AF6067" w:rsidRDefault="0084732D">
            <w:pPr>
              <w:jc w:val="center"/>
              <w:rPr>
                <w:rFonts w:eastAsia="Times New Roman" w:cs="Times New Roman"/>
                <w:b/>
                <w:color w:val="FFFFFF"/>
                <w:sz w:val="20"/>
                <w:szCs w:val="20"/>
                <w:lang w:eastAsia="sk-SK"/>
              </w:rPr>
            </w:pPr>
            <w:r w:rsidRPr="00AF6067">
              <w:rPr>
                <w:rFonts w:eastAsia="Times New Roman" w:cs="Times New Roman"/>
                <w:b/>
                <w:color w:val="FFFFFF"/>
                <w:sz w:val="20"/>
                <w:szCs w:val="20"/>
                <w:lang w:eastAsia="sk-SK"/>
              </w:rPr>
              <w:t>Index (</w:t>
            </w:r>
            <w:r w:rsidR="0072153C" w:rsidRPr="00AF6067">
              <w:rPr>
                <w:rFonts w:eastAsia="Times New Roman" w:cs="Times New Roman"/>
                <w:b/>
                <w:color w:val="FFFFFF"/>
                <w:sz w:val="20"/>
                <w:szCs w:val="20"/>
                <w:lang w:eastAsia="sk-SK"/>
              </w:rPr>
              <w:t xml:space="preserve">v </w:t>
            </w:r>
            <w:r w:rsidRPr="00AF6067">
              <w:rPr>
                <w:rFonts w:eastAsia="Times New Roman" w:cs="Times New Roman"/>
                <w:b/>
                <w:color w:val="FFFFFF"/>
                <w:sz w:val="20"/>
                <w:szCs w:val="20"/>
                <w:lang w:eastAsia="sk-SK"/>
              </w:rPr>
              <w:t>%)</w:t>
            </w:r>
          </w:p>
        </w:tc>
      </w:tr>
      <w:tr w:rsidR="00AF6067" w:rsidRPr="005B5D4B" w14:paraId="158742A7" w14:textId="77777777" w:rsidTr="006C0682">
        <w:trPr>
          <w:trHeight w:val="227"/>
        </w:trPr>
        <w:tc>
          <w:tcPr>
            <w:tcW w:w="1727" w:type="pct"/>
          </w:tcPr>
          <w:p w14:paraId="6C040E30" w14:textId="20244741" w:rsidR="00AF6067" w:rsidRPr="006C0682" w:rsidRDefault="00AF6067" w:rsidP="006C0682">
            <w:pPr>
              <w:jc w:val="center"/>
              <w:rPr>
                <w:rFonts w:eastAsia="Times New Roman" w:cs="Times New Roman"/>
                <w:sz w:val="20"/>
                <w:szCs w:val="20"/>
                <w:lang w:eastAsia="sk-SK"/>
              </w:rPr>
            </w:pPr>
            <w:r w:rsidRPr="002E55A3">
              <w:rPr>
                <w:rFonts w:eastAsia="Times New Roman" w:cs="Times New Roman"/>
                <w:sz w:val="20"/>
                <w:szCs w:val="20"/>
                <w:lang w:eastAsia="sk-SK"/>
              </w:rPr>
              <w:t>a</w:t>
            </w:r>
          </w:p>
        </w:tc>
        <w:tc>
          <w:tcPr>
            <w:tcW w:w="657" w:type="pct"/>
            <w:shd w:val="clear" w:color="auto" w:fill="auto"/>
            <w:vAlign w:val="center"/>
          </w:tcPr>
          <w:p w14:paraId="72A1404B" w14:textId="03FDEBC4" w:rsidR="00AF6067" w:rsidRPr="00AF6067" w:rsidRDefault="00AF6067" w:rsidP="006C0682">
            <w:pPr>
              <w:jc w:val="center"/>
              <w:rPr>
                <w:rFonts w:cs="Calibri"/>
                <w:color w:val="000000"/>
                <w:sz w:val="20"/>
                <w:szCs w:val="20"/>
              </w:rPr>
            </w:pPr>
            <w:r w:rsidRPr="002E55A3">
              <w:rPr>
                <w:rFonts w:cs="Calibri"/>
                <w:color w:val="000000"/>
                <w:sz w:val="20"/>
                <w:szCs w:val="20"/>
              </w:rPr>
              <w:t>1</w:t>
            </w:r>
          </w:p>
        </w:tc>
        <w:tc>
          <w:tcPr>
            <w:tcW w:w="657" w:type="pct"/>
            <w:shd w:val="clear" w:color="auto" w:fill="auto"/>
            <w:vAlign w:val="center"/>
          </w:tcPr>
          <w:p w14:paraId="2F2C7D00" w14:textId="02109E55" w:rsidR="00AF6067" w:rsidRPr="00AF6067" w:rsidRDefault="00AF6067" w:rsidP="006C0682">
            <w:pPr>
              <w:jc w:val="center"/>
              <w:rPr>
                <w:rFonts w:cs="Calibri"/>
                <w:color w:val="000000"/>
                <w:sz w:val="20"/>
                <w:szCs w:val="20"/>
              </w:rPr>
            </w:pPr>
            <w:r w:rsidRPr="00AF6067">
              <w:rPr>
                <w:rFonts w:cs="Calibri"/>
                <w:color w:val="000000"/>
                <w:sz w:val="20"/>
                <w:szCs w:val="20"/>
              </w:rPr>
              <w:t>2</w:t>
            </w:r>
          </w:p>
        </w:tc>
        <w:tc>
          <w:tcPr>
            <w:tcW w:w="657" w:type="pct"/>
            <w:shd w:val="clear" w:color="auto" w:fill="auto"/>
            <w:vAlign w:val="center"/>
          </w:tcPr>
          <w:p w14:paraId="58C4374D" w14:textId="1D9482F3" w:rsidR="00AF6067" w:rsidRPr="00AF6067" w:rsidRDefault="00AF6067" w:rsidP="006C0682">
            <w:pPr>
              <w:jc w:val="center"/>
              <w:rPr>
                <w:rFonts w:cs="Calibri"/>
                <w:color w:val="000000"/>
                <w:sz w:val="20"/>
                <w:szCs w:val="20"/>
              </w:rPr>
            </w:pPr>
            <w:r w:rsidRPr="00AF6067">
              <w:rPr>
                <w:rFonts w:cs="Calibri"/>
                <w:color w:val="000000"/>
                <w:sz w:val="20"/>
                <w:szCs w:val="20"/>
              </w:rPr>
              <w:t>3</w:t>
            </w:r>
          </w:p>
        </w:tc>
        <w:tc>
          <w:tcPr>
            <w:tcW w:w="655" w:type="pct"/>
            <w:shd w:val="clear" w:color="auto" w:fill="auto"/>
            <w:vAlign w:val="center"/>
          </w:tcPr>
          <w:p w14:paraId="7A8A57B1" w14:textId="785F8D5C" w:rsidR="00AF6067" w:rsidRPr="00AF6067" w:rsidRDefault="00AF6067" w:rsidP="006C0682">
            <w:pPr>
              <w:jc w:val="center"/>
              <w:rPr>
                <w:rFonts w:cs="Calibri"/>
                <w:color w:val="000000"/>
                <w:sz w:val="20"/>
                <w:szCs w:val="20"/>
              </w:rPr>
            </w:pPr>
            <w:r w:rsidRPr="00AF6067">
              <w:rPr>
                <w:rFonts w:cs="Calibri"/>
                <w:color w:val="000000"/>
                <w:sz w:val="20"/>
                <w:szCs w:val="20"/>
              </w:rPr>
              <w:t>4 = 3 - 2</w:t>
            </w:r>
          </w:p>
        </w:tc>
        <w:tc>
          <w:tcPr>
            <w:tcW w:w="647" w:type="pct"/>
            <w:shd w:val="clear" w:color="auto" w:fill="auto"/>
            <w:vAlign w:val="center"/>
          </w:tcPr>
          <w:p w14:paraId="28530F86" w14:textId="1F16C07A" w:rsidR="00AF6067" w:rsidRPr="00AF6067" w:rsidRDefault="00AF6067" w:rsidP="006C0682">
            <w:pPr>
              <w:jc w:val="center"/>
              <w:rPr>
                <w:rFonts w:cs="Calibri"/>
                <w:color w:val="000000"/>
                <w:sz w:val="20"/>
                <w:szCs w:val="20"/>
              </w:rPr>
            </w:pPr>
            <w:r w:rsidRPr="00AF6067">
              <w:rPr>
                <w:rFonts w:cs="Calibri"/>
                <w:color w:val="000000"/>
                <w:sz w:val="20"/>
                <w:szCs w:val="20"/>
              </w:rPr>
              <w:t>5 = 3 / 2</w:t>
            </w:r>
          </w:p>
        </w:tc>
      </w:tr>
      <w:tr w:rsidR="0084732D" w:rsidRPr="005B5D4B" w14:paraId="1A80C9EB" w14:textId="77777777" w:rsidTr="006C0682">
        <w:trPr>
          <w:trHeight w:val="227"/>
        </w:trPr>
        <w:tc>
          <w:tcPr>
            <w:tcW w:w="1727" w:type="pct"/>
          </w:tcPr>
          <w:p w14:paraId="3113BCE8" w14:textId="77777777" w:rsidR="0084732D" w:rsidRPr="002E55A3" w:rsidRDefault="0084732D" w:rsidP="00CA4572">
            <w:pPr>
              <w:rPr>
                <w:rFonts w:eastAsia="Times New Roman" w:cs="Times New Roman"/>
                <w:b/>
                <w:sz w:val="20"/>
                <w:szCs w:val="20"/>
                <w:lang w:eastAsia="sk-SK"/>
              </w:rPr>
            </w:pPr>
            <w:r w:rsidRPr="002E55A3">
              <w:rPr>
                <w:rFonts w:eastAsia="Times New Roman" w:cs="Times New Roman"/>
                <w:b/>
                <w:sz w:val="20"/>
                <w:szCs w:val="20"/>
                <w:lang w:eastAsia="sk-SK"/>
              </w:rPr>
              <w:t>Územná samospráva spolu</w:t>
            </w:r>
          </w:p>
        </w:tc>
        <w:tc>
          <w:tcPr>
            <w:tcW w:w="657" w:type="pct"/>
            <w:shd w:val="clear" w:color="auto" w:fill="auto"/>
            <w:vAlign w:val="center"/>
          </w:tcPr>
          <w:p w14:paraId="5D42D105" w14:textId="77777777" w:rsidR="0084732D" w:rsidRPr="00AF6067" w:rsidRDefault="0084732D" w:rsidP="006C0682">
            <w:pPr>
              <w:jc w:val="center"/>
              <w:rPr>
                <w:rFonts w:cs="Calibri"/>
                <w:color w:val="000000"/>
                <w:sz w:val="20"/>
                <w:szCs w:val="20"/>
              </w:rPr>
            </w:pPr>
            <w:r w:rsidRPr="00AF6067">
              <w:rPr>
                <w:rFonts w:cs="Calibri"/>
                <w:color w:val="000000"/>
                <w:sz w:val="20"/>
                <w:szCs w:val="20"/>
              </w:rPr>
              <w:t>1 834 606</w:t>
            </w:r>
          </w:p>
        </w:tc>
        <w:tc>
          <w:tcPr>
            <w:tcW w:w="657" w:type="pct"/>
            <w:shd w:val="clear" w:color="auto" w:fill="auto"/>
            <w:vAlign w:val="center"/>
          </w:tcPr>
          <w:p w14:paraId="67598441" w14:textId="77777777" w:rsidR="0084732D" w:rsidRPr="00AF6067" w:rsidRDefault="0084732D" w:rsidP="006C0682">
            <w:pPr>
              <w:jc w:val="center"/>
              <w:rPr>
                <w:rFonts w:cs="Calibri"/>
                <w:color w:val="000000"/>
                <w:sz w:val="20"/>
                <w:szCs w:val="20"/>
              </w:rPr>
            </w:pPr>
            <w:r w:rsidRPr="00AF6067">
              <w:rPr>
                <w:rFonts w:cs="Calibri"/>
                <w:color w:val="000000"/>
                <w:sz w:val="20"/>
                <w:szCs w:val="20"/>
              </w:rPr>
              <w:t>1 921 114</w:t>
            </w:r>
          </w:p>
        </w:tc>
        <w:tc>
          <w:tcPr>
            <w:tcW w:w="657" w:type="pct"/>
            <w:shd w:val="clear" w:color="auto" w:fill="auto"/>
            <w:vAlign w:val="center"/>
          </w:tcPr>
          <w:p w14:paraId="7033B0D7" w14:textId="77777777" w:rsidR="0084732D" w:rsidRPr="00AF6067" w:rsidRDefault="0084732D" w:rsidP="006C0682">
            <w:pPr>
              <w:jc w:val="center"/>
              <w:rPr>
                <w:rFonts w:cs="Calibri"/>
                <w:color w:val="000000"/>
                <w:sz w:val="20"/>
                <w:szCs w:val="20"/>
              </w:rPr>
            </w:pPr>
            <w:r w:rsidRPr="00AF6067">
              <w:rPr>
                <w:rFonts w:cs="Calibri"/>
                <w:color w:val="000000"/>
                <w:sz w:val="20"/>
                <w:szCs w:val="20"/>
              </w:rPr>
              <w:t>1 951 812</w:t>
            </w:r>
          </w:p>
        </w:tc>
        <w:tc>
          <w:tcPr>
            <w:tcW w:w="655" w:type="pct"/>
            <w:shd w:val="clear" w:color="auto" w:fill="auto"/>
            <w:vAlign w:val="center"/>
          </w:tcPr>
          <w:p w14:paraId="0A141248" w14:textId="77777777" w:rsidR="0084732D" w:rsidRPr="00AF6067" w:rsidRDefault="0084732D" w:rsidP="006C0682">
            <w:pPr>
              <w:jc w:val="center"/>
              <w:rPr>
                <w:rFonts w:cs="Calibri"/>
                <w:color w:val="000000"/>
                <w:sz w:val="20"/>
                <w:szCs w:val="20"/>
              </w:rPr>
            </w:pPr>
            <w:r w:rsidRPr="00AF6067">
              <w:rPr>
                <w:rFonts w:cs="Calibri"/>
                <w:color w:val="000000"/>
                <w:sz w:val="20"/>
                <w:szCs w:val="20"/>
              </w:rPr>
              <w:t>30 698</w:t>
            </w:r>
          </w:p>
        </w:tc>
        <w:tc>
          <w:tcPr>
            <w:tcW w:w="647" w:type="pct"/>
            <w:shd w:val="clear" w:color="auto" w:fill="auto"/>
            <w:vAlign w:val="center"/>
          </w:tcPr>
          <w:p w14:paraId="3F0E1678" w14:textId="77777777" w:rsidR="0084732D" w:rsidRPr="00AF6067" w:rsidRDefault="0084732D" w:rsidP="006C0682">
            <w:pPr>
              <w:jc w:val="center"/>
              <w:rPr>
                <w:rFonts w:cs="Calibri"/>
                <w:color w:val="000000"/>
                <w:sz w:val="20"/>
                <w:szCs w:val="20"/>
              </w:rPr>
            </w:pPr>
            <w:r w:rsidRPr="00AF6067">
              <w:rPr>
                <w:rFonts w:cs="Calibri"/>
                <w:color w:val="000000"/>
                <w:sz w:val="20"/>
                <w:szCs w:val="20"/>
              </w:rPr>
              <w:t>101,6</w:t>
            </w:r>
          </w:p>
        </w:tc>
      </w:tr>
      <w:tr w:rsidR="0084732D" w:rsidRPr="005B5D4B" w14:paraId="0CC64D8F" w14:textId="77777777" w:rsidTr="006C0682">
        <w:trPr>
          <w:trHeight w:val="227"/>
        </w:trPr>
        <w:tc>
          <w:tcPr>
            <w:tcW w:w="1727" w:type="pct"/>
          </w:tcPr>
          <w:p w14:paraId="59CF0B6B" w14:textId="77777777" w:rsidR="0084732D" w:rsidRPr="00AF6067" w:rsidRDefault="0084732D" w:rsidP="00CA4572">
            <w:pPr>
              <w:rPr>
                <w:rFonts w:eastAsia="Times New Roman" w:cs="Times New Roman"/>
                <w:sz w:val="20"/>
                <w:szCs w:val="20"/>
                <w:lang w:eastAsia="sk-SK"/>
              </w:rPr>
            </w:pPr>
            <w:r w:rsidRPr="002E55A3">
              <w:rPr>
                <w:rFonts w:eastAsia="Times New Roman" w:cs="Times New Roman"/>
                <w:sz w:val="20"/>
                <w:szCs w:val="20"/>
                <w:lang w:eastAsia="sk-SK"/>
              </w:rPr>
              <w:t>z toho:</w:t>
            </w:r>
          </w:p>
        </w:tc>
        <w:tc>
          <w:tcPr>
            <w:tcW w:w="657" w:type="pct"/>
            <w:shd w:val="clear" w:color="auto" w:fill="auto"/>
            <w:vAlign w:val="center"/>
          </w:tcPr>
          <w:p w14:paraId="76F5F9E9" w14:textId="23FC2516" w:rsidR="0084732D" w:rsidRPr="00AF6067" w:rsidRDefault="0084732D" w:rsidP="006C0682">
            <w:pPr>
              <w:jc w:val="center"/>
              <w:rPr>
                <w:rFonts w:cs="Calibri"/>
                <w:color w:val="000000"/>
                <w:sz w:val="20"/>
                <w:szCs w:val="20"/>
              </w:rPr>
            </w:pPr>
          </w:p>
        </w:tc>
        <w:tc>
          <w:tcPr>
            <w:tcW w:w="657" w:type="pct"/>
            <w:shd w:val="clear" w:color="auto" w:fill="auto"/>
            <w:vAlign w:val="center"/>
          </w:tcPr>
          <w:p w14:paraId="55814B04" w14:textId="1B278FB7" w:rsidR="0084732D" w:rsidRPr="00AF6067" w:rsidRDefault="0084732D" w:rsidP="006C0682">
            <w:pPr>
              <w:jc w:val="center"/>
              <w:rPr>
                <w:rFonts w:cs="Calibri"/>
                <w:color w:val="000000"/>
                <w:sz w:val="20"/>
                <w:szCs w:val="20"/>
              </w:rPr>
            </w:pPr>
          </w:p>
        </w:tc>
        <w:tc>
          <w:tcPr>
            <w:tcW w:w="657" w:type="pct"/>
            <w:shd w:val="clear" w:color="auto" w:fill="auto"/>
            <w:vAlign w:val="center"/>
          </w:tcPr>
          <w:p w14:paraId="5C27BD88" w14:textId="57C12756" w:rsidR="0084732D" w:rsidRPr="00AF6067" w:rsidRDefault="0084732D" w:rsidP="006C0682">
            <w:pPr>
              <w:jc w:val="center"/>
              <w:rPr>
                <w:rFonts w:cs="Calibri"/>
                <w:color w:val="000000"/>
                <w:sz w:val="20"/>
                <w:szCs w:val="20"/>
              </w:rPr>
            </w:pPr>
          </w:p>
        </w:tc>
        <w:tc>
          <w:tcPr>
            <w:tcW w:w="655" w:type="pct"/>
            <w:shd w:val="clear" w:color="auto" w:fill="auto"/>
            <w:vAlign w:val="center"/>
          </w:tcPr>
          <w:p w14:paraId="7B9EE584" w14:textId="280EEF80" w:rsidR="0084732D" w:rsidRPr="00AF6067" w:rsidRDefault="0084732D" w:rsidP="006C0682">
            <w:pPr>
              <w:jc w:val="center"/>
              <w:rPr>
                <w:rFonts w:cs="Calibri"/>
                <w:color w:val="000000"/>
                <w:sz w:val="20"/>
                <w:szCs w:val="20"/>
              </w:rPr>
            </w:pPr>
          </w:p>
        </w:tc>
        <w:tc>
          <w:tcPr>
            <w:tcW w:w="647" w:type="pct"/>
            <w:shd w:val="clear" w:color="auto" w:fill="auto"/>
            <w:vAlign w:val="center"/>
          </w:tcPr>
          <w:p w14:paraId="19D7F45D" w14:textId="6006D27F" w:rsidR="0084732D" w:rsidRPr="00AF6067" w:rsidRDefault="0084732D" w:rsidP="006C0682">
            <w:pPr>
              <w:jc w:val="center"/>
              <w:rPr>
                <w:rFonts w:cs="Calibri"/>
                <w:color w:val="000000"/>
                <w:sz w:val="20"/>
                <w:szCs w:val="20"/>
              </w:rPr>
            </w:pPr>
          </w:p>
        </w:tc>
      </w:tr>
      <w:tr w:rsidR="0084732D" w:rsidRPr="005B5D4B" w14:paraId="021CDA57" w14:textId="77777777" w:rsidTr="006C0682">
        <w:trPr>
          <w:trHeight w:val="227"/>
        </w:trPr>
        <w:tc>
          <w:tcPr>
            <w:tcW w:w="1727" w:type="pct"/>
            <w:vAlign w:val="bottom"/>
          </w:tcPr>
          <w:p w14:paraId="2E9A1C26" w14:textId="77777777" w:rsidR="0084732D" w:rsidRPr="00AF6067" w:rsidRDefault="0084732D" w:rsidP="00CA4572">
            <w:pPr>
              <w:contextualSpacing/>
              <w:rPr>
                <w:rFonts w:eastAsia="Times New Roman" w:cs="Times New Roman"/>
                <w:sz w:val="20"/>
                <w:szCs w:val="20"/>
                <w:lang w:eastAsia="sk-SK"/>
              </w:rPr>
            </w:pPr>
            <w:r w:rsidRPr="002E55A3">
              <w:rPr>
                <w:rFonts w:eastAsia="Times New Roman" w:cs="Times New Roman"/>
                <w:sz w:val="20"/>
                <w:szCs w:val="20"/>
                <w:lang w:eastAsia="sk-SK"/>
              </w:rPr>
              <w:t>Obce a ich rozpočto</w:t>
            </w:r>
            <w:r w:rsidRPr="00AF6067">
              <w:rPr>
                <w:rFonts w:eastAsia="Times New Roman" w:cs="Times New Roman"/>
                <w:sz w:val="20"/>
                <w:szCs w:val="20"/>
                <w:lang w:eastAsia="sk-SK"/>
              </w:rPr>
              <w:t>vé organizácie</w:t>
            </w:r>
          </w:p>
        </w:tc>
        <w:tc>
          <w:tcPr>
            <w:tcW w:w="657" w:type="pct"/>
            <w:shd w:val="clear" w:color="auto" w:fill="auto"/>
            <w:vAlign w:val="center"/>
          </w:tcPr>
          <w:p w14:paraId="6936B64B" w14:textId="77777777" w:rsidR="0084732D" w:rsidRPr="00AF6067" w:rsidRDefault="0084732D" w:rsidP="006C0682">
            <w:pPr>
              <w:jc w:val="center"/>
              <w:rPr>
                <w:rFonts w:cs="Calibri"/>
                <w:color w:val="000000"/>
                <w:sz w:val="20"/>
                <w:szCs w:val="20"/>
              </w:rPr>
            </w:pPr>
            <w:r w:rsidRPr="00AF6067">
              <w:rPr>
                <w:rFonts w:cs="Calibri"/>
                <w:color w:val="000000"/>
                <w:sz w:val="20"/>
                <w:szCs w:val="20"/>
              </w:rPr>
              <w:t>1 379 545</w:t>
            </w:r>
          </w:p>
        </w:tc>
        <w:tc>
          <w:tcPr>
            <w:tcW w:w="657" w:type="pct"/>
            <w:shd w:val="clear" w:color="auto" w:fill="auto"/>
            <w:vAlign w:val="center"/>
          </w:tcPr>
          <w:p w14:paraId="72FC48F0" w14:textId="77777777" w:rsidR="0084732D" w:rsidRPr="00AF6067" w:rsidRDefault="0084732D" w:rsidP="006C0682">
            <w:pPr>
              <w:jc w:val="center"/>
              <w:rPr>
                <w:rFonts w:cs="Calibri"/>
                <w:color w:val="000000"/>
                <w:sz w:val="20"/>
                <w:szCs w:val="20"/>
              </w:rPr>
            </w:pPr>
            <w:r w:rsidRPr="00AF6067">
              <w:rPr>
                <w:rFonts w:cs="Calibri"/>
                <w:color w:val="000000"/>
                <w:sz w:val="20"/>
                <w:szCs w:val="20"/>
              </w:rPr>
              <w:t>1 472 902</w:t>
            </w:r>
          </w:p>
        </w:tc>
        <w:tc>
          <w:tcPr>
            <w:tcW w:w="657" w:type="pct"/>
            <w:shd w:val="clear" w:color="auto" w:fill="auto"/>
            <w:vAlign w:val="center"/>
          </w:tcPr>
          <w:p w14:paraId="53871C64" w14:textId="77777777" w:rsidR="0084732D" w:rsidRPr="00AF6067" w:rsidRDefault="0084732D" w:rsidP="006C0682">
            <w:pPr>
              <w:jc w:val="center"/>
              <w:rPr>
                <w:rFonts w:cs="Calibri"/>
                <w:color w:val="000000"/>
                <w:sz w:val="20"/>
                <w:szCs w:val="20"/>
              </w:rPr>
            </w:pPr>
            <w:r w:rsidRPr="00AF6067">
              <w:rPr>
                <w:rFonts w:cs="Calibri"/>
                <w:color w:val="000000"/>
                <w:sz w:val="20"/>
                <w:szCs w:val="20"/>
              </w:rPr>
              <w:t>1 490 908</w:t>
            </w:r>
          </w:p>
        </w:tc>
        <w:tc>
          <w:tcPr>
            <w:tcW w:w="655" w:type="pct"/>
            <w:shd w:val="clear" w:color="auto" w:fill="auto"/>
            <w:vAlign w:val="center"/>
          </w:tcPr>
          <w:p w14:paraId="01591641" w14:textId="77777777" w:rsidR="0084732D" w:rsidRPr="00AF6067" w:rsidRDefault="0084732D" w:rsidP="006C0682">
            <w:pPr>
              <w:jc w:val="center"/>
              <w:rPr>
                <w:rFonts w:cs="Calibri"/>
                <w:color w:val="000000"/>
                <w:sz w:val="20"/>
                <w:szCs w:val="20"/>
              </w:rPr>
            </w:pPr>
            <w:r w:rsidRPr="00AF6067">
              <w:rPr>
                <w:rFonts w:cs="Calibri"/>
                <w:color w:val="000000"/>
                <w:sz w:val="20"/>
                <w:szCs w:val="20"/>
              </w:rPr>
              <w:t>18 006</w:t>
            </w:r>
          </w:p>
        </w:tc>
        <w:tc>
          <w:tcPr>
            <w:tcW w:w="647" w:type="pct"/>
            <w:shd w:val="clear" w:color="auto" w:fill="auto"/>
            <w:vAlign w:val="center"/>
          </w:tcPr>
          <w:p w14:paraId="51B75AA2" w14:textId="77777777" w:rsidR="0084732D" w:rsidRPr="00AF6067" w:rsidRDefault="0084732D" w:rsidP="006C0682">
            <w:pPr>
              <w:jc w:val="center"/>
              <w:rPr>
                <w:rFonts w:cs="Calibri"/>
                <w:color w:val="000000"/>
                <w:sz w:val="20"/>
                <w:szCs w:val="20"/>
              </w:rPr>
            </w:pPr>
            <w:r w:rsidRPr="00AF6067">
              <w:rPr>
                <w:rFonts w:cs="Calibri"/>
                <w:color w:val="000000"/>
                <w:sz w:val="20"/>
                <w:szCs w:val="20"/>
              </w:rPr>
              <w:t>101,2</w:t>
            </w:r>
          </w:p>
        </w:tc>
      </w:tr>
      <w:tr w:rsidR="0084732D" w:rsidRPr="005B5D4B" w14:paraId="075A1900" w14:textId="77777777" w:rsidTr="006C0682">
        <w:trPr>
          <w:trHeight w:val="227"/>
        </w:trPr>
        <w:tc>
          <w:tcPr>
            <w:tcW w:w="1727" w:type="pct"/>
            <w:vAlign w:val="bottom"/>
          </w:tcPr>
          <w:p w14:paraId="27F0E03F" w14:textId="77777777" w:rsidR="0084732D" w:rsidRPr="00AF6067" w:rsidRDefault="0084732D" w:rsidP="00CA4572">
            <w:pPr>
              <w:contextualSpacing/>
              <w:rPr>
                <w:rFonts w:eastAsia="Times New Roman" w:cs="Times New Roman"/>
                <w:bCs/>
                <w:sz w:val="20"/>
                <w:szCs w:val="20"/>
                <w:lang w:eastAsia="sk-SK"/>
              </w:rPr>
            </w:pPr>
            <w:r w:rsidRPr="002E55A3">
              <w:rPr>
                <w:rFonts w:eastAsia="Times New Roman" w:cs="Times New Roman"/>
                <w:bCs/>
                <w:sz w:val="20"/>
                <w:szCs w:val="20"/>
                <w:lang w:eastAsia="sk-SK"/>
              </w:rPr>
              <w:t>VÚC</w:t>
            </w:r>
            <w:r w:rsidRPr="00AF6067">
              <w:rPr>
                <w:rFonts w:eastAsia="Times New Roman" w:cs="Times New Roman"/>
                <w:bCs/>
                <w:sz w:val="20"/>
                <w:szCs w:val="20"/>
                <w:lang w:eastAsia="sk-SK"/>
              </w:rPr>
              <w:t xml:space="preserve"> a ich rozpočtové organizácie</w:t>
            </w:r>
          </w:p>
        </w:tc>
        <w:tc>
          <w:tcPr>
            <w:tcW w:w="657" w:type="pct"/>
            <w:shd w:val="clear" w:color="auto" w:fill="auto"/>
            <w:vAlign w:val="center"/>
          </w:tcPr>
          <w:p w14:paraId="5ED7A3E8" w14:textId="77777777" w:rsidR="0084732D" w:rsidRPr="00AF6067" w:rsidRDefault="0084732D" w:rsidP="006C0682">
            <w:pPr>
              <w:jc w:val="center"/>
              <w:rPr>
                <w:rFonts w:cs="Calibri"/>
                <w:color w:val="000000"/>
                <w:sz w:val="20"/>
                <w:szCs w:val="20"/>
              </w:rPr>
            </w:pPr>
            <w:r w:rsidRPr="00AF6067">
              <w:rPr>
                <w:rFonts w:cs="Calibri"/>
                <w:color w:val="000000"/>
                <w:sz w:val="20"/>
                <w:szCs w:val="20"/>
              </w:rPr>
              <w:t>369 732</w:t>
            </w:r>
          </w:p>
        </w:tc>
        <w:tc>
          <w:tcPr>
            <w:tcW w:w="657" w:type="pct"/>
            <w:shd w:val="clear" w:color="auto" w:fill="auto"/>
            <w:vAlign w:val="center"/>
          </w:tcPr>
          <w:p w14:paraId="11B7F604" w14:textId="77777777" w:rsidR="0084732D" w:rsidRPr="00AF6067" w:rsidRDefault="0084732D" w:rsidP="006C0682">
            <w:pPr>
              <w:jc w:val="center"/>
              <w:rPr>
                <w:rFonts w:cs="Calibri"/>
                <w:color w:val="000000"/>
                <w:sz w:val="20"/>
                <w:szCs w:val="20"/>
              </w:rPr>
            </w:pPr>
            <w:r w:rsidRPr="00AF6067">
              <w:rPr>
                <w:rFonts w:cs="Calibri"/>
                <w:color w:val="000000"/>
                <w:sz w:val="20"/>
                <w:szCs w:val="20"/>
              </w:rPr>
              <w:t>362 819</w:t>
            </w:r>
          </w:p>
        </w:tc>
        <w:tc>
          <w:tcPr>
            <w:tcW w:w="657" w:type="pct"/>
            <w:shd w:val="clear" w:color="auto" w:fill="auto"/>
            <w:vAlign w:val="center"/>
          </w:tcPr>
          <w:p w14:paraId="5965BF29" w14:textId="77777777" w:rsidR="0084732D" w:rsidRPr="00AF6067" w:rsidRDefault="0084732D" w:rsidP="006C0682">
            <w:pPr>
              <w:jc w:val="center"/>
              <w:rPr>
                <w:rFonts w:cs="Calibri"/>
                <w:color w:val="000000"/>
                <w:sz w:val="20"/>
                <w:szCs w:val="20"/>
              </w:rPr>
            </w:pPr>
            <w:r w:rsidRPr="00AF6067">
              <w:rPr>
                <w:rFonts w:cs="Calibri"/>
                <w:color w:val="000000"/>
                <w:sz w:val="20"/>
                <w:szCs w:val="20"/>
              </w:rPr>
              <w:t>391 001</w:t>
            </w:r>
          </w:p>
        </w:tc>
        <w:tc>
          <w:tcPr>
            <w:tcW w:w="655" w:type="pct"/>
            <w:shd w:val="clear" w:color="auto" w:fill="auto"/>
            <w:vAlign w:val="center"/>
          </w:tcPr>
          <w:p w14:paraId="2F635B37" w14:textId="77777777" w:rsidR="0084732D" w:rsidRPr="00AF6067" w:rsidRDefault="0084732D" w:rsidP="006C0682">
            <w:pPr>
              <w:jc w:val="center"/>
              <w:rPr>
                <w:rFonts w:cs="Calibri"/>
                <w:color w:val="000000"/>
                <w:sz w:val="20"/>
                <w:szCs w:val="20"/>
              </w:rPr>
            </w:pPr>
            <w:r w:rsidRPr="00AF6067">
              <w:rPr>
                <w:rFonts w:cs="Calibri"/>
                <w:color w:val="000000"/>
                <w:sz w:val="20"/>
                <w:szCs w:val="20"/>
              </w:rPr>
              <w:t>28 182</w:t>
            </w:r>
          </w:p>
        </w:tc>
        <w:tc>
          <w:tcPr>
            <w:tcW w:w="647" w:type="pct"/>
            <w:shd w:val="clear" w:color="auto" w:fill="auto"/>
            <w:vAlign w:val="center"/>
          </w:tcPr>
          <w:p w14:paraId="11AF2639" w14:textId="77777777" w:rsidR="0084732D" w:rsidRPr="00AF6067" w:rsidRDefault="0084732D" w:rsidP="006C0682">
            <w:pPr>
              <w:jc w:val="center"/>
              <w:rPr>
                <w:rFonts w:cs="Calibri"/>
                <w:color w:val="000000"/>
                <w:sz w:val="20"/>
                <w:szCs w:val="20"/>
              </w:rPr>
            </w:pPr>
            <w:r w:rsidRPr="00AF6067">
              <w:rPr>
                <w:rFonts w:cs="Calibri"/>
                <w:color w:val="000000"/>
                <w:sz w:val="20"/>
                <w:szCs w:val="20"/>
              </w:rPr>
              <w:t>107,8</w:t>
            </w:r>
          </w:p>
        </w:tc>
      </w:tr>
      <w:tr w:rsidR="0084732D" w:rsidRPr="005B5D4B" w14:paraId="000E301E" w14:textId="77777777" w:rsidTr="006C0682">
        <w:trPr>
          <w:trHeight w:val="227"/>
        </w:trPr>
        <w:tc>
          <w:tcPr>
            <w:tcW w:w="1727" w:type="pct"/>
            <w:vAlign w:val="bottom"/>
          </w:tcPr>
          <w:p w14:paraId="267DC2A2" w14:textId="77777777" w:rsidR="0084732D" w:rsidRPr="00AF6067" w:rsidRDefault="0084732D" w:rsidP="00CA4572">
            <w:pPr>
              <w:contextualSpacing/>
              <w:rPr>
                <w:rFonts w:eastAsia="Times New Roman" w:cs="Times New Roman"/>
                <w:bCs/>
                <w:sz w:val="20"/>
                <w:szCs w:val="20"/>
                <w:lang w:eastAsia="sk-SK"/>
              </w:rPr>
            </w:pPr>
            <w:r w:rsidRPr="002E55A3">
              <w:rPr>
                <w:rFonts w:eastAsia="Times New Roman" w:cs="Times New Roman"/>
                <w:bCs/>
                <w:sz w:val="20"/>
                <w:szCs w:val="20"/>
                <w:lang w:eastAsia="sk-SK"/>
              </w:rPr>
              <w:t>Príspevkové organizácie obcí</w:t>
            </w:r>
          </w:p>
        </w:tc>
        <w:tc>
          <w:tcPr>
            <w:tcW w:w="657" w:type="pct"/>
            <w:shd w:val="clear" w:color="auto" w:fill="auto"/>
            <w:vAlign w:val="center"/>
          </w:tcPr>
          <w:p w14:paraId="41A08C14" w14:textId="77777777" w:rsidR="0084732D" w:rsidRPr="00AF6067" w:rsidRDefault="0084732D" w:rsidP="006C0682">
            <w:pPr>
              <w:jc w:val="center"/>
              <w:rPr>
                <w:rFonts w:cs="Calibri"/>
                <w:color w:val="000000"/>
                <w:sz w:val="20"/>
                <w:szCs w:val="20"/>
              </w:rPr>
            </w:pPr>
            <w:r w:rsidRPr="00AF6067">
              <w:rPr>
                <w:rFonts w:cs="Calibri"/>
                <w:color w:val="000000"/>
                <w:sz w:val="20"/>
                <w:szCs w:val="20"/>
              </w:rPr>
              <w:t>1 327</w:t>
            </w:r>
          </w:p>
        </w:tc>
        <w:tc>
          <w:tcPr>
            <w:tcW w:w="657" w:type="pct"/>
            <w:shd w:val="clear" w:color="auto" w:fill="auto"/>
            <w:vAlign w:val="center"/>
          </w:tcPr>
          <w:p w14:paraId="472AC331" w14:textId="77777777" w:rsidR="0084732D" w:rsidRPr="00AF6067" w:rsidRDefault="0084732D" w:rsidP="006C0682">
            <w:pPr>
              <w:jc w:val="center"/>
              <w:rPr>
                <w:rFonts w:cs="Calibri"/>
                <w:color w:val="000000"/>
                <w:sz w:val="20"/>
                <w:szCs w:val="20"/>
              </w:rPr>
            </w:pPr>
            <w:r w:rsidRPr="00AF6067">
              <w:rPr>
                <w:rFonts w:cs="Calibri"/>
                <w:color w:val="000000"/>
                <w:sz w:val="20"/>
                <w:szCs w:val="20"/>
              </w:rPr>
              <w:t>1 540</w:t>
            </w:r>
          </w:p>
        </w:tc>
        <w:tc>
          <w:tcPr>
            <w:tcW w:w="657" w:type="pct"/>
            <w:shd w:val="clear" w:color="auto" w:fill="auto"/>
            <w:vAlign w:val="center"/>
          </w:tcPr>
          <w:p w14:paraId="4E8F062B" w14:textId="77777777" w:rsidR="0084732D" w:rsidRPr="00AF6067" w:rsidRDefault="0084732D" w:rsidP="006C0682">
            <w:pPr>
              <w:jc w:val="center"/>
              <w:rPr>
                <w:rFonts w:cs="Calibri"/>
                <w:color w:val="000000"/>
                <w:sz w:val="20"/>
                <w:szCs w:val="20"/>
              </w:rPr>
            </w:pPr>
            <w:r w:rsidRPr="00AF6067">
              <w:rPr>
                <w:rFonts w:cs="Calibri"/>
                <w:color w:val="000000"/>
                <w:sz w:val="20"/>
                <w:szCs w:val="20"/>
              </w:rPr>
              <w:t>1 507</w:t>
            </w:r>
          </w:p>
        </w:tc>
        <w:tc>
          <w:tcPr>
            <w:tcW w:w="655" w:type="pct"/>
            <w:shd w:val="clear" w:color="auto" w:fill="auto"/>
            <w:vAlign w:val="center"/>
          </w:tcPr>
          <w:p w14:paraId="5FEC7184" w14:textId="77777777" w:rsidR="0084732D" w:rsidRPr="00AF6067" w:rsidRDefault="0084732D" w:rsidP="006C0682">
            <w:pPr>
              <w:jc w:val="center"/>
              <w:rPr>
                <w:rFonts w:cs="Calibri"/>
                <w:color w:val="000000"/>
                <w:sz w:val="20"/>
                <w:szCs w:val="20"/>
              </w:rPr>
            </w:pPr>
            <w:r w:rsidRPr="00AF6067">
              <w:rPr>
                <w:rFonts w:cs="Calibri"/>
                <w:color w:val="000000"/>
                <w:sz w:val="20"/>
                <w:szCs w:val="20"/>
              </w:rPr>
              <w:t>-33</w:t>
            </w:r>
          </w:p>
        </w:tc>
        <w:tc>
          <w:tcPr>
            <w:tcW w:w="647" w:type="pct"/>
            <w:shd w:val="clear" w:color="auto" w:fill="auto"/>
            <w:vAlign w:val="center"/>
          </w:tcPr>
          <w:p w14:paraId="0CCBC340" w14:textId="77777777" w:rsidR="0084732D" w:rsidRPr="00AF6067" w:rsidRDefault="0084732D" w:rsidP="006C0682">
            <w:pPr>
              <w:jc w:val="center"/>
              <w:rPr>
                <w:rFonts w:cs="Calibri"/>
                <w:color w:val="000000"/>
                <w:sz w:val="20"/>
                <w:szCs w:val="20"/>
              </w:rPr>
            </w:pPr>
            <w:r w:rsidRPr="00AF6067">
              <w:rPr>
                <w:rFonts w:cs="Calibri"/>
                <w:color w:val="000000"/>
                <w:sz w:val="20"/>
                <w:szCs w:val="20"/>
              </w:rPr>
              <w:t>97,9</w:t>
            </w:r>
          </w:p>
        </w:tc>
      </w:tr>
      <w:tr w:rsidR="0084732D" w:rsidRPr="005B5D4B" w14:paraId="609C260E" w14:textId="77777777" w:rsidTr="006C0682">
        <w:trPr>
          <w:trHeight w:val="227"/>
        </w:trPr>
        <w:tc>
          <w:tcPr>
            <w:tcW w:w="1727" w:type="pct"/>
            <w:vAlign w:val="bottom"/>
          </w:tcPr>
          <w:p w14:paraId="3B58956A" w14:textId="77777777" w:rsidR="0084732D" w:rsidRPr="00AF6067" w:rsidRDefault="0084732D" w:rsidP="00CA4572">
            <w:pPr>
              <w:contextualSpacing/>
              <w:rPr>
                <w:rFonts w:eastAsia="Times New Roman" w:cs="Times New Roman"/>
                <w:bCs/>
                <w:sz w:val="20"/>
                <w:szCs w:val="20"/>
                <w:lang w:eastAsia="sk-SK"/>
              </w:rPr>
            </w:pPr>
            <w:r w:rsidRPr="002E55A3">
              <w:rPr>
                <w:rFonts w:eastAsia="Times New Roman" w:cs="Times New Roman"/>
                <w:bCs/>
                <w:sz w:val="20"/>
                <w:szCs w:val="20"/>
                <w:lang w:eastAsia="sk-SK"/>
              </w:rPr>
              <w:t>Príspevkové organizácie VÚC</w:t>
            </w:r>
          </w:p>
        </w:tc>
        <w:tc>
          <w:tcPr>
            <w:tcW w:w="657" w:type="pct"/>
            <w:shd w:val="clear" w:color="auto" w:fill="auto"/>
            <w:vAlign w:val="center"/>
          </w:tcPr>
          <w:p w14:paraId="5068C4EC" w14:textId="77777777" w:rsidR="0084732D" w:rsidRPr="00AF6067" w:rsidRDefault="0084732D" w:rsidP="006C0682">
            <w:pPr>
              <w:jc w:val="center"/>
              <w:rPr>
                <w:rFonts w:cs="Calibri"/>
                <w:color w:val="000000"/>
                <w:sz w:val="20"/>
                <w:szCs w:val="20"/>
              </w:rPr>
            </w:pPr>
            <w:r w:rsidRPr="00AF6067">
              <w:rPr>
                <w:rFonts w:cs="Calibri"/>
                <w:color w:val="000000"/>
                <w:sz w:val="20"/>
                <w:szCs w:val="20"/>
              </w:rPr>
              <w:t>881</w:t>
            </w:r>
          </w:p>
        </w:tc>
        <w:tc>
          <w:tcPr>
            <w:tcW w:w="657" w:type="pct"/>
            <w:shd w:val="clear" w:color="auto" w:fill="auto"/>
            <w:vAlign w:val="center"/>
          </w:tcPr>
          <w:p w14:paraId="5E5768CD" w14:textId="77777777" w:rsidR="0084732D" w:rsidRPr="00AF6067" w:rsidRDefault="0084732D" w:rsidP="006C0682">
            <w:pPr>
              <w:jc w:val="center"/>
              <w:rPr>
                <w:rFonts w:cs="Calibri"/>
                <w:color w:val="000000"/>
                <w:sz w:val="20"/>
                <w:szCs w:val="20"/>
              </w:rPr>
            </w:pPr>
            <w:r w:rsidRPr="00AF6067">
              <w:rPr>
                <w:rFonts w:cs="Calibri"/>
                <w:color w:val="000000"/>
                <w:sz w:val="20"/>
                <w:szCs w:val="20"/>
              </w:rPr>
              <w:t>859</w:t>
            </w:r>
          </w:p>
        </w:tc>
        <w:tc>
          <w:tcPr>
            <w:tcW w:w="657" w:type="pct"/>
            <w:shd w:val="clear" w:color="auto" w:fill="auto"/>
            <w:vAlign w:val="center"/>
          </w:tcPr>
          <w:p w14:paraId="5A5C5CDC" w14:textId="77777777" w:rsidR="0084732D" w:rsidRPr="00AF6067" w:rsidRDefault="0084732D" w:rsidP="006C0682">
            <w:pPr>
              <w:jc w:val="center"/>
              <w:rPr>
                <w:rFonts w:cs="Calibri"/>
                <w:color w:val="000000"/>
                <w:sz w:val="20"/>
                <w:szCs w:val="20"/>
              </w:rPr>
            </w:pPr>
            <w:r w:rsidRPr="00AF6067">
              <w:rPr>
                <w:rFonts w:cs="Calibri"/>
                <w:color w:val="000000"/>
                <w:sz w:val="20"/>
                <w:szCs w:val="20"/>
              </w:rPr>
              <w:t>782</w:t>
            </w:r>
          </w:p>
        </w:tc>
        <w:tc>
          <w:tcPr>
            <w:tcW w:w="655" w:type="pct"/>
            <w:shd w:val="clear" w:color="auto" w:fill="auto"/>
            <w:vAlign w:val="center"/>
          </w:tcPr>
          <w:p w14:paraId="24633C57" w14:textId="77777777" w:rsidR="0084732D" w:rsidRPr="00AF6067" w:rsidRDefault="0084732D" w:rsidP="006C0682">
            <w:pPr>
              <w:jc w:val="center"/>
              <w:rPr>
                <w:rFonts w:cs="Calibri"/>
                <w:color w:val="000000"/>
                <w:sz w:val="20"/>
                <w:szCs w:val="20"/>
              </w:rPr>
            </w:pPr>
            <w:r w:rsidRPr="00AF6067">
              <w:rPr>
                <w:rFonts w:cs="Calibri"/>
                <w:color w:val="000000"/>
                <w:sz w:val="20"/>
                <w:szCs w:val="20"/>
              </w:rPr>
              <w:t>-77</w:t>
            </w:r>
          </w:p>
        </w:tc>
        <w:tc>
          <w:tcPr>
            <w:tcW w:w="647" w:type="pct"/>
            <w:shd w:val="clear" w:color="auto" w:fill="auto"/>
            <w:vAlign w:val="center"/>
          </w:tcPr>
          <w:p w14:paraId="0E0E95F9" w14:textId="77777777" w:rsidR="0084732D" w:rsidRPr="00AF6067" w:rsidRDefault="0084732D" w:rsidP="006C0682">
            <w:pPr>
              <w:jc w:val="center"/>
              <w:rPr>
                <w:rFonts w:cs="Calibri"/>
                <w:color w:val="000000"/>
                <w:sz w:val="20"/>
                <w:szCs w:val="20"/>
              </w:rPr>
            </w:pPr>
            <w:r w:rsidRPr="00AF6067">
              <w:rPr>
                <w:rFonts w:cs="Calibri"/>
                <w:color w:val="000000"/>
                <w:sz w:val="20"/>
                <w:szCs w:val="20"/>
              </w:rPr>
              <w:t>91,0</w:t>
            </w:r>
          </w:p>
        </w:tc>
      </w:tr>
      <w:tr w:rsidR="0084732D" w:rsidRPr="005B5D4B" w14:paraId="1A9017DD" w14:textId="77777777" w:rsidTr="006C0682">
        <w:trPr>
          <w:trHeight w:val="227"/>
        </w:trPr>
        <w:tc>
          <w:tcPr>
            <w:tcW w:w="1727" w:type="pct"/>
            <w:vAlign w:val="bottom"/>
          </w:tcPr>
          <w:p w14:paraId="616CD48E" w14:textId="77777777" w:rsidR="0084732D" w:rsidRPr="00AF6067" w:rsidRDefault="0084732D" w:rsidP="00CA4572">
            <w:pPr>
              <w:contextualSpacing/>
              <w:rPr>
                <w:rFonts w:eastAsia="Times New Roman" w:cs="Times New Roman"/>
                <w:bCs/>
                <w:sz w:val="20"/>
                <w:szCs w:val="20"/>
                <w:lang w:eastAsia="sk-SK"/>
              </w:rPr>
            </w:pPr>
            <w:r w:rsidRPr="002E55A3">
              <w:rPr>
                <w:rFonts w:eastAsia="Times New Roman" w:cs="Times New Roman"/>
                <w:bCs/>
                <w:sz w:val="20"/>
                <w:szCs w:val="20"/>
                <w:lang w:eastAsia="sk-SK"/>
              </w:rPr>
              <w:t>Dopravné podniky</w:t>
            </w:r>
          </w:p>
        </w:tc>
        <w:tc>
          <w:tcPr>
            <w:tcW w:w="657" w:type="pct"/>
            <w:shd w:val="clear" w:color="auto" w:fill="auto"/>
            <w:vAlign w:val="center"/>
          </w:tcPr>
          <w:p w14:paraId="272333E3" w14:textId="77777777" w:rsidR="0084732D" w:rsidRPr="00AF6067" w:rsidRDefault="0084732D" w:rsidP="006C0682">
            <w:pPr>
              <w:jc w:val="center"/>
              <w:rPr>
                <w:rFonts w:cs="Calibri"/>
                <w:color w:val="000000"/>
                <w:sz w:val="20"/>
                <w:szCs w:val="20"/>
              </w:rPr>
            </w:pPr>
            <w:r w:rsidRPr="00AF6067">
              <w:rPr>
                <w:rFonts w:cs="Calibri"/>
                <w:color w:val="000000"/>
                <w:sz w:val="20"/>
                <w:szCs w:val="20"/>
              </w:rPr>
              <w:t>79 469</w:t>
            </w:r>
          </w:p>
        </w:tc>
        <w:tc>
          <w:tcPr>
            <w:tcW w:w="657" w:type="pct"/>
            <w:shd w:val="clear" w:color="auto" w:fill="auto"/>
            <w:vAlign w:val="center"/>
          </w:tcPr>
          <w:p w14:paraId="0C8A5F50" w14:textId="77777777" w:rsidR="0084732D" w:rsidRPr="00AF6067" w:rsidRDefault="0084732D" w:rsidP="006C0682">
            <w:pPr>
              <w:jc w:val="center"/>
              <w:rPr>
                <w:rFonts w:cs="Calibri"/>
                <w:color w:val="000000"/>
                <w:sz w:val="20"/>
                <w:szCs w:val="20"/>
              </w:rPr>
            </w:pPr>
            <w:r w:rsidRPr="00AF6067">
              <w:rPr>
                <w:rFonts w:cs="Calibri"/>
                <w:color w:val="000000"/>
                <w:sz w:val="20"/>
                <w:szCs w:val="20"/>
              </w:rPr>
              <w:t>76 239</w:t>
            </w:r>
          </w:p>
        </w:tc>
        <w:tc>
          <w:tcPr>
            <w:tcW w:w="657" w:type="pct"/>
            <w:shd w:val="clear" w:color="auto" w:fill="auto"/>
            <w:vAlign w:val="center"/>
          </w:tcPr>
          <w:p w14:paraId="33773D5B" w14:textId="77777777" w:rsidR="0084732D" w:rsidRPr="00AF6067" w:rsidRDefault="0084732D" w:rsidP="006C0682">
            <w:pPr>
              <w:jc w:val="center"/>
              <w:rPr>
                <w:rFonts w:cs="Calibri"/>
                <w:color w:val="000000"/>
                <w:sz w:val="20"/>
                <w:szCs w:val="20"/>
              </w:rPr>
            </w:pPr>
            <w:r w:rsidRPr="00AF6067">
              <w:rPr>
                <w:rFonts w:cs="Calibri"/>
                <w:color w:val="000000"/>
                <w:sz w:val="20"/>
                <w:szCs w:val="20"/>
              </w:rPr>
              <w:t>61 289</w:t>
            </w:r>
          </w:p>
        </w:tc>
        <w:tc>
          <w:tcPr>
            <w:tcW w:w="655" w:type="pct"/>
            <w:shd w:val="clear" w:color="auto" w:fill="auto"/>
            <w:vAlign w:val="center"/>
          </w:tcPr>
          <w:p w14:paraId="007995DE" w14:textId="77777777" w:rsidR="0084732D" w:rsidRPr="00AF6067" w:rsidRDefault="0084732D" w:rsidP="006C0682">
            <w:pPr>
              <w:jc w:val="center"/>
              <w:rPr>
                <w:rFonts w:cs="Calibri"/>
                <w:color w:val="000000"/>
                <w:sz w:val="20"/>
                <w:szCs w:val="20"/>
              </w:rPr>
            </w:pPr>
            <w:r w:rsidRPr="00AF6067">
              <w:rPr>
                <w:rFonts w:cs="Calibri"/>
                <w:color w:val="000000"/>
                <w:sz w:val="20"/>
                <w:szCs w:val="20"/>
              </w:rPr>
              <w:t>-14 950</w:t>
            </w:r>
          </w:p>
        </w:tc>
        <w:tc>
          <w:tcPr>
            <w:tcW w:w="647" w:type="pct"/>
            <w:shd w:val="clear" w:color="auto" w:fill="auto"/>
            <w:vAlign w:val="center"/>
          </w:tcPr>
          <w:p w14:paraId="537715E7" w14:textId="77777777" w:rsidR="0084732D" w:rsidRPr="00AF6067" w:rsidRDefault="0084732D" w:rsidP="006C0682">
            <w:pPr>
              <w:jc w:val="center"/>
              <w:rPr>
                <w:rFonts w:cs="Calibri"/>
                <w:color w:val="000000"/>
                <w:sz w:val="20"/>
                <w:szCs w:val="20"/>
              </w:rPr>
            </w:pPr>
            <w:r w:rsidRPr="00AF6067">
              <w:rPr>
                <w:rFonts w:cs="Calibri"/>
                <w:color w:val="000000"/>
                <w:sz w:val="20"/>
                <w:szCs w:val="20"/>
              </w:rPr>
              <w:t>80,4</w:t>
            </w:r>
          </w:p>
        </w:tc>
      </w:tr>
      <w:tr w:rsidR="0084732D" w:rsidRPr="005B5D4B" w14:paraId="7D10D005" w14:textId="77777777" w:rsidTr="006C0682">
        <w:trPr>
          <w:trHeight w:val="227"/>
        </w:trPr>
        <w:tc>
          <w:tcPr>
            <w:tcW w:w="1727" w:type="pct"/>
            <w:vAlign w:val="bottom"/>
          </w:tcPr>
          <w:p w14:paraId="24F0292B" w14:textId="77777777" w:rsidR="0084732D" w:rsidRPr="00AF6067" w:rsidRDefault="0084732D" w:rsidP="00CA4572">
            <w:pPr>
              <w:contextualSpacing/>
              <w:rPr>
                <w:rFonts w:eastAsia="Times New Roman" w:cs="Times New Roman"/>
                <w:bCs/>
                <w:sz w:val="20"/>
                <w:szCs w:val="20"/>
                <w:lang w:eastAsia="sk-SK"/>
              </w:rPr>
            </w:pPr>
            <w:r w:rsidRPr="002E55A3">
              <w:rPr>
                <w:rFonts w:eastAsia="Times New Roman" w:cs="Times New Roman"/>
                <w:bCs/>
                <w:sz w:val="20"/>
                <w:szCs w:val="20"/>
                <w:lang w:eastAsia="sk-SK"/>
              </w:rPr>
              <w:t>Zdravotnícke zariadenia miestnej samosprávy</w:t>
            </w:r>
          </w:p>
        </w:tc>
        <w:tc>
          <w:tcPr>
            <w:tcW w:w="657" w:type="pct"/>
            <w:shd w:val="clear" w:color="auto" w:fill="auto"/>
            <w:vAlign w:val="center"/>
          </w:tcPr>
          <w:p w14:paraId="2C680CB9" w14:textId="77777777" w:rsidR="0084732D" w:rsidRPr="00AF6067" w:rsidRDefault="0084732D" w:rsidP="006C0682">
            <w:pPr>
              <w:jc w:val="center"/>
              <w:rPr>
                <w:rFonts w:cs="Calibri"/>
                <w:color w:val="000000"/>
                <w:sz w:val="20"/>
                <w:szCs w:val="20"/>
              </w:rPr>
            </w:pPr>
            <w:r w:rsidRPr="00AF6067">
              <w:rPr>
                <w:rFonts w:cs="Calibri"/>
                <w:color w:val="000000"/>
                <w:sz w:val="20"/>
                <w:szCs w:val="20"/>
              </w:rPr>
              <w:t>1 075</w:t>
            </w:r>
          </w:p>
        </w:tc>
        <w:tc>
          <w:tcPr>
            <w:tcW w:w="657" w:type="pct"/>
            <w:shd w:val="clear" w:color="auto" w:fill="auto"/>
            <w:vAlign w:val="center"/>
          </w:tcPr>
          <w:p w14:paraId="2EBCCE3B" w14:textId="77777777" w:rsidR="0084732D" w:rsidRPr="00AF6067" w:rsidRDefault="0084732D" w:rsidP="006C0682">
            <w:pPr>
              <w:jc w:val="center"/>
              <w:rPr>
                <w:rFonts w:cs="Calibri"/>
                <w:color w:val="000000"/>
                <w:sz w:val="20"/>
                <w:szCs w:val="20"/>
              </w:rPr>
            </w:pPr>
            <w:r w:rsidRPr="00AF6067">
              <w:rPr>
                <w:rFonts w:cs="Calibri"/>
                <w:color w:val="000000"/>
                <w:sz w:val="20"/>
                <w:szCs w:val="20"/>
              </w:rPr>
              <w:t>3 472</w:t>
            </w:r>
          </w:p>
        </w:tc>
        <w:tc>
          <w:tcPr>
            <w:tcW w:w="657" w:type="pct"/>
            <w:shd w:val="clear" w:color="auto" w:fill="auto"/>
            <w:vAlign w:val="center"/>
          </w:tcPr>
          <w:p w14:paraId="1C4069AE" w14:textId="77777777" w:rsidR="0084732D" w:rsidRPr="00AF6067" w:rsidRDefault="0084732D" w:rsidP="006C0682">
            <w:pPr>
              <w:jc w:val="center"/>
              <w:rPr>
                <w:rFonts w:cs="Calibri"/>
                <w:color w:val="000000"/>
                <w:sz w:val="20"/>
                <w:szCs w:val="20"/>
              </w:rPr>
            </w:pPr>
            <w:r w:rsidRPr="00AF6067">
              <w:rPr>
                <w:rFonts w:cs="Calibri"/>
                <w:color w:val="000000"/>
                <w:sz w:val="20"/>
                <w:szCs w:val="20"/>
              </w:rPr>
              <w:t>3 042</w:t>
            </w:r>
          </w:p>
        </w:tc>
        <w:tc>
          <w:tcPr>
            <w:tcW w:w="655" w:type="pct"/>
            <w:shd w:val="clear" w:color="auto" w:fill="auto"/>
            <w:vAlign w:val="center"/>
          </w:tcPr>
          <w:p w14:paraId="6E22ED2F" w14:textId="77777777" w:rsidR="0084732D" w:rsidRPr="00AF6067" w:rsidRDefault="0084732D" w:rsidP="006C0682">
            <w:pPr>
              <w:jc w:val="center"/>
              <w:rPr>
                <w:rFonts w:cs="Calibri"/>
                <w:color w:val="000000"/>
                <w:sz w:val="20"/>
                <w:szCs w:val="20"/>
              </w:rPr>
            </w:pPr>
            <w:r w:rsidRPr="00AF6067">
              <w:rPr>
                <w:rFonts w:cs="Calibri"/>
                <w:color w:val="000000"/>
                <w:sz w:val="20"/>
                <w:szCs w:val="20"/>
              </w:rPr>
              <w:t>-430</w:t>
            </w:r>
          </w:p>
        </w:tc>
        <w:tc>
          <w:tcPr>
            <w:tcW w:w="647" w:type="pct"/>
            <w:shd w:val="clear" w:color="auto" w:fill="auto"/>
            <w:vAlign w:val="center"/>
          </w:tcPr>
          <w:p w14:paraId="4CF20E06" w14:textId="77777777" w:rsidR="0084732D" w:rsidRPr="00AF6067" w:rsidRDefault="0084732D" w:rsidP="006C0682">
            <w:pPr>
              <w:jc w:val="center"/>
              <w:rPr>
                <w:rFonts w:cs="Calibri"/>
                <w:color w:val="000000"/>
                <w:sz w:val="20"/>
                <w:szCs w:val="20"/>
              </w:rPr>
            </w:pPr>
            <w:r w:rsidRPr="00AF6067">
              <w:rPr>
                <w:rFonts w:cs="Calibri"/>
                <w:color w:val="000000"/>
                <w:sz w:val="20"/>
                <w:szCs w:val="20"/>
              </w:rPr>
              <w:t>87,6</w:t>
            </w:r>
          </w:p>
        </w:tc>
      </w:tr>
      <w:tr w:rsidR="0084732D" w:rsidRPr="005B5D4B" w14:paraId="39C3C2C8" w14:textId="77777777" w:rsidTr="006C0682">
        <w:trPr>
          <w:trHeight w:val="227"/>
        </w:trPr>
        <w:tc>
          <w:tcPr>
            <w:tcW w:w="1727" w:type="pct"/>
            <w:vAlign w:val="bottom"/>
          </w:tcPr>
          <w:p w14:paraId="090959D7" w14:textId="77777777" w:rsidR="0084732D" w:rsidRPr="00AF6067" w:rsidRDefault="0084732D" w:rsidP="00CA4572">
            <w:pPr>
              <w:contextualSpacing/>
              <w:rPr>
                <w:rFonts w:eastAsia="Times New Roman" w:cs="Times New Roman"/>
                <w:bCs/>
                <w:sz w:val="20"/>
                <w:szCs w:val="20"/>
                <w:lang w:eastAsia="sk-SK"/>
              </w:rPr>
            </w:pPr>
            <w:r w:rsidRPr="002E55A3">
              <w:rPr>
                <w:rFonts w:eastAsia="Times New Roman" w:cs="Times New Roman"/>
                <w:bCs/>
                <w:sz w:val="20"/>
                <w:szCs w:val="20"/>
                <w:lang w:eastAsia="sk-SK"/>
              </w:rPr>
              <w:t>Ostatné subjekty miestnej samosprávy</w:t>
            </w:r>
          </w:p>
        </w:tc>
        <w:tc>
          <w:tcPr>
            <w:tcW w:w="657" w:type="pct"/>
            <w:shd w:val="clear" w:color="auto" w:fill="auto"/>
            <w:vAlign w:val="center"/>
          </w:tcPr>
          <w:p w14:paraId="46C830B2" w14:textId="77777777" w:rsidR="0084732D" w:rsidRPr="00AF6067" w:rsidRDefault="0084732D" w:rsidP="006C0682">
            <w:pPr>
              <w:jc w:val="center"/>
              <w:rPr>
                <w:rFonts w:cs="Calibri"/>
                <w:color w:val="000000"/>
                <w:sz w:val="20"/>
                <w:szCs w:val="20"/>
              </w:rPr>
            </w:pPr>
            <w:r w:rsidRPr="00AF6067">
              <w:rPr>
                <w:rFonts w:cs="Calibri"/>
                <w:color w:val="000000"/>
                <w:sz w:val="20"/>
                <w:szCs w:val="20"/>
              </w:rPr>
              <w:t>2 577</w:t>
            </w:r>
          </w:p>
        </w:tc>
        <w:tc>
          <w:tcPr>
            <w:tcW w:w="657" w:type="pct"/>
            <w:shd w:val="clear" w:color="auto" w:fill="auto"/>
            <w:vAlign w:val="center"/>
          </w:tcPr>
          <w:p w14:paraId="09010139" w14:textId="77777777" w:rsidR="0084732D" w:rsidRPr="00AF6067" w:rsidRDefault="0084732D" w:rsidP="006C0682">
            <w:pPr>
              <w:jc w:val="center"/>
              <w:rPr>
                <w:rFonts w:cs="Calibri"/>
                <w:color w:val="000000"/>
                <w:sz w:val="20"/>
                <w:szCs w:val="20"/>
              </w:rPr>
            </w:pPr>
            <w:r w:rsidRPr="00AF6067">
              <w:rPr>
                <w:rFonts w:cs="Calibri"/>
                <w:color w:val="000000"/>
                <w:sz w:val="20"/>
                <w:szCs w:val="20"/>
              </w:rPr>
              <w:t>3 283</w:t>
            </w:r>
          </w:p>
        </w:tc>
        <w:tc>
          <w:tcPr>
            <w:tcW w:w="657" w:type="pct"/>
            <w:shd w:val="clear" w:color="auto" w:fill="auto"/>
            <w:vAlign w:val="center"/>
          </w:tcPr>
          <w:p w14:paraId="0698920C" w14:textId="77777777" w:rsidR="0084732D" w:rsidRPr="00AF6067" w:rsidRDefault="0084732D" w:rsidP="006C0682">
            <w:pPr>
              <w:jc w:val="center"/>
              <w:rPr>
                <w:rFonts w:cs="Calibri"/>
                <w:color w:val="000000"/>
                <w:sz w:val="20"/>
                <w:szCs w:val="20"/>
              </w:rPr>
            </w:pPr>
            <w:r w:rsidRPr="00AF6067">
              <w:rPr>
                <w:rFonts w:cs="Calibri"/>
                <w:color w:val="000000"/>
                <w:sz w:val="20"/>
                <w:szCs w:val="20"/>
              </w:rPr>
              <w:t>3 283</w:t>
            </w:r>
          </w:p>
        </w:tc>
        <w:tc>
          <w:tcPr>
            <w:tcW w:w="655" w:type="pct"/>
            <w:shd w:val="clear" w:color="auto" w:fill="auto"/>
            <w:vAlign w:val="center"/>
          </w:tcPr>
          <w:p w14:paraId="26277B87" w14:textId="77777777" w:rsidR="0084732D" w:rsidRPr="00AF6067" w:rsidRDefault="0084732D" w:rsidP="006C0682">
            <w:pPr>
              <w:jc w:val="center"/>
              <w:rPr>
                <w:rFonts w:cs="Calibri"/>
                <w:color w:val="000000"/>
                <w:sz w:val="20"/>
                <w:szCs w:val="20"/>
              </w:rPr>
            </w:pPr>
            <w:r w:rsidRPr="00AF6067">
              <w:rPr>
                <w:rFonts w:cs="Calibri"/>
                <w:color w:val="000000"/>
                <w:sz w:val="20"/>
                <w:szCs w:val="20"/>
              </w:rPr>
              <w:t>0</w:t>
            </w:r>
          </w:p>
        </w:tc>
        <w:tc>
          <w:tcPr>
            <w:tcW w:w="647" w:type="pct"/>
            <w:shd w:val="clear" w:color="auto" w:fill="auto"/>
            <w:vAlign w:val="center"/>
          </w:tcPr>
          <w:p w14:paraId="53BAA11D" w14:textId="77777777" w:rsidR="0084732D" w:rsidRPr="00AF6067" w:rsidRDefault="0084732D" w:rsidP="006C0682">
            <w:pPr>
              <w:jc w:val="center"/>
              <w:rPr>
                <w:rFonts w:cs="Calibri"/>
                <w:color w:val="000000"/>
                <w:sz w:val="20"/>
                <w:szCs w:val="20"/>
              </w:rPr>
            </w:pPr>
            <w:r w:rsidRPr="00AF6067">
              <w:rPr>
                <w:rFonts w:cs="Calibri"/>
                <w:color w:val="000000"/>
                <w:sz w:val="20"/>
                <w:szCs w:val="20"/>
              </w:rPr>
              <w:t>100,0</w:t>
            </w:r>
          </w:p>
        </w:tc>
      </w:tr>
    </w:tbl>
    <w:p w14:paraId="2614460E" w14:textId="4083415F" w:rsidR="0084732D" w:rsidRPr="00CA4572" w:rsidRDefault="0084732D" w:rsidP="00EE1799">
      <w:pPr>
        <w:spacing w:after="120"/>
        <w:jc w:val="both"/>
        <w:rPr>
          <w:rFonts w:eastAsia="Times New Roman" w:cs="Times New Roman"/>
          <w:i/>
          <w:sz w:val="18"/>
          <w:szCs w:val="20"/>
          <w:lang w:eastAsia="sk-SK"/>
        </w:rPr>
      </w:pPr>
      <w:r w:rsidRPr="00CA4572">
        <w:rPr>
          <w:rFonts w:eastAsia="Times New Roman" w:cs="Times New Roman"/>
          <w:i/>
          <w:sz w:val="18"/>
          <w:szCs w:val="20"/>
          <w:lang w:eastAsia="sk-SK"/>
        </w:rPr>
        <w:t xml:space="preserve">Zdroj: </w:t>
      </w:r>
      <w:r w:rsidR="007F4DD1">
        <w:rPr>
          <w:rFonts w:eastAsia="Times New Roman" w:cs="Times New Roman"/>
          <w:i/>
          <w:sz w:val="18"/>
          <w:szCs w:val="20"/>
          <w:lang w:eastAsia="sk-SK"/>
        </w:rPr>
        <w:t xml:space="preserve">Návrh </w:t>
      </w:r>
      <w:r w:rsidRPr="00CA4572">
        <w:rPr>
          <w:rFonts w:eastAsia="Times New Roman" w:cs="Times New Roman"/>
          <w:i/>
          <w:sz w:val="18"/>
          <w:szCs w:val="20"/>
          <w:lang w:eastAsia="sk-SK"/>
        </w:rPr>
        <w:t xml:space="preserve">ŠZÚ </w:t>
      </w:r>
      <w:r w:rsidR="007F4DD1">
        <w:rPr>
          <w:rFonts w:eastAsia="Times New Roman" w:cs="Times New Roman"/>
          <w:i/>
          <w:sz w:val="18"/>
          <w:szCs w:val="20"/>
          <w:lang w:eastAsia="sk-SK"/>
        </w:rPr>
        <w:t xml:space="preserve">za rok </w:t>
      </w:r>
      <w:r w:rsidRPr="00CA4572">
        <w:rPr>
          <w:rFonts w:eastAsia="Times New Roman" w:cs="Times New Roman"/>
          <w:i/>
          <w:sz w:val="18"/>
          <w:szCs w:val="20"/>
          <w:lang w:eastAsia="sk-SK"/>
        </w:rPr>
        <w:t>20</w:t>
      </w:r>
      <w:r w:rsidR="007F4DD1">
        <w:rPr>
          <w:rFonts w:eastAsia="Times New Roman" w:cs="Times New Roman"/>
          <w:i/>
          <w:sz w:val="18"/>
          <w:szCs w:val="20"/>
          <w:lang w:eastAsia="sk-SK"/>
        </w:rPr>
        <w:t>19</w:t>
      </w:r>
    </w:p>
    <w:p w14:paraId="72D040EE" w14:textId="63570D34" w:rsidR="0084732D" w:rsidRPr="007F4DD1" w:rsidRDefault="0084732D" w:rsidP="00CA4572">
      <w:pPr>
        <w:spacing w:before="60" w:after="60"/>
        <w:jc w:val="both"/>
        <w:rPr>
          <w:rFonts w:eastAsia="Times New Roman" w:cs="Times New Roman"/>
          <w:b/>
          <w:szCs w:val="24"/>
          <w:lang w:eastAsia="sk-SK"/>
        </w:rPr>
      </w:pPr>
      <w:r w:rsidRPr="0084732D">
        <w:rPr>
          <w:rFonts w:eastAsia="Times New Roman" w:cs="Times New Roman"/>
          <w:szCs w:val="24"/>
          <w:lang w:eastAsia="sk-SK"/>
        </w:rPr>
        <w:t>Celkový dlh územnej samosprávy narástol o 30 698 tis. eur. Na tomto náraste sa podieľali VÚC a</w:t>
      </w:r>
      <w:r w:rsidR="007F4DD1">
        <w:rPr>
          <w:rFonts w:eastAsia="Times New Roman" w:cs="Times New Roman"/>
          <w:szCs w:val="24"/>
          <w:lang w:eastAsia="sk-SK"/>
        </w:rPr>
        <w:t>j</w:t>
      </w:r>
      <w:r w:rsidRPr="0084732D">
        <w:rPr>
          <w:rFonts w:eastAsia="Times New Roman" w:cs="Times New Roman"/>
          <w:szCs w:val="24"/>
          <w:lang w:eastAsia="sk-SK"/>
        </w:rPr>
        <w:t xml:space="preserve"> obce a ich rozpočtové organizácie. </w:t>
      </w:r>
      <w:r w:rsidRPr="007F4DD1">
        <w:rPr>
          <w:rFonts w:eastAsia="Times New Roman" w:cs="Times New Roman"/>
          <w:b/>
          <w:szCs w:val="24"/>
          <w:lang w:eastAsia="sk-SK"/>
        </w:rPr>
        <w:t xml:space="preserve">NKÚ </w:t>
      </w:r>
      <w:r w:rsidR="007F4DD1" w:rsidRPr="007F4DD1">
        <w:rPr>
          <w:rFonts w:eastAsia="Times New Roman" w:cs="Times New Roman"/>
          <w:b/>
          <w:szCs w:val="24"/>
          <w:lang w:eastAsia="sk-SK"/>
        </w:rPr>
        <w:t xml:space="preserve">SR </w:t>
      </w:r>
      <w:r w:rsidRPr="007F4DD1">
        <w:rPr>
          <w:rFonts w:eastAsia="Times New Roman" w:cs="Times New Roman"/>
          <w:b/>
          <w:szCs w:val="24"/>
          <w:lang w:eastAsia="sk-SK"/>
        </w:rPr>
        <w:t>pozitívne hodnotí výrazné zníženie dlhu dopravných podnikov o 19,6</w:t>
      </w:r>
      <w:r w:rsidR="007F4DD1" w:rsidRPr="007F4DD1">
        <w:rPr>
          <w:rFonts w:eastAsia="Times New Roman" w:cs="Times New Roman"/>
          <w:b/>
          <w:szCs w:val="24"/>
          <w:lang w:eastAsia="sk-SK"/>
        </w:rPr>
        <w:t xml:space="preserve"> </w:t>
      </w:r>
      <w:r w:rsidRPr="007F4DD1">
        <w:rPr>
          <w:rFonts w:eastAsia="Times New Roman" w:cs="Times New Roman"/>
          <w:b/>
          <w:szCs w:val="24"/>
          <w:lang w:eastAsia="sk-SK"/>
        </w:rPr>
        <w:t>%.</w:t>
      </w:r>
    </w:p>
    <w:p w14:paraId="161B5A5B" w14:textId="34BAE379" w:rsidR="00BB7209" w:rsidRDefault="00BB7209" w:rsidP="007534CE">
      <w:pPr>
        <w:pStyle w:val="Nadpis2"/>
        <w:numPr>
          <w:ilvl w:val="1"/>
          <w:numId w:val="23"/>
        </w:numPr>
      </w:pPr>
      <w:bookmarkStart w:id="63" w:name="_Toc480788340"/>
      <w:bookmarkStart w:id="64" w:name="_Toc481657175"/>
      <w:bookmarkStart w:id="65" w:name="_Toc10096303"/>
      <w:bookmarkStart w:id="66" w:name="_Toc43218089"/>
      <w:r w:rsidRPr="00757E44">
        <w:t>Hospodárenie obcí</w:t>
      </w:r>
      <w:bookmarkEnd w:id="63"/>
      <w:bookmarkEnd w:id="64"/>
      <w:bookmarkEnd w:id="65"/>
      <w:bookmarkEnd w:id="66"/>
    </w:p>
    <w:p w14:paraId="70E4819A" w14:textId="4273D09F" w:rsidR="007F4DD1" w:rsidRDefault="007F4DD1" w:rsidP="007F4DD1">
      <w:pPr>
        <w:spacing w:before="120" w:after="120"/>
        <w:jc w:val="both"/>
        <w:rPr>
          <w:rFonts w:eastAsia="Times New Roman" w:cs="Times New Roman"/>
          <w:szCs w:val="24"/>
          <w:lang w:eastAsia="sk-SK"/>
        </w:rPr>
      </w:pPr>
      <w:r>
        <w:rPr>
          <w:rFonts w:eastAsia="Times New Roman" w:cs="Times New Roman"/>
          <w:szCs w:val="24"/>
          <w:lang w:eastAsia="sk-SK"/>
        </w:rPr>
        <w:t>Obce v roku 2019</w:t>
      </w:r>
      <w:r w:rsidRPr="005A08CB">
        <w:rPr>
          <w:rFonts w:eastAsia="Times New Roman" w:cs="Times New Roman"/>
          <w:szCs w:val="24"/>
          <w:lang w:eastAsia="sk-SK"/>
        </w:rPr>
        <w:t xml:space="preserve"> napĺňali </w:t>
      </w:r>
      <w:r>
        <w:rPr>
          <w:rFonts w:eastAsia="Times New Roman" w:cs="Times New Roman"/>
          <w:szCs w:val="24"/>
          <w:lang w:eastAsia="sk-SK"/>
        </w:rPr>
        <w:t xml:space="preserve">príjmy </w:t>
      </w:r>
      <w:r w:rsidRPr="005A08CB">
        <w:rPr>
          <w:rFonts w:eastAsia="Times New Roman" w:cs="Times New Roman"/>
          <w:szCs w:val="24"/>
          <w:lang w:eastAsia="sk-SK"/>
        </w:rPr>
        <w:t>opäť rýchlejšie</w:t>
      </w:r>
      <w:r>
        <w:rPr>
          <w:rFonts w:eastAsia="Times New Roman" w:cs="Times New Roman"/>
          <w:szCs w:val="24"/>
          <w:lang w:eastAsia="sk-SK"/>
        </w:rPr>
        <w:t>,</w:t>
      </w:r>
      <w:r w:rsidRPr="005A08CB">
        <w:rPr>
          <w:rFonts w:eastAsia="Times New Roman" w:cs="Times New Roman"/>
          <w:szCs w:val="24"/>
          <w:lang w:eastAsia="sk-SK"/>
        </w:rPr>
        <w:t xml:space="preserve"> </w:t>
      </w:r>
      <w:r>
        <w:rPr>
          <w:rFonts w:eastAsia="Times New Roman" w:cs="Times New Roman"/>
          <w:szCs w:val="24"/>
          <w:lang w:eastAsia="sk-SK"/>
        </w:rPr>
        <w:t>než</w:t>
      </w:r>
      <w:r w:rsidRPr="005A08CB">
        <w:rPr>
          <w:rFonts w:eastAsia="Times New Roman" w:cs="Times New Roman"/>
          <w:szCs w:val="24"/>
          <w:lang w:eastAsia="sk-SK"/>
        </w:rPr>
        <w:t xml:space="preserve"> ich m</w:t>
      </w:r>
      <w:r w:rsidR="00F17E77">
        <w:rPr>
          <w:rFonts w:eastAsia="Times New Roman" w:cs="Times New Roman"/>
          <w:szCs w:val="24"/>
          <w:lang w:eastAsia="sk-SK"/>
        </w:rPr>
        <w:t>íňali</w:t>
      </w:r>
      <w:r w:rsidRPr="005A08CB">
        <w:rPr>
          <w:rFonts w:eastAsia="Times New Roman" w:cs="Times New Roman"/>
          <w:szCs w:val="24"/>
          <w:lang w:eastAsia="sk-SK"/>
        </w:rPr>
        <w:t xml:space="preserve">. Rozdiel príjmov a výdavkov dosiahol </w:t>
      </w:r>
      <w:r>
        <w:rPr>
          <w:rFonts w:eastAsia="Times New Roman" w:cs="Times New Roman"/>
          <w:szCs w:val="24"/>
          <w:lang w:eastAsia="sk-SK"/>
        </w:rPr>
        <w:t>411 290</w:t>
      </w:r>
      <w:r w:rsidRPr="005A08CB">
        <w:rPr>
          <w:rFonts w:eastAsia="Times New Roman" w:cs="Times New Roman"/>
          <w:szCs w:val="24"/>
          <w:lang w:eastAsia="sk-SK"/>
        </w:rPr>
        <w:t xml:space="preserve"> tis. eur.</w:t>
      </w:r>
      <w:r>
        <w:rPr>
          <w:rFonts w:eastAsia="Times New Roman" w:cs="Times New Roman"/>
          <w:szCs w:val="24"/>
          <w:lang w:eastAsia="sk-SK"/>
        </w:rPr>
        <w:t xml:space="preserve"> Príjmy aj výdavky obcí rástli navzájom úmerným indexom.</w:t>
      </w:r>
      <w:r w:rsidRPr="005A08CB">
        <w:rPr>
          <w:rFonts w:eastAsia="Times New Roman" w:cs="Times New Roman"/>
          <w:szCs w:val="24"/>
          <w:lang w:eastAsia="sk-SK"/>
        </w:rPr>
        <w:t xml:space="preserve"> </w:t>
      </w:r>
      <w:r>
        <w:rPr>
          <w:rFonts w:eastAsia="Times New Roman" w:cs="Times New Roman"/>
          <w:szCs w:val="24"/>
          <w:lang w:eastAsia="sk-SK"/>
        </w:rPr>
        <w:t xml:space="preserve">Medziročne príjmy vzrástli o 8,3 % a výdavky o 8,2 </w:t>
      </w:r>
      <w:r>
        <w:rPr>
          <w:rFonts w:eastAsia="Times New Roman" w:cs="Times New Roman"/>
          <w:szCs w:val="24"/>
          <w:lang w:val="en-US" w:eastAsia="sk-SK"/>
        </w:rPr>
        <w:t xml:space="preserve">%. </w:t>
      </w:r>
      <w:r w:rsidRPr="005A08CB">
        <w:rPr>
          <w:rFonts w:eastAsia="Times New Roman" w:cs="Times New Roman"/>
          <w:szCs w:val="24"/>
          <w:lang w:eastAsia="sk-SK"/>
        </w:rPr>
        <w:t>V zmysle zákona o rozpočtových pravidlách územnej samosprávy obce návrhy svojich ZÚ prerokujú najneskôr do šiestich mesiacov po uplynutí rozpočtového roka.</w:t>
      </w:r>
    </w:p>
    <w:p w14:paraId="0EBC5708" w14:textId="77777777" w:rsidR="00D9070A" w:rsidRDefault="00D9070A" w:rsidP="00CA4572">
      <w:pPr>
        <w:spacing w:before="60"/>
        <w:jc w:val="both"/>
        <w:rPr>
          <w:rFonts w:eastAsia="Times New Roman" w:cs="Times New Roman"/>
          <w:b/>
          <w:i/>
          <w:szCs w:val="24"/>
          <w:lang w:eastAsia="sk-SK"/>
        </w:rPr>
      </w:pPr>
    </w:p>
    <w:p w14:paraId="7657548D" w14:textId="77777777" w:rsidR="00D9070A" w:rsidRDefault="00D9070A" w:rsidP="00CA4572">
      <w:pPr>
        <w:spacing w:before="60"/>
        <w:jc w:val="both"/>
        <w:rPr>
          <w:rFonts w:eastAsia="Times New Roman" w:cs="Times New Roman"/>
          <w:b/>
          <w:i/>
          <w:szCs w:val="24"/>
          <w:lang w:eastAsia="sk-SK"/>
        </w:rPr>
      </w:pPr>
    </w:p>
    <w:p w14:paraId="1EE71F61" w14:textId="7346988D" w:rsidR="0084732D" w:rsidRPr="00132C0F" w:rsidRDefault="0084732D" w:rsidP="00CA4572">
      <w:pPr>
        <w:spacing w:before="60"/>
        <w:jc w:val="both"/>
        <w:rPr>
          <w:rFonts w:eastAsia="Times New Roman" w:cs="Times New Roman"/>
          <w:b/>
          <w:i/>
          <w:szCs w:val="24"/>
          <w:lang w:eastAsia="sk-SK"/>
        </w:rPr>
      </w:pPr>
      <w:r w:rsidRPr="00132C0F">
        <w:rPr>
          <w:rFonts w:eastAsia="Times New Roman" w:cs="Times New Roman"/>
          <w:b/>
          <w:i/>
          <w:szCs w:val="24"/>
          <w:lang w:eastAsia="sk-SK"/>
        </w:rPr>
        <w:lastRenderedPageBreak/>
        <w:t>Porovnanie skutočného bilančného zostatku obcí na hotovostnej báze za roky 201</w:t>
      </w:r>
      <w:r>
        <w:rPr>
          <w:rFonts w:eastAsia="Times New Roman" w:cs="Times New Roman"/>
          <w:b/>
          <w:i/>
          <w:szCs w:val="24"/>
          <w:lang w:eastAsia="sk-SK"/>
        </w:rPr>
        <w:t>7</w:t>
      </w:r>
      <w:r w:rsidRPr="00132C0F">
        <w:rPr>
          <w:rFonts w:eastAsia="Times New Roman" w:cs="Times New Roman"/>
          <w:b/>
          <w:i/>
          <w:szCs w:val="24"/>
          <w:lang w:eastAsia="sk-SK"/>
        </w:rPr>
        <w:t xml:space="preserve"> až 201</w:t>
      </w:r>
      <w:r>
        <w:rPr>
          <w:rFonts w:eastAsia="Times New Roman" w:cs="Times New Roman"/>
          <w:b/>
          <w:i/>
          <w:szCs w:val="24"/>
          <w:lang w:eastAsia="sk-SK"/>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9"/>
        <w:gridCol w:w="1300"/>
        <w:gridCol w:w="1300"/>
        <w:gridCol w:w="1299"/>
        <w:gridCol w:w="1295"/>
        <w:gridCol w:w="1293"/>
      </w:tblGrid>
      <w:tr w:rsidR="0084732D" w:rsidRPr="00A10BBD" w14:paraId="33B818D5" w14:textId="77777777" w:rsidTr="006C0682">
        <w:trPr>
          <w:trHeight w:val="20"/>
          <w:tblHeader/>
        </w:trPr>
        <w:tc>
          <w:tcPr>
            <w:tcW w:w="1529" w:type="pct"/>
            <w:shd w:val="clear" w:color="auto" w:fill="0070C0"/>
            <w:vAlign w:val="center"/>
            <w:hideMark/>
          </w:tcPr>
          <w:p w14:paraId="06AB3182" w14:textId="4B1F0F6E" w:rsidR="0084732D" w:rsidRPr="00A10BBD" w:rsidRDefault="0084732D" w:rsidP="002E55A3">
            <w:pPr>
              <w:jc w:val="center"/>
              <w:rPr>
                <w:rFonts w:eastAsia="Times New Roman" w:cs="Times New Roman"/>
                <w:b/>
                <w:color w:val="FFFFFF"/>
                <w:sz w:val="20"/>
                <w:szCs w:val="20"/>
                <w:lang w:eastAsia="sk-SK"/>
              </w:rPr>
            </w:pPr>
            <w:r w:rsidRPr="00A10BBD">
              <w:rPr>
                <w:rFonts w:eastAsia="Times New Roman" w:cs="Times New Roman"/>
                <w:b/>
                <w:color w:val="FFFFFF"/>
                <w:sz w:val="20"/>
                <w:szCs w:val="20"/>
                <w:lang w:eastAsia="sk-SK"/>
              </w:rPr>
              <w:t>Názov ukazovateľa</w:t>
            </w:r>
            <w:r w:rsidR="00C4057C" w:rsidRPr="00A10BBD">
              <w:rPr>
                <w:rFonts w:eastAsia="Times New Roman" w:cs="Times New Roman"/>
                <w:b/>
                <w:color w:val="FFFFFF"/>
                <w:sz w:val="20"/>
                <w:szCs w:val="20"/>
                <w:lang w:eastAsia="sk-SK"/>
              </w:rPr>
              <w:t xml:space="preserve"> </w:t>
            </w:r>
            <w:r w:rsidRPr="00A10BBD">
              <w:rPr>
                <w:rFonts w:eastAsia="Times New Roman" w:cs="Times New Roman"/>
                <w:b/>
                <w:color w:val="FFFFFF"/>
                <w:sz w:val="20"/>
                <w:szCs w:val="20"/>
                <w:lang w:eastAsia="sk-SK"/>
              </w:rPr>
              <w:t>(tis. eur)</w:t>
            </w:r>
          </w:p>
        </w:tc>
        <w:tc>
          <w:tcPr>
            <w:tcW w:w="695" w:type="pct"/>
            <w:shd w:val="clear" w:color="auto" w:fill="0070C0"/>
            <w:vAlign w:val="center"/>
          </w:tcPr>
          <w:p w14:paraId="7096FB53" w14:textId="77777777" w:rsidR="0084732D" w:rsidRPr="00A10BBD" w:rsidRDefault="0084732D" w:rsidP="00CA4572">
            <w:pPr>
              <w:jc w:val="center"/>
              <w:rPr>
                <w:rFonts w:eastAsia="Times New Roman" w:cs="Times New Roman"/>
                <w:b/>
                <w:color w:val="FFFFFF"/>
                <w:sz w:val="20"/>
                <w:szCs w:val="20"/>
                <w:lang w:eastAsia="sk-SK"/>
              </w:rPr>
            </w:pPr>
            <w:r w:rsidRPr="00A10BBD">
              <w:rPr>
                <w:rFonts w:eastAsia="Times New Roman" w:cs="Times New Roman"/>
                <w:b/>
                <w:color w:val="FFFFFF"/>
                <w:sz w:val="20"/>
                <w:szCs w:val="20"/>
                <w:lang w:eastAsia="sk-SK"/>
              </w:rPr>
              <w:t>2017</w:t>
            </w:r>
          </w:p>
        </w:tc>
        <w:tc>
          <w:tcPr>
            <w:tcW w:w="695" w:type="pct"/>
            <w:shd w:val="clear" w:color="auto" w:fill="0070C0"/>
            <w:vAlign w:val="center"/>
          </w:tcPr>
          <w:p w14:paraId="6B349AB5" w14:textId="77777777" w:rsidR="0084732D" w:rsidRPr="00A10BBD" w:rsidRDefault="0084732D" w:rsidP="00CA4572">
            <w:pPr>
              <w:jc w:val="center"/>
              <w:rPr>
                <w:rFonts w:eastAsia="Times New Roman" w:cs="Times New Roman"/>
                <w:b/>
                <w:color w:val="FFFFFF"/>
                <w:sz w:val="20"/>
                <w:szCs w:val="20"/>
                <w:lang w:eastAsia="sk-SK"/>
              </w:rPr>
            </w:pPr>
            <w:r w:rsidRPr="00A10BBD">
              <w:rPr>
                <w:rFonts w:eastAsia="Times New Roman" w:cs="Times New Roman"/>
                <w:b/>
                <w:color w:val="FFFFFF"/>
                <w:sz w:val="20"/>
                <w:szCs w:val="20"/>
                <w:lang w:eastAsia="sk-SK"/>
              </w:rPr>
              <w:t>2018</w:t>
            </w:r>
          </w:p>
        </w:tc>
        <w:tc>
          <w:tcPr>
            <w:tcW w:w="695" w:type="pct"/>
            <w:shd w:val="clear" w:color="auto" w:fill="0070C0"/>
            <w:vAlign w:val="center"/>
          </w:tcPr>
          <w:p w14:paraId="5C1FFFD2" w14:textId="77777777" w:rsidR="0084732D" w:rsidRPr="00A10BBD" w:rsidRDefault="0084732D" w:rsidP="00CA4572">
            <w:pPr>
              <w:jc w:val="center"/>
              <w:rPr>
                <w:rFonts w:eastAsia="Times New Roman" w:cs="Times New Roman"/>
                <w:b/>
                <w:color w:val="FFFFFF"/>
                <w:sz w:val="20"/>
                <w:szCs w:val="20"/>
                <w:lang w:eastAsia="sk-SK"/>
              </w:rPr>
            </w:pPr>
            <w:r w:rsidRPr="00A10BBD">
              <w:rPr>
                <w:rFonts w:eastAsia="Times New Roman" w:cs="Times New Roman"/>
                <w:b/>
                <w:color w:val="FFFFFF"/>
                <w:sz w:val="20"/>
                <w:szCs w:val="20"/>
                <w:lang w:eastAsia="sk-SK"/>
              </w:rPr>
              <w:t>2019</w:t>
            </w:r>
          </w:p>
        </w:tc>
        <w:tc>
          <w:tcPr>
            <w:tcW w:w="693" w:type="pct"/>
            <w:shd w:val="clear" w:color="auto" w:fill="0070C0"/>
            <w:vAlign w:val="center"/>
          </w:tcPr>
          <w:p w14:paraId="48824D91" w14:textId="6B4BA21B" w:rsidR="0084732D" w:rsidRPr="00A10BBD" w:rsidRDefault="0072153C">
            <w:pPr>
              <w:jc w:val="center"/>
              <w:rPr>
                <w:rFonts w:eastAsia="Times New Roman" w:cs="Times New Roman"/>
                <w:b/>
                <w:color w:val="FFFFFF"/>
                <w:sz w:val="20"/>
                <w:szCs w:val="20"/>
                <w:lang w:eastAsia="sk-SK"/>
              </w:rPr>
            </w:pPr>
            <w:r w:rsidRPr="00A10BBD">
              <w:rPr>
                <w:rFonts w:eastAsia="Times New Roman" w:cs="Times New Roman"/>
                <w:b/>
                <w:color w:val="FFFFFF"/>
                <w:sz w:val="20"/>
                <w:szCs w:val="20"/>
                <w:lang w:eastAsia="sk-SK"/>
              </w:rPr>
              <w:t>Rozdiel</w:t>
            </w:r>
          </w:p>
        </w:tc>
        <w:tc>
          <w:tcPr>
            <w:tcW w:w="692" w:type="pct"/>
            <w:shd w:val="clear" w:color="auto" w:fill="0070C0"/>
            <w:vAlign w:val="center"/>
          </w:tcPr>
          <w:p w14:paraId="2E1D43A0" w14:textId="691A345C" w:rsidR="0084732D" w:rsidRPr="00A10BBD" w:rsidRDefault="0084732D" w:rsidP="006C0682">
            <w:pPr>
              <w:pStyle w:val="In0"/>
              <w:shd w:val="clear" w:color="auto" w:fill="auto"/>
              <w:spacing w:after="0" w:line="240" w:lineRule="auto"/>
              <w:jc w:val="center"/>
              <w:rPr>
                <w:rFonts w:ascii="Arial Narrow" w:hAnsi="Arial Narrow"/>
                <w:b/>
                <w:color w:val="FFFFFF"/>
                <w:lang w:eastAsia="sk-SK"/>
              </w:rPr>
            </w:pPr>
            <w:r w:rsidRPr="00A10BBD">
              <w:rPr>
                <w:rFonts w:ascii="Arial Narrow" w:eastAsia="Arial" w:hAnsi="Arial Narrow" w:cs="Arial"/>
                <w:b/>
                <w:bCs/>
                <w:color w:val="FFFFFF" w:themeColor="background1"/>
                <w:sz w:val="20"/>
                <w:szCs w:val="20"/>
              </w:rPr>
              <w:t>Index (</w:t>
            </w:r>
            <w:r w:rsidR="0072153C" w:rsidRPr="00A10BBD">
              <w:rPr>
                <w:rFonts w:ascii="Arial Narrow" w:eastAsia="Arial" w:hAnsi="Arial Narrow" w:cs="Arial"/>
                <w:b/>
                <w:bCs/>
                <w:color w:val="FFFFFF" w:themeColor="background1"/>
                <w:sz w:val="20"/>
                <w:szCs w:val="20"/>
              </w:rPr>
              <w:t xml:space="preserve">v </w:t>
            </w:r>
            <w:r w:rsidRPr="00A10BBD">
              <w:rPr>
                <w:rFonts w:ascii="Arial Narrow" w:eastAsia="Arial" w:hAnsi="Arial Narrow" w:cs="Arial"/>
                <w:b/>
                <w:bCs/>
                <w:color w:val="FFFFFF" w:themeColor="background1"/>
                <w:sz w:val="20"/>
                <w:szCs w:val="20"/>
              </w:rPr>
              <w:t>%)</w:t>
            </w:r>
          </w:p>
        </w:tc>
      </w:tr>
      <w:tr w:rsidR="00C4057C" w:rsidRPr="00A10BBD" w14:paraId="21DF864B" w14:textId="77777777" w:rsidTr="00A57641">
        <w:trPr>
          <w:trHeight w:val="20"/>
        </w:trPr>
        <w:tc>
          <w:tcPr>
            <w:tcW w:w="1529" w:type="pct"/>
          </w:tcPr>
          <w:p w14:paraId="124EA12E" w14:textId="6BE56487" w:rsidR="00C4057C" w:rsidRPr="00A10BBD" w:rsidRDefault="00C4057C" w:rsidP="006C0682">
            <w:pPr>
              <w:jc w:val="center"/>
              <w:rPr>
                <w:rFonts w:eastAsia="Times New Roman" w:cs="Times New Roman"/>
                <w:sz w:val="20"/>
                <w:szCs w:val="20"/>
                <w:lang w:eastAsia="sk-SK"/>
              </w:rPr>
            </w:pPr>
            <w:r w:rsidRPr="00A10BBD">
              <w:rPr>
                <w:rFonts w:eastAsia="Times New Roman" w:cs="Times New Roman"/>
                <w:sz w:val="20"/>
                <w:szCs w:val="20"/>
                <w:lang w:eastAsia="sk-SK"/>
              </w:rPr>
              <w:t>a</w:t>
            </w:r>
          </w:p>
        </w:tc>
        <w:tc>
          <w:tcPr>
            <w:tcW w:w="695" w:type="pct"/>
          </w:tcPr>
          <w:p w14:paraId="6D8A23B8" w14:textId="188695C7" w:rsidR="00C4057C" w:rsidRPr="00A10BBD" w:rsidRDefault="00C4057C" w:rsidP="002E55A3">
            <w:pPr>
              <w:jc w:val="center"/>
              <w:rPr>
                <w:rFonts w:eastAsia="Calibri" w:cs="Times New Roman"/>
                <w:sz w:val="20"/>
                <w:szCs w:val="20"/>
              </w:rPr>
            </w:pPr>
            <w:r w:rsidRPr="00A10BBD">
              <w:rPr>
                <w:rFonts w:eastAsia="Calibri" w:cs="Times New Roman"/>
                <w:sz w:val="20"/>
                <w:szCs w:val="20"/>
              </w:rPr>
              <w:t>1</w:t>
            </w:r>
          </w:p>
        </w:tc>
        <w:tc>
          <w:tcPr>
            <w:tcW w:w="695" w:type="pct"/>
          </w:tcPr>
          <w:p w14:paraId="67894B05" w14:textId="71627BF8" w:rsidR="00C4057C" w:rsidRPr="00A10BBD" w:rsidRDefault="00C4057C" w:rsidP="002E55A3">
            <w:pPr>
              <w:jc w:val="center"/>
              <w:rPr>
                <w:rFonts w:eastAsia="Calibri" w:cs="Times New Roman"/>
                <w:sz w:val="20"/>
                <w:szCs w:val="20"/>
              </w:rPr>
            </w:pPr>
            <w:r w:rsidRPr="00A10BBD">
              <w:rPr>
                <w:rFonts w:eastAsia="Calibri" w:cs="Times New Roman"/>
                <w:sz w:val="20"/>
                <w:szCs w:val="20"/>
              </w:rPr>
              <w:t>2</w:t>
            </w:r>
          </w:p>
        </w:tc>
        <w:tc>
          <w:tcPr>
            <w:tcW w:w="695" w:type="pct"/>
          </w:tcPr>
          <w:p w14:paraId="190FDE5A" w14:textId="5F6B77FF" w:rsidR="00C4057C" w:rsidRPr="00A10BBD" w:rsidRDefault="00C4057C">
            <w:pPr>
              <w:jc w:val="center"/>
              <w:rPr>
                <w:rFonts w:eastAsia="Calibri" w:cs="Times New Roman"/>
                <w:sz w:val="20"/>
                <w:szCs w:val="20"/>
              </w:rPr>
            </w:pPr>
            <w:r w:rsidRPr="00A10BBD">
              <w:rPr>
                <w:rFonts w:eastAsia="Calibri" w:cs="Times New Roman"/>
                <w:sz w:val="20"/>
                <w:szCs w:val="20"/>
              </w:rPr>
              <w:t>3</w:t>
            </w:r>
          </w:p>
        </w:tc>
        <w:tc>
          <w:tcPr>
            <w:tcW w:w="693" w:type="pct"/>
          </w:tcPr>
          <w:p w14:paraId="10D1ECE1" w14:textId="3FFC7BE4" w:rsidR="00C4057C" w:rsidRPr="00A10BBD" w:rsidRDefault="00C4057C">
            <w:pPr>
              <w:jc w:val="center"/>
              <w:rPr>
                <w:rFonts w:eastAsia="Calibri" w:cs="Times New Roman"/>
                <w:sz w:val="20"/>
                <w:szCs w:val="20"/>
              </w:rPr>
            </w:pPr>
            <w:r w:rsidRPr="00A10BBD">
              <w:rPr>
                <w:rFonts w:eastAsia="Calibri" w:cs="Times New Roman"/>
                <w:sz w:val="20"/>
                <w:szCs w:val="20"/>
              </w:rPr>
              <w:t>4 = 3 - 2</w:t>
            </w:r>
          </w:p>
        </w:tc>
        <w:tc>
          <w:tcPr>
            <w:tcW w:w="692" w:type="pct"/>
          </w:tcPr>
          <w:p w14:paraId="60792078" w14:textId="278F23FF" w:rsidR="00C4057C" w:rsidRPr="00A10BBD" w:rsidRDefault="00C4057C">
            <w:pPr>
              <w:jc w:val="center"/>
              <w:rPr>
                <w:rFonts w:eastAsia="Calibri" w:cs="Times New Roman"/>
                <w:sz w:val="20"/>
                <w:szCs w:val="20"/>
              </w:rPr>
            </w:pPr>
            <w:r w:rsidRPr="00A10BBD">
              <w:rPr>
                <w:rFonts w:eastAsia="Calibri" w:cs="Times New Roman"/>
                <w:sz w:val="20"/>
                <w:szCs w:val="20"/>
              </w:rPr>
              <w:t>5 = 3 / 2</w:t>
            </w:r>
          </w:p>
        </w:tc>
      </w:tr>
      <w:tr w:rsidR="0084732D" w:rsidRPr="00A10BBD" w14:paraId="02FC755B" w14:textId="77777777" w:rsidTr="00A57641">
        <w:trPr>
          <w:trHeight w:val="20"/>
        </w:trPr>
        <w:tc>
          <w:tcPr>
            <w:tcW w:w="1529" w:type="pct"/>
          </w:tcPr>
          <w:p w14:paraId="389D76B3" w14:textId="77777777" w:rsidR="0084732D" w:rsidRPr="00A10BBD" w:rsidRDefault="0084732D" w:rsidP="00CA4572">
            <w:pPr>
              <w:rPr>
                <w:rFonts w:eastAsia="Times New Roman" w:cs="Times New Roman"/>
                <w:b/>
                <w:sz w:val="20"/>
                <w:szCs w:val="20"/>
                <w:lang w:eastAsia="sk-SK"/>
              </w:rPr>
            </w:pPr>
            <w:r w:rsidRPr="00A10BBD">
              <w:rPr>
                <w:rFonts w:eastAsia="Times New Roman" w:cs="Times New Roman"/>
                <w:b/>
                <w:sz w:val="20"/>
                <w:szCs w:val="20"/>
                <w:lang w:eastAsia="sk-SK"/>
              </w:rPr>
              <w:t>Bilančný zostatok obcí</w:t>
            </w:r>
          </w:p>
        </w:tc>
        <w:tc>
          <w:tcPr>
            <w:tcW w:w="695" w:type="pct"/>
          </w:tcPr>
          <w:p w14:paraId="0BDF8A45" w14:textId="77777777" w:rsidR="0084732D" w:rsidRPr="00A10BBD" w:rsidRDefault="0084732D" w:rsidP="006C0682">
            <w:pPr>
              <w:jc w:val="center"/>
              <w:rPr>
                <w:rFonts w:eastAsia="Times New Roman" w:cs="Times New Roman"/>
                <w:b/>
                <w:sz w:val="20"/>
                <w:szCs w:val="20"/>
                <w:lang w:eastAsia="sk-SK"/>
              </w:rPr>
            </w:pPr>
            <w:r w:rsidRPr="00A10BBD">
              <w:rPr>
                <w:rFonts w:eastAsia="Calibri" w:cs="Times New Roman"/>
                <w:b/>
                <w:sz w:val="20"/>
                <w:szCs w:val="20"/>
              </w:rPr>
              <w:t>302 484</w:t>
            </w:r>
          </w:p>
        </w:tc>
        <w:tc>
          <w:tcPr>
            <w:tcW w:w="695" w:type="pct"/>
          </w:tcPr>
          <w:p w14:paraId="19C8395C" w14:textId="77777777" w:rsidR="0084732D" w:rsidRPr="00A10BBD" w:rsidRDefault="0084732D" w:rsidP="006C0682">
            <w:pPr>
              <w:jc w:val="center"/>
              <w:rPr>
                <w:rFonts w:eastAsia="Calibri" w:cs="Times New Roman"/>
                <w:b/>
                <w:sz w:val="20"/>
                <w:szCs w:val="20"/>
              </w:rPr>
            </w:pPr>
            <w:r w:rsidRPr="00A10BBD">
              <w:rPr>
                <w:rFonts w:eastAsia="Calibri" w:cs="Times New Roman"/>
                <w:b/>
                <w:sz w:val="20"/>
                <w:szCs w:val="20"/>
              </w:rPr>
              <w:t>374 809</w:t>
            </w:r>
          </w:p>
        </w:tc>
        <w:tc>
          <w:tcPr>
            <w:tcW w:w="695" w:type="pct"/>
          </w:tcPr>
          <w:p w14:paraId="314D2C0E" w14:textId="77777777" w:rsidR="0084732D" w:rsidRPr="00A10BBD" w:rsidRDefault="0084732D" w:rsidP="006C0682">
            <w:pPr>
              <w:jc w:val="center"/>
              <w:rPr>
                <w:rFonts w:eastAsia="Calibri" w:cs="Times New Roman"/>
                <w:b/>
                <w:sz w:val="20"/>
                <w:szCs w:val="20"/>
              </w:rPr>
            </w:pPr>
            <w:r w:rsidRPr="00A10BBD">
              <w:rPr>
                <w:rFonts w:eastAsia="Calibri" w:cs="Times New Roman"/>
                <w:b/>
                <w:sz w:val="20"/>
                <w:szCs w:val="20"/>
              </w:rPr>
              <w:t>411 290</w:t>
            </w:r>
          </w:p>
        </w:tc>
        <w:tc>
          <w:tcPr>
            <w:tcW w:w="693" w:type="pct"/>
          </w:tcPr>
          <w:p w14:paraId="789FE050" w14:textId="77777777" w:rsidR="0084732D" w:rsidRPr="00A10BBD" w:rsidRDefault="0084732D" w:rsidP="006C0682">
            <w:pPr>
              <w:jc w:val="center"/>
              <w:rPr>
                <w:rFonts w:eastAsia="Calibri" w:cs="Times New Roman"/>
                <w:b/>
                <w:sz w:val="20"/>
                <w:szCs w:val="20"/>
              </w:rPr>
            </w:pPr>
            <w:r w:rsidRPr="00A10BBD">
              <w:rPr>
                <w:rFonts w:eastAsia="Calibri" w:cs="Times New Roman"/>
                <w:b/>
                <w:sz w:val="20"/>
                <w:szCs w:val="20"/>
              </w:rPr>
              <w:t>36 481</w:t>
            </w:r>
          </w:p>
        </w:tc>
        <w:tc>
          <w:tcPr>
            <w:tcW w:w="692" w:type="pct"/>
          </w:tcPr>
          <w:p w14:paraId="286D44FD" w14:textId="77777777" w:rsidR="0084732D" w:rsidRPr="00A10BBD" w:rsidRDefault="0084732D" w:rsidP="006C0682">
            <w:pPr>
              <w:jc w:val="center"/>
              <w:rPr>
                <w:rFonts w:eastAsia="Calibri" w:cs="Times New Roman"/>
                <w:b/>
                <w:sz w:val="20"/>
                <w:szCs w:val="20"/>
              </w:rPr>
            </w:pPr>
            <w:r w:rsidRPr="00A10BBD">
              <w:rPr>
                <w:rFonts w:eastAsia="Calibri" w:cs="Times New Roman"/>
                <w:b/>
                <w:sz w:val="20"/>
                <w:szCs w:val="20"/>
              </w:rPr>
              <w:t>109,7</w:t>
            </w:r>
          </w:p>
        </w:tc>
      </w:tr>
      <w:tr w:rsidR="0084732D" w:rsidRPr="00A10BBD" w14:paraId="0F13BCAF" w14:textId="77777777" w:rsidTr="00A57641">
        <w:trPr>
          <w:trHeight w:val="20"/>
        </w:trPr>
        <w:tc>
          <w:tcPr>
            <w:tcW w:w="1529" w:type="pct"/>
          </w:tcPr>
          <w:p w14:paraId="2A2ED690" w14:textId="77777777" w:rsidR="0084732D" w:rsidRPr="00A10BBD" w:rsidRDefault="0084732D" w:rsidP="00CA4572">
            <w:pPr>
              <w:rPr>
                <w:rFonts w:eastAsia="Times New Roman" w:cs="Times New Roman"/>
                <w:sz w:val="20"/>
                <w:szCs w:val="20"/>
                <w:lang w:eastAsia="sk-SK"/>
              </w:rPr>
            </w:pPr>
            <w:r w:rsidRPr="00A10BBD">
              <w:rPr>
                <w:rFonts w:eastAsia="Times New Roman" w:cs="Times New Roman"/>
                <w:sz w:val="20"/>
                <w:szCs w:val="20"/>
                <w:lang w:eastAsia="sk-SK"/>
              </w:rPr>
              <w:t>z toho:</w:t>
            </w:r>
          </w:p>
        </w:tc>
        <w:tc>
          <w:tcPr>
            <w:tcW w:w="695" w:type="pct"/>
          </w:tcPr>
          <w:p w14:paraId="61EA1620" w14:textId="77777777" w:rsidR="0084732D" w:rsidRPr="00A10BBD" w:rsidRDefault="0084732D" w:rsidP="006C0682">
            <w:pPr>
              <w:jc w:val="center"/>
              <w:rPr>
                <w:rFonts w:eastAsia="Times New Roman" w:cs="Times New Roman"/>
                <w:sz w:val="20"/>
                <w:szCs w:val="20"/>
                <w:lang w:eastAsia="sk-SK"/>
              </w:rPr>
            </w:pPr>
          </w:p>
        </w:tc>
        <w:tc>
          <w:tcPr>
            <w:tcW w:w="695" w:type="pct"/>
          </w:tcPr>
          <w:p w14:paraId="6C5FA2DD" w14:textId="77777777" w:rsidR="0084732D" w:rsidRPr="00A10BBD" w:rsidRDefault="0084732D" w:rsidP="006C0682">
            <w:pPr>
              <w:jc w:val="center"/>
              <w:rPr>
                <w:rFonts w:eastAsia="Times New Roman" w:cs="Times New Roman"/>
                <w:sz w:val="20"/>
                <w:szCs w:val="20"/>
                <w:lang w:eastAsia="sk-SK"/>
              </w:rPr>
            </w:pPr>
          </w:p>
        </w:tc>
        <w:tc>
          <w:tcPr>
            <w:tcW w:w="695" w:type="pct"/>
          </w:tcPr>
          <w:p w14:paraId="2BF7DEF0" w14:textId="77777777" w:rsidR="0084732D" w:rsidRPr="00A10BBD" w:rsidRDefault="0084732D" w:rsidP="006C0682">
            <w:pPr>
              <w:jc w:val="center"/>
              <w:rPr>
                <w:rFonts w:eastAsia="Times New Roman" w:cs="Times New Roman"/>
                <w:sz w:val="20"/>
                <w:szCs w:val="20"/>
                <w:lang w:eastAsia="sk-SK"/>
              </w:rPr>
            </w:pPr>
          </w:p>
        </w:tc>
        <w:tc>
          <w:tcPr>
            <w:tcW w:w="693" w:type="pct"/>
          </w:tcPr>
          <w:p w14:paraId="5F307155" w14:textId="77777777" w:rsidR="0084732D" w:rsidRPr="00A10BBD" w:rsidRDefault="0084732D" w:rsidP="006C0682">
            <w:pPr>
              <w:jc w:val="center"/>
              <w:rPr>
                <w:rFonts w:eastAsia="Calibri" w:cs="Times New Roman"/>
                <w:sz w:val="20"/>
                <w:szCs w:val="20"/>
              </w:rPr>
            </w:pPr>
          </w:p>
        </w:tc>
        <w:tc>
          <w:tcPr>
            <w:tcW w:w="692" w:type="pct"/>
          </w:tcPr>
          <w:p w14:paraId="6078A30B" w14:textId="77777777" w:rsidR="0084732D" w:rsidRPr="00A10BBD" w:rsidRDefault="0084732D" w:rsidP="006C0682">
            <w:pPr>
              <w:jc w:val="center"/>
              <w:rPr>
                <w:rFonts w:eastAsia="Calibri" w:cs="Times New Roman"/>
                <w:sz w:val="20"/>
                <w:szCs w:val="20"/>
              </w:rPr>
            </w:pPr>
          </w:p>
        </w:tc>
      </w:tr>
      <w:tr w:rsidR="0084732D" w:rsidRPr="00A10BBD" w14:paraId="3391657E" w14:textId="77777777" w:rsidTr="00A57641">
        <w:trPr>
          <w:trHeight w:val="20"/>
        </w:trPr>
        <w:tc>
          <w:tcPr>
            <w:tcW w:w="1529" w:type="pct"/>
            <w:vAlign w:val="bottom"/>
          </w:tcPr>
          <w:p w14:paraId="033A3755" w14:textId="77777777" w:rsidR="0084732D" w:rsidRPr="00A10BBD" w:rsidRDefault="0084732D" w:rsidP="006C0682">
            <w:pPr>
              <w:ind w:left="34" w:firstLine="142"/>
              <w:contextualSpacing/>
              <w:rPr>
                <w:rFonts w:eastAsia="Times New Roman" w:cs="Times New Roman"/>
                <w:sz w:val="20"/>
                <w:szCs w:val="20"/>
                <w:lang w:eastAsia="sk-SK"/>
              </w:rPr>
            </w:pPr>
            <w:r w:rsidRPr="00A10BBD">
              <w:rPr>
                <w:rFonts w:eastAsia="Times New Roman" w:cs="Times New Roman"/>
                <w:bCs/>
                <w:sz w:val="20"/>
                <w:szCs w:val="20"/>
                <w:lang w:eastAsia="sk-SK"/>
              </w:rPr>
              <w:t>príjmy obcí</w:t>
            </w:r>
          </w:p>
        </w:tc>
        <w:tc>
          <w:tcPr>
            <w:tcW w:w="695" w:type="pct"/>
          </w:tcPr>
          <w:p w14:paraId="6B695C5E" w14:textId="77777777" w:rsidR="0084732D" w:rsidRPr="00A10BBD" w:rsidRDefault="0084732D" w:rsidP="006C0682">
            <w:pPr>
              <w:jc w:val="center"/>
              <w:rPr>
                <w:rFonts w:eastAsia="Calibri" w:cs="Times New Roman"/>
                <w:sz w:val="20"/>
                <w:szCs w:val="20"/>
              </w:rPr>
            </w:pPr>
            <w:r w:rsidRPr="00A10BBD">
              <w:rPr>
                <w:rFonts w:eastAsia="Calibri" w:cs="Times New Roman"/>
                <w:sz w:val="20"/>
                <w:szCs w:val="20"/>
              </w:rPr>
              <w:t>4 594 449</w:t>
            </w:r>
          </w:p>
        </w:tc>
        <w:tc>
          <w:tcPr>
            <w:tcW w:w="695" w:type="pct"/>
          </w:tcPr>
          <w:p w14:paraId="44096D99" w14:textId="77777777" w:rsidR="0084732D" w:rsidRPr="00A10BBD" w:rsidRDefault="0084732D" w:rsidP="006C0682">
            <w:pPr>
              <w:jc w:val="center"/>
              <w:rPr>
                <w:rFonts w:eastAsia="Calibri" w:cs="Times New Roman"/>
                <w:sz w:val="20"/>
                <w:szCs w:val="20"/>
              </w:rPr>
            </w:pPr>
            <w:r w:rsidRPr="00A10BBD">
              <w:rPr>
                <w:rFonts w:eastAsia="Calibri" w:cs="Times New Roman"/>
                <w:sz w:val="20"/>
                <w:szCs w:val="20"/>
              </w:rPr>
              <w:t>5 251 416</w:t>
            </w:r>
          </w:p>
        </w:tc>
        <w:tc>
          <w:tcPr>
            <w:tcW w:w="695" w:type="pct"/>
          </w:tcPr>
          <w:p w14:paraId="38BE6345" w14:textId="77777777" w:rsidR="0084732D" w:rsidRPr="00A10BBD" w:rsidRDefault="0084732D" w:rsidP="006C0682">
            <w:pPr>
              <w:jc w:val="center"/>
              <w:rPr>
                <w:rFonts w:eastAsia="Calibri" w:cs="Times New Roman"/>
                <w:sz w:val="20"/>
                <w:szCs w:val="20"/>
              </w:rPr>
            </w:pPr>
            <w:r w:rsidRPr="00A10BBD">
              <w:rPr>
                <w:rFonts w:eastAsia="Calibri" w:cs="Times New Roman"/>
                <w:sz w:val="20"/>
                <w:szCs w:val="20"/>
              </w:rPr>
              <w:t>5 689 740</w:t>
            </w:r>
          </w:p>
        </w:tc>
        <w:tc>
          <w:tcPr>
            <w:tcW w:w="693" w:type="pct"/>
          </w:tcPr>
          <w:p w14:paraId="7AF31BFD" w14:textId="77777777" w:rsidR="0084732D" w:rsidRPr="00A10BBD" w:rsidRDefault="0084732D" w:rsidP="006C0682">
            <w:pPr>
              <w:jc w:val="center"/>
              <w:rPr>
                <w:rFonts w:eastAsia="Calibri" w:cs="Times New Roman"/>
                <w:sz w:val="20"/>
                <w:szCs w:val="20"/>
              </w:rPr>
            </w:pPr>
            <w:r w:rsidRPr="00A10BBD">
              <w:rPr>
                <w:rFonts w:eastAsia="Calibri" w:cs="Times New Roman"/>
                <w:sz w:val="20"/>
                <w:szCs w:val="20"/>
              </w:rPr>
              <w:t>438 324</w:t>
            </w:r>
          </w:p>
        </w:tc>
        <w:tc>
          <w:tcPr>
            <w:tcW w:w="692" w:type="pct"/>
          </w:tcPr>
          <w:p w14:paraId="5B85B584" w14:textId="77777777" w:rsidR="0084732D" w:rsidRPr="00A10BBD" w:rsidRDefault="0084732D" w:rsidP="006C0682">
            <w:pPr>
              <w:jc w:val="center"/>
              <w:rPr>
                <w:rFonts w:eastAsia="Calibri" w:cs="Times New Roman"/>
                <w:sz w:val="20"/>
                <w:szCs w:val="20"/>
              </w:rPr>
            </w:pPr>
            <w:r w:rsidRPr="00A10BBD">
              <w:rPr>
                <w:rFonts w:eastAsia="Calibri" w:cs="Times New Roman"/>
                <w:sz w:val="20"/>
                <w:szCs w:val="20"/>
              </w:rPr>
              <w:t>108,3</w:t>
            </w:r>
          </w:p>
        </w:tc>
      </w:tr>
      <w:tr w:rsidR="0084732D" w:rsidRPr="00A10BBD" w14:paraId="6FB1F587" w14:textId="77777777" w:rsidTr="00A57641">
        <w:trPr>
          <w:trHeight w:val="20"/>
        </w:trPr>
        <w:tc>
          <w:tcPr>
            <w:tcW w:w="1529" w:type="pct"/>
            <w:vAlign w:val="bottom"/>
          </w:tcPr>
          <w:p w14:paraId="6BEF52C3" w14:textId="77777777" w:rsidR="0084732D" w:rsidRPr="00A10BBD" w:rsidRDefault="0084732D" w:rsidP="006C0682">
            <w:pPr>
              <w:ind w:left="34" w:firstLine="142"/>
              <w:contextualSpacing/>
              <w:rPr>
                <w:rFonts w:eastAsia="Times New Roman" w:cs="Times New Roman"/>
                <w:sz w:val="20"/>
                <w:szCs w:val="20"/>
                <w:lang w:eastAsia="sk-SK"/>
              </w:rPr>
            </w:pPr>
            <w:r w:rsidRPr="00A10BBD">
              <w:rPr>
                <w:rFonts w:eastAsia="Times New Roman" w:cs="Times New Roman"/>
                <w:bCs/>
                <w:sz w:val="20"/>
                <w:szCs w:val="20"/>
                <w:lang w:eastAsia="sk-SK"/>
              </w:rPr>
              <w:t>výdavky obcí</w:t>
            </w:r>
          </w:p>
        </w:tc>
        <w:tc>
          <w:tcPr>
            <w:tcW w:w="695" w:type="pct"/>
          </w:tcPr>
          <w:p w14:paraId="5746E153" w14:textId="77777777" w:rsidR="0084732D" w:rsidRPr="00A10BBD" w:rsidRDefault="0084732D" w:rsidP="006C0682">
            <w:pPr>
              <w:jc w:val="center"/>
              <w:rPr>
                <w:rFonts w:eastAsia="Calibri" w:cs="Times New Roman"/>
                <w:sz w:val="20"/>
                <w:szCs w:val="20"/>
              </w:rPr>
            </w:pPr>
            <w:r w:rsidRPr="00A10BBD">
              <w:rPr>
                <w:rFonts w:eastAsia="Calibri" w:cs="Times New Roman"/>
                <w:sz w:val="20"/>
                <w:szCs w:val="20"/>
              </w:rPr>
              <w:t>4 291 965</w:t>
            </w:r>
          </w:p>
        </w:tc>
        <w:tc>
          <w:tcPr>
            <w:tcW w:w="695" w:type="pct"/>
          </w:tcPr>
          <w:p w14:paraId="553F08F0" w14:textId="77777777" w:rsidR="0084732D" w:rsidRPr="00A10BBD" w:rsidRDefault="0084732D" w:rsidP="006C0682">
            <w:pPr>
              <w:jc w:val="center"/>
              <w:rPr>
                <w:rFonts w:eastAsia="Calibri" w:cs="Times New Roman"/>
                <w:sz w:val="20"/>
                <w:szCs w:val="20"/>
              </w:rPr>
            </w:pPr>
            <w:r w:rsidRPr="00A10BBD">
              <w:rPr>
                <w:rFonts w:eastAsia="Calibri" w:cs="Times New Roman"/>
                <w:sz w:val="20"/>
                <w:szCs w:val="20"/>
              </w:rPr>
              <w:t>4 876 607</w:t>
            </w:r>
          </w:p>
        </w:tc>
        <w:tc>
          <w:tcPr>
            <w:tcW w:w="695" w:type="pct"/>
          </w:tcPr>
          <w:p w14:paraId="6E46CC95" w14:textId="77777777" w:rsidR="0084732D" w:rsidRPr="00A10BBD" w:rsidRDefault="0084732D" w:rsidP="006C0682">
            <w:pPr>
              <w:jc w:val="center"/>
              <w:rPr>
                <w:rFonts w:eastAsia="Calibri" w:cs="Times New Roman"/>
                <w:sz w:val="20"/>
                <w:szCs w:val="20"/>
              </w:rPr>
            </w:pPr>
            <w:r w:rsidRPr="00A10BBD">
              <w:rPr>
                <w:rFonts w:eastAsia="Calibri" w:cs="Times New Roman"/>
                <w:sz w:val="20"/>
                <w:szCs w:val="20"/>
              </w:rPr>
              <w:t>5 278 449</w:t>
            </w:r>
          </w:p>
        </w:tc>
        <w:tc>
          <w:tcPr>
            <w:tcW w:w="693" w:type="pct"/>
          </w:tcPr>
          <w:p w14:paraId="2D235176" w14:textId="77777777" w:rsidR="0084732D" w:rsidRPr="00A10BBD" w:rsidRDefault="0084732D" w:rsidP="006C0682">
            <w:pPr>
              <w:jc w:val="center"/>
              <w:rPr>
                <w:rFonts w:eastAsia="Calibri" w:cs="Times New Roman"/>
                <w:sz w:val="20"/>
                <w:szCs w:val="20"/>
              </w:rPr>
            </w:pPr>
            <w:r w:rsidRPr="00A10BBD">
              <w:rPr>
                <w:rFonts w:eastAsia="Calibri" w:cs="Times New Roman"/>
                <w:sz w:val="20"/>
                <w:szCs w:val="20"/>
              </w:rPr>
              <w:t>401 842</w:t>
            </w:r>
          </w:p>
        </w:tc>
        <w:tc>
          <w:tcPr>
            <w:tcW w:w="692" w:type="pct"/>
          </w:tcPr>
          <w:p w14:paraId="3EF8F3E9" w14:textId="77777777" w:rsidR="0084732D" w:rsidRPr="00A10BBD" w:rsidRDefault="0084732D" w:rsidP="006C0682">
            <w:pPr>
              <w:jc w:val="center"/>
              <w:rPr>
                <w:rFonts w:eastAsia="Calibri" w:cs="Times New Roman"/>
                <w:sz w:val="20"/>
                <w:szCs w:val="20"/>
              </w:rPr>
            </w:pPr>
            <w:r w:rsidRPr="00A10BBD">
              <w:rPr>
                <w:rFonts w:eastAsia="Calibri" w:cs="Times New Roman"/>
                <w:sz w:val="20"/>
                <w:szCs w:val="20"/>
              </w:rPr>
              <w:t>108,2</w:t>
            </w:r>
          </w:p>
        </w:tc>
      </w:tr>
    </w:tbl>
    <w:p w14:paraId="19252B9D" w14:textId="77777777" w:rsidR="0084732D" w:rsidRPr="00CA4572" w:rsidRDefault="0084732D" w:rsidP="00CA4572">
      <w:pPr>
        <w:jc w:val="both"/>
        <w:rPr>
          <w:rFonts w:eastAsia="Times New Roman" w:cs="Times New Roman"/>
          <w:i/>
          <w:sz w:val="18"/>
          <w:szCs w:val="20"/>
          <w:lang w:eastAsia="sk-SK"/>
        </w:rPr>
      </w:pPr>
      <w:r w:rsidRPr="00CA4572">
        <w:rPr>
          <w:rFonts w:eastAsia="Times New Roman" w:cs="Times New Roman"/>
          <w:i/>
          <w:sz w:val="18"/>
          <w:szCs w:val="20"/>
          <w:lang w:eastAsia="sk-SK"/>
        </w:rPr>
        <w:t>Zdroj: Datacentrum</w:t>
      </w:r>
    </w:p>
    <w:p w14:paraId="1E7F697C" w14:textId="77777777" w:rsidR="0084732D" w:rsidRPr="00132C0F" w:rsidRDefault="0084732D" w:rsidP="00CA4572">
      <w:pPr>
        <w:spacing w:before="120"/>
        <w:jc w:val="both"/>
        <w:rPr>
          <w:rFonts w:eastAsia="Times New Roman" w:cs="Times New Roman"/>
          <w:b/>
          <w:i/>
          <w:szCs w:val="24"/>
          <w:lang w:eastAsia="sk-SK"/>
        </w:rPr>
      </w:pPr>
      <w:r w:rsidRPr="00132C0F">
        <w:rPr>
          <w:rFonts w:eastAsia="Times New Roman" w:cs="Times New Roman"/>
          <w:b/>
          <w:i/>
          <w:szCs w:val="24"/>
          <w:lang w:eastAsia="sk-SK"/>
        </w:rPr>
        <w:t>Porovnanie skutočných príjmov obcí na hotovostnej báze za roky 201</w:t>
      </w:r>
      <w:r>
        <w:rPr>
          <w:rFonts w:eastAsia="Times New Roman" w:cs="Times New Roman"/>
          <w:b/>
          <w:i/>
          <w:szCs w:val="24"/>
          <w:lang w:eastAsia="sk-SK"/>
        </w:rPr>
        <w:t>7</w:t>
      </w:r>
      <w:r w:rsidRPr="00132C0F">
        <w:rPr>
          <w:rFonts w:eastAsia="Times New Roman" w:cs="Times New Roman"/>
          <w:b/>
          <w:i/>
          <w:szCs w:val="24"/>
          <w:lang w:eastAsia="sk-SK"/>
        </w:rPr>
        <w:t xml:space="preserve"> až 201</w:t>
      </w:r>
      <w:r>
        <w:rPr>
          <w:rFonts w:eastAsia="Times New Roman" w:cs="Times New Roman"/>
          <w:b/>
          <w:i/>
          <w:szCs w:val="24"/>
          <w:lang w:eastAsia="sk-SK"/>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994"/>
        <w:gridCol w:w="994"/>
        <w:gridCol w:w="994"/>
        <w:gridCol w:w="993"/>
        <w:gridCol w:w="1122"/>
      </w:tblGrid>
      <w:tr w:rsidR="00153A74" w:rsidRPr="005A08CB" w14:paraId="4741EF4B" w14:textId="77777777" w:rsidTr="006C0682">
        <w:trPr>
          <w:trHeight w:val="227"/>
          <w:tblHeader/>
        </w:trPr>
        <w:tc>
          <w:tcPr>
            <w:tcW w:w="2273" w:type="pct"/>
            <w:shd w:val="clear" w:color="auto" w:fill="0070C0"/>
            <w:vAlign w:val="center"/>
            <w:hideMark/>
          </w:tcPr>
          <w:p w14:paraId="7629636A" w14:textId="2D5796C6" w:rsidR="0084732D" w:rsidRPr="006C0682" w:rsidRDefault="0084732D" w:rsidP="002E55A3">
            <w:pPr>
              <w:jc w:val="center"/>
              <w:rPr>
                <w:rFonts w:eastAsia="Times New Roman" w:cs="Times New Roman"/>
                <w:b/>
                <w:color w:val="FFFFFF"/>
                <w:sz w:val="20"/>
                <w:szCs w:val="20"/>
                <w:lang w:eastAsia="sk-SK"/>
              </w:rPr>
            </w:pPr>
            <w:r w:rsidRPr="002E55A3">
              <w:rPr>
                <w:rFonts w:eastAsia="Times New Roman" w:cs="Times New Roman"/>
                <w:b/>
                <w:color w:val="FFFFFF"/>
                <w:sz w:val="20"/>
                <w:szCs w:val="20"/>
                <w:lang w:eastAsia="sk-SK"/>
              </w:rPr>
              <w:t xml:space="preserve">Názov ukazovateľa </w:t>
            </w:r>
            <w:r w:rsidRPr="006C0682">
              <w:rPr>
                <w:rFonts w:eastAsia="Times New Roman" w:cs="Times New Roman"/>
                <w:b/>
                <w:color w:val="FFFFFF"/>
                <w:sz w:val="20"/>
                <w:szCs w:val="20"/>
                <w:lang w:eastAsia="sk-SK"/>
              </w:rPr>
              <w:t>(tis. eur)</w:t>
            </w:r>
          </w:p>
        </w:tc>
        <w:tc>
          <w:tcPr>
            <w:tcW w:w="532" w:type="pct"/>
            <w:shd w:val="clear" w:color="auto" w:fill="0070C0"/>
            <w:vAlign w:val="center"/>
          </w:tcPr>
          <w:p w14:paraId="2CD7D178" w14:textId="77777777" w:rsidR="0084732D" w:rsidRPr="002E55A3" w:rsidRDefault="0084732D" w:rsidP="00CA4572">
            <w:pPr>
              <w:jc w:val="center"/>
              <w:rPr>
                <w:rFonts w:eastAsia="Times New Roman" w:cs="Times New Roman"/>
                <w:b/>
                <w:color w:val="FFFFFF"/>
                <w:sz w:val="20"/>
                <w:szCs w:val="20"/>
                <w:lang w:eastAsia="sk-SK"/>
              </w:rPr>
            </w:pPr>
            <w:r w:rsidRPr="002E55A3">
              <w:rPr>
                <w:rFonts w:eastAsia="Times New Roman" w:cs="Times New Roman"/>
                <w:b/>
                <w:color w:val="FFFFFF"/>
                <w:sz w:val="20"/>
                <w:szCs w:val="20"/>
                <w:lang w:eastAsia="sk-SK"/>
              </w:rPr>
              <w:t>2017</w:t>
            </w:r>
          </w:p>
        </w:tc>
        <w:tc>
          <w:tcPr>
            <w:tcW w:w="532" w:type="pct"/>
            <w:shd w:val="clear" w:color="auto" w:fill="0070C0"/>
            <w:vAlign w:val="center"/>
          </w:tcPr>
          <w:p w14:paraId="6E8BBB16" w14:textId="77777777" w:rsidR="0084732D" w:rsidRPr="00615B72" w:rsidRDefault="0084732D" w:rsidP="00CA4572">
            <w:pPr>
              <w:jc w:val="center"/>
              <w:rPr>
                <w:rFonts w:eastAsia="Times New Roman" w:cs="Times New Roman"/>
                <w:b/>
                <w:color w:val="FFFFFF"/>
                <w:sz w:val="20"/>
                <w:szCs w:val="20"/>
                <w:lang w:eastAsia="sk-SK"/>
              </w:rPr>
            </w:pPr>
            <w:r w:rsidRPr="00615B72">
              <w:rPr>
                <w:rFonts w:eastAsia="Times New Roman" w:cs="Times New Roman"/>
                <w:b/>
                <w:color w:val="FFFFFF"/>
                <w:sz w:val="20"/>
                <w:szCs w:val="20"/>
                <w:lang w:eastAsia="sk-SK"/>
              </w:rPr>
              <w:t>2018</w:t>
            </w:r>
          </w:p>
        </w:tc>
        <w:tc>
          <w:tcPr>
            <w:tcW w:w="532" w:type="pct"/>
            <w:shd w:val="clear" w:color="auto" w:fill="0070C0"/>
            <w:vAlign w:val="center"/>
          </w:tcPr>
          <w:p w14:paraId="01953AAD" w14:textId="77777777" w:rsidR="0084732D" w:rsidRPr="00615B72" w:rsidRDefault="0084732D" w:rsidP="00CA4572">
            <w:pPr>
              <w:jc w:val="center"/>
              <w:rPr>
                <w:rFonts w:eastAsia="Times New Roman" w:cs="Times New Roman"/>
                <w:b/>
                <w:color w:val="FFFFFF"/>
                <w:sz w:val="20"/>
                <w:szCs w:val="20"/>
                <w:lang w:eastAsia="sk-SK"/>
              </w:rPr>
            </w:pPr>
            <w:r w:rsidRPr="00615B72">
              <w:rPr>
                <w:rFonts w:eastAsia="Times New Roman" w:cs="Times New Roman"/>
                <w:b/>
                <w:color w:val="FFFFFF"/>
                <w:sz w:val="20"/>
                <w:szCs w:val="20"/>
                <w:lang w:eastAsia="sk-SK"/>
              </w:rPr>
              <w:t>2019</w:t>
            </w:r>
          </w:p>
        </w:tc>
        <w:tc>
          <w:tcPr>
            <w:tcW w:w="531" w:type="pct"/>
            <w:shd w:val="clear" w:color="auto" w:fill="0070C0"/>
            <w:vAlign w:val="center"/>
          </w:tcPr>
          <w:p w14:paraId="61150BE5" w14:textId="7356D6D8" w:rsidR="0084732D" w:rsidRPr="00615B72" w:rsidRDefault="0072153C">
            <w:pPr>
              <w:jc w:val="center"/>
              <w:rPr>
                <w:rFonts w:eastAsia="Times New Roman" w:cs="Times New Roman"/>
                <w:b/>
                <w:color w:val="FFFFFF"/>
                <w:sz w:val="20"/>
                <w:szCs w:val="20"/>
                <w:lang w:eastAsia="sk-SK"/>
              </w:rPr>
            </w:pPr>
            <w:r w:rsidRPr="00615B72">
              <w:rPr>
                <w:rFonts w:eastAsia="Times New Roman" w:cs="Times New Roman"/>
                <w:b/>
                <w:color w:val="FFFFFF"/>
                <w:sz w:val="20"/>
                <w:szCs w:val="20"/>
                <w:lang w:eastAsia="sk-SK"/>
              </w:rPr>
              <w:t>Rozdiel</w:t>
            </w:r>
          </w:p>
        </w:tc>
        <w:tc>
          <w:tcPr>
            <w:tcW w:w="601" w:type="pct"/>
            <w:shd w:val="clear" w:color="auto" w:fill="0070C0"/>
            <w:vAlign w:val="center"/>
          </w:tcPr>
          <w:p w14:paraId="788CA925" w14:textId="0A23D6DC" w:rsidR="0084732D" w:rsidRPr="00615B72" w:rsidRDefault="0084732D">
            <w:pPr>
              <w:jc w:val="center"/>
              <w:rPr>
                <w:rFonts w:eastAsia="Times New Roman" w:cs="Times New Roman"/>
                <w:b/>
                <w:color w:val="FFFFFF"/>
                <w:sz w:val="20"/>
                <w:szCs w:val="20"/>
                <w:lang w:eastAsia="sk-SK"/>
              </w:rPr>
            </w:pPr>
            <w:r w:rsidRPr="00615B72">
              <w:rPr>
                <w:rFonts w:eastAsia="Times New Roman" w:cs="Times New Roman"/>
                <w:b/>
                <w:color w:val="FFFFFF"/>
                <w:sz w:val="20"/>
                <w:szCs w:val="20"/>
                <w:lang w:eastAsia="sk-SK"/>
              </w:rPr>
              <w:t>Index (</w:t>
            </w:r>
            <w:r w:rsidR="0072153C" w:rsidRPr="00615B72">
              <w:rPr>
                <w:rFonts w:eastAsia="Times New Roman" w:cs="Times New Roman"/>
                <w:b/>
                <w:color w:val="FFFFFF"/>
                <w:sz w:val="20"/>
                <w:szCs w:val="20"/>
                <w:lang w:eastAsia="sk-SK"/>
              </w:rPr>
              <w:t xml:space="preserve">v </w:t>
            </w:r>
            <w:r w:rsidRPr="00615B72">
              <w:rPr>
                <w:rFonts w:eastAsia="Times New Roman" w:cs="Times New Roman"/>
                <w:b/>
                <w:color w:val="FFFFFF"/>
                <w:sz w:val="20"/>
                <w:szCs w:val="20"/>
                <w:lang w:eastAsia="sk-SK"/>
              </w:rPr>
              <w:t>%)</w:t>
            </w:r>
          </w:p>
        </w:tc>
      </w:tr>
      <w:tr w:rsidR="00FD2FBC" w:rsidRPr="005A08CB" w14:paraId="31E47891" w14:textId="77777777" w:rsidTr="006C0682">
        <w:trPr>
          <w:trHeight w:val="204"/>
        </w:trPr>
        <w:tc>
          <w:tcPr>
            <w:tcW w:w="2273" w:type="pct"/>
          </w:tcPr>
          <w:p w14:paraId="3EFDEFE4" w14:textId="0CC8F591" w:rsidR="00FD2FBC" w:rsidRPr="006C0682" w:rsidRDefault="00FD2FBC" w:rsidP="006C0682">
            <w:pPr>
              <w:jc w:val="center"/>
              <w:rPr>
                <w:rFonts w:eastAsia="Times New Roman" w:cs="Times New Roman"/>
                <w:sz w:val="20"/>
                <w:szCs w:val="20"/>
                <w:lang w:eastAsia="sk-SK"/>
              </w:rPr>
            </w:pPr>
            <w:r>
              <w:rPr>
                <w:rFonts w:eastAsia="Times New Roman" w:cs="Times New Roman"/>
                <w:sz w:val="20"/>
                <w:szCs w:val="20"/>
                <w:lang w:eastAsia="sk-SK"/>
              </w:rPr>
              <w:t>a</w:t>
            </w:r>
          </w:p>
        </w:tc>
        <w:tc>
          <w:tcPr>
            <w:tcW w:w="532" w:type="pct"/>
            <w:vAlign w:val="center"/>
          </w:tcPr>
          <w:p w14:paraId="2EE8C40A" w14:textId="2478CF94" w:rsidR="00FD2FBC" w:rsidRPr="006C0682" w:rsidRDefault="00FD2FBC" w:rsidP="006C0682">
            <w:pPr>
              <w:jc w:val="center"/>
              <w:rPr>
                <w:rFonts w:eastAsia="Times New Roman" w:cs="Times New Roman"/>
                <w:sz w:val="20"/>
                <w:szCs w:val="20"/>
                <w:lang w:eastAsia="sk-SK"/>
              </w:rPr>
            </w:pPr>
            <w:r>
              <w:rPr>
                <w:rFonts w:eastAsia="Times New Roman" w:cs="Times New Roman"/>
                <w:sz w:val="20"/>
                <w:szCs w:val="20"/>
                <w:lang w:eastAsia="sk-SK"/>
              </w:rPr>
              <w:t>1</w:t>
            </w:r>
          </w:p>
        </w:tc>
        <w:tc>
          <w:tcPr>
            <w:tcW w:w="532" w:type="pct"/>
            <w:vAlign w:val="center"/>
          </w:tcPr>
          <w:p w14:paraId="32B56EAD" w14:textId="2A9B8BE3" w:rsidR="00FD2FBC" w:rsidRPr="006C0682" w:rsidRDefault="00FD2FBC" w:rsidP="006C0682">
            <w:pPr>
              <w:jc w:val="center"/>
              <w:rPr>
                <w:rFonts w:eastAsia="Times New Roman" w:cs="Times New Roman"/>
                <w:sz w:val="20"/>
                <w:szCs w:val="20"/>
                <w:lang w:eastAsia="sk-SK"/>
              </w:rPr>
            </w:pPr>
            <w:r>
              <w:rPr>
                <w:rFonts w:eastAsia="Times New Roman" w:cs="Times New Roman"/>
                <w:sz w:val="20"/>
                <w:szCs w:val="20"/>
                <w:lang w:eastAsia="sk-SK"/>
              </w:rPr>
              <w:t>2</w:t>
            </w:r>
          </w:p>
        </w:tc>
        <w:tc>
          <w:tcPr>
            <w:tcW w:w="532" w:type="pct"/>
            <w:shd w:val="clear" w:color="auto" w:fill="auto"/>
            <w:vAlign w:val="bottom"/>
          </w:tcPr>
          <w:p w14:paraId="7563C1C7" w14:textId="3558A767" w:rsidR="00FD2FBC" w:rsidRPr="006C0682" w:rsidRDefault="00FD2FBC" w:rsidP="006C0682">
            <w:pPr>
              <w:jc w:val="center"/>
              <w:rPr>
                <w:rFonts w:cs="Calibri"/>
                <w:color w:val="000000"/>
                <w:sz w:val="20"/>
                <w:szCs w:val="20"/>
              </w:rPr>
            </w:pPr>
            <w:r>
              <w:rPr>
                <w:rFonts w:cs="Calibri"/>
                <w:color w:val="000000"/>
                <w:sz w:val="20"/>
                <w:szCs w:val="20"/>
              </w:rPr>
              <w:t>3</w:t>
            </w:r>
          </w:p>
        </w:tc>
        <w:tc>
          <w:tcPr>
            <w:tcW w:w="531" w:type="pct"/>
            <w:shd w:val="clear" w:color="auto" w:fill="auto"/>
            <w:vAlign w:val="bottom"/>
          </w:tcPr>
          <w:p w14:paraId="0F0DF4D2" w14:textId="0BBD9FF2" w:rsidR="00FD2FBC" w:rsidRPr="006C0682" w:rsidRDefault="00FD2FBC" w:rsidP="006C0682">
            <w:pPr>
              <w:jc w:val="center"/>
              <w:rPr>
                <w:rFonts w:cs="Calibri"/>
                <w:color w:val="000000"/>
                <w:sz w:val="20"/>
                <w:szCs w:val="20"/>
              </w:rPr>
            </w:pPr>
            <w:r>
              <w:rPr>
                <w:rFonts w:cs="Calibri"/>
                <w:color w:val="000000"/>
                <w:sz w:val="20"/>
                <w:szCs w:val="20"/>
              </w:rPr>
              <w:t>4 = 3 - 2</w:t>
            </w:r>
          </w:p>
        </w:tc>
        <w:tc>
          <w:tcPr>
            <w:tcW w:w="601" w:type="pct"/>
            <w:shd w:val="clear" w:color="auto" w:fill="auto"/>
            <w:vAlign w:val="bottom"/>
          </w:tcPr>
          <w:p w14:paraId="2575C3C7" w14:textId="6731B30F" w:rsidR="00FD2FBC" w:rsidRPr="006C0682" w:rsidRDefault="00FD2FBC" w:rsidP="006C0682">
            <w:pPr>
              <w:jc w:val="center"/>
              <w:rPr>
                <w:rFonts w:cs="Calibri"/>
                <w:color w:val="000000"/>
                <w:sz w:val="20"/>
                <w:szCs w:val="20"/>
              </w:rPr>
            </w:pPr>
            <w:r>
              <w:rPr>
                <w:rFonts w:cs="Calibri"/>
                <w:color w:val="000000"/>
                <w:sz w:val="20"/>
                <w:szCs w:val="20"/>
              </w:rPr>
              <w:t>5 = 3 / 2</w:t>
            </w:r>
          </w:p>
        </w:tc>
      </w:tr>
      <w:tr w:rsidR="00153A74" w:rsidRPr="005A08CB" w14:paraId="0262BDB0" w14:textId="77777777" w:rsidTr="006C0682">
        <w:trPr>
          <w:trHeight w:val="204"/>
        </w:trPr>
        <w:tc>
          <w:tcPr>
            <w:tcW w:w="2273" w:type="pct"/>
          </w:tcPr>
          <w:p w14:paraId="4785FE04" w14:textId="77777777" w:rsidR="0084732D" w:rsidRPr="005A08CB" w:rsidRDefault="0084732D" w:rsidP="00CA4572">
            <w:pPr>
              <w:rPr>
                <w:rFonts w:eastAsia="Times New Roman" w:cs="Times New Roman"/>
                <w:b/>
                <w:sz w:val="20"/>
                <w:szCs w:val="20"/>
                <w:lang w:eastAsia="sk-SK"/>
              </w:rPr>
            </w:pPr>
            <w:r w:rsidRPr="005A08CB">
              <w:rPr>
                <w:rFonts w:eastAsia="Times New Roman" w:cs="Times New Roman"/>
                <w:b/>
                <w:sz w:val="20"/>
                <w:szCs w:val="20"/>
                <w:lang w:eastAsia="sk-SK"/>
              </w:rPr>
              <w:t>Príjmy obcí celkom</w:t>
            </w:r>
          </w:p>
        </w:tc>
        <w:tc>
          <w:tcPr>
            <w:tcW w:w="532" w:type="pct"/>
            <w:vAlign w:val="center"/>
          </w:tcPr>
          <w:p w14:paraId="7A6EBD43" w14:textId="77777777" w:rsidR="0084732D" w:rsidRPr="006C0682" w:rsidRDefault="0084732D" w:rsidP="006C0682">
            <w:pPr>
              <w:jc w:val="center"/>
              <w:rPr>
                <w:rFonts w:eastAsia="Times New Roman" w:cs="Times New Roman"/>
                <w:b/>
                <w:sz w:val="20"/>
                <w:szCs w:val="20"/>
                <w:lang w:eastAsia="sk-SK"/>
              </w:rPr>
            </w:pPr>
            <w:r w:rsidRPr="006C0682">
              <w:rPr>
                <w:rFonts w:eastAsia="Times New Roman" w:cs="Times New Roman"/>
                <w:b/>
                <w:sz w:val="20"/>
                <w:szCs w:val="20"/>
                <w:lang w:eastAsia="sk-SK"/>
              </w:rPr>
              <w:t>4 594 449</w:t>
            </w:r>
          </w:p>
        </w:tc>
        <w:tc>
          <w:tcPr>
            <w:tcW w:w="532" w:type="pct"/>
            <w:vAlign w:val="center"/>
          </w:tcPr>
          <w:p w14:paraId="055F9D11" w14:textId="77777777" w:rsidR="0084732D" w:rsidRPr="006C0682" w:rsidRDefault="0084732D" w:rsidP="006C0682">
            <w:pPr>
              <w:jc w:val="center"/>
              <w:rPr>
                <w:rFonts w:eastAsia="Times New Roman" w:cs="Times New Roman"/>
                <w:b/>
                <w:sz w:val="20"/>
                <w:szCs w:val="20"/>
                <w:lang w:eastAsia="sk-SK"/>
              </w:rPr>
            </w:pPr>
            <w:r w:rsidRPr="006C0682">
              <w:rPr>
                <w:rFonts w:eastAsia="Times New Roman" w:cs="Times New Roman"/>
                <w:b/>
                <w:sz w:val="20"/>
                <w:szCs w:val="20"/>
                <w:lang w:eastAsia="sk-SK"/>
              </w:rPr>
              <w:t>5 251 416</w:t>
            </w:r>
          </w:p>
        </w:tc>
        <w:tc>
          <w:tcPr>
            <w:tcW w:w="532" w:type="pct"/>
            <w:shd w:val="clear" w:color="auto" w:fill="auto"/>
            <w:vAlign w:val="bottom"/>
          </w:tcPr>
          <w:p w14:paraId="4019540A" w14:textId="77777777" w:rsidR="0084732D" w:rsidRPr="006C0682" w:rsidRDefault="0084732D" w:rsidP="006C0682">
            <w:pPr>
              <w:jc w:val="center"/>
              <w:rPr>
                <w:rFonts w:cs="Calibri"/>
                <w:b/>
                <w:color w:val="000000"/>
                <w:sz w:val="20"/>
                <w:szCs w:val="20"/>
              </w:rPr>
            </w:pPr>
            <w:r w:rsidRPr="006C0682">
              <w:rPr>
                <w:rFonts w:cs="Calibri"/>
                <w:b/>
                <w:color w:val="000000"/>
                <w:sz w:val="20"/>
                <w:szCs w:val="20"/>
              </w:rPr>
              <w:t>5 689 740</w:t>
            </w:r>
          </w:p>
        </w:tc>
        <w:tc>
          <w:tcPr>
            <w:tcW w:w="531" w:type="pct"/>
            <w:shd w:val="clear" w:color="auto" w:fill="auto"/>
            <w:vAlign w:val="bottom"/>
          </w:tcPr>
          <w:p w14:paraId="26B9ECAF" w14:textId="77777777" w:rsidR="0084732D" w:rsidRPr="006C0682" w:rsidRDefault="0084732D" w:rsidP="006C0682">
            <w:pPr>
              <w:jc w:val="center"/>
              <w:rPr>
                <w:rFonts w:cs="Calibri"/>
                <w:b/>
                <w:color w:val="000000"/>
                <w:sz w:val="20"/>
                <w:szCs w:val="20"/>
              </w:rPr>
            </w:pPr>
            <w:r w:rsidRPr="006C0682">
              <w:rPr>
                <w:rFonts w:cs="Calibri"/>
                <w:b/>
                <w:color w:val="000000"/>
                <w:sz w:val="20"/>
                <w:szCs w:val="20"/>
              </w:rPr>
              <w:t>438 324</w:t>
            </w:r>
          </w:p>
        </w:tc>
        <w:tc>
          <w:tcPr>
            <w:tcW w:w="601" w:type="pct"/>
            <w:shd w:val="clear" w:color="auto" w:fill="auto"/>
            <w:vAlign w:val="bottom"/>
          </w:tcPr>
          <w:p w14:paraId="45B9C260" w14:textId="77777777" w:rsidR="0084732D" w:rsidRPr="006C0682" w:rsidRDefault="0084732D" w:rsidP="006C0682">
            <w:pPr>
              <w:jc w:val="center"/>
              <w:rPr>
                <w:rFonts w:cs="Calibri"/>
                <w:b/>
                <w:color w:val="000000"/>
                <w:sz w:val="20"/>
                <w:szCs w:val="20"/>
              </w:rPr>
            </w:pPr>
            <w:r w:rsidRPr="006C0682">
              <w:rPr>
                <w:rFonts w:cs="Calibri"/>
                <w:b/>
                <w:color w:val="000000"/>
                <w:sz w:val="20"/>
                <w:szCs w:val="20"/>
              </w:rPr>
              <w:t>108,3</w:t>
            </w:r>
          </w:p>
        </w:tc>
      </w:tr>
      <w:tr w:rsidR="00153A74" w:rsidRPr="005A08CB" w14:paraId="647FBB8C" w14:textId="77777777" w:rsidTr="006C0682">
        <w:trPr>
          <w:trHeight w:val="204"/>
        </w:trPr>
        <w:tc>
          <w:tcPr>
            <w:tcW w:w="2273" w:type="pct"/>
          </w:tcPr>
          <w:p w14:paraId="2113B021" w14:textId="77777777" w:rsidR="0084732D" w:rsidRPr="005A08CB" w:rsidRDefault="0084732D" w:rsidP="00CA4572">
            <w:pPr>
              <w:rPr>
                <w:rFonts w:eastAsia="Times New Roman" w:cs="Times New Roman"/>
                <w:sz w:val="20"/>
                <w:szCs w:val="20"/>
                <w:lang w:eastAsia="sk-SK"/>
              </w:rPr>
            </w:pPr>
            <w:r w:rsidRPr="005A08CB">
              <w:rPr>
                <w:rFonts w:eastAsia="Times New Roman" w:cs="Times New Roman"/>
                <w:sz w:val="20"/>
                <w:szCs w:val="20"/>
                <w:lang w:eastAsia="sk-SK"/>
              </w:rPr>
              <w:t>z toho:</w:t>
            </w:r>
          </w:p>
        </w:tc>
        <w:tc>
          <w:tcPr>
            <w:tcW w:w="532" w:type="pct"/>
            <w:vAlign w:val="center"/>
          </w:tcPr>
          <w:p w14:paraId="0B589565" w14:textId="77777777" w:rsidR="0084732D" w:rsidRPr="005A08CB" w:rsidRDefault="0084732D" w:rsidP="006C0682">
            <w:pPr>
              <w:jc w:val="center"/>
              <w:rPr>
                <w:rFonts w:eastAsia="Times New Roman" w:cs="Times New Roman"/>
                <w:sz w:val="20"/>
                <w:szCs w:val="20"/>
                <w:lang w:eastAsia="sk-SK"/>
              </w:rPr>
            </w:pPr>
          </w:p>
        </w:tc>
        <w:tc>
          <w:tcPr>
            <w:tcW w:w="532" w:type="pct"/>
            <w:vAlign w:val="center"/>
          </w:tcPr>
          <w:p w14:paraId="6067FF08" w14:textId="77777777" w:rsidR="0084732D" w:rsidRPr="005A08CB" w:rsidRDefault="0084732D" w:rsidP="006C0682">
            <w:pPr>
              <w:jc w:val="center"/>
              <w:rPr>
                <w:rFonts w:eastAsia="Times New Roman" w:cs="Times New Roman"/>
                <w:sz w:val="20"/>
                <w:szCs w:val="20"/>
                <w:lang w:eastAsia="sk-SK"/>
              </w:rPr>
            </w:pPr>
          </w:p>
        </w:tc>
        <w:tc>
          <w:tcPr>
            <w:tcW w:w="532" w:type="pct"/>
            <w:shd w:val="clear" w:color="auto" w:fill="auto"/>
            <w:vAlign w:val="bottom"/>
          </w:tcPr>
          <w:p w14:paraId="10AFD0B8" w14:textId="3366B270" w:rsidR="0084732D" w:rsidRPr="005B5D4B" w:rsidRDefault="0084732D" w:rsidP="006C0682">
            <w:pPr>
              <w:jc w:val="center"/>
              <w:rPr>
                <w:rFonts w:cs="Calibri"/>
                <w:color w:val="000000"/>
                <w:sz w:val="20"/>
                <w:szCs w:val="20"/>
              </w:rPr>
            </w:pPr>
          </w:p>
        </w:tc>
        <w:tc>
          <w:tcPr>
            <w:tcW w:w="531" w:type="pct"/>
            <w:shd w:val="clear" w:color="auto" w:fill="auto"/>
            <w:vAlign w:val="bottom"/>
          </w:tcPr>
          <w:p w14:paraId="43E6CB28" w14:textId="05D8402B" w:rsidR="0084732D" w:rsidRPr="005B5D4B" w:rsidRDefault="0084732D" w:rsidP="006C0682">
            <w:pPr>
              <w:jc w:val="center"/>
              <w:rPr>
                <w:rFonts w:cs="Calibri"/>
                <w:color w:val="000000"/>
                <w:sz w:val="20"/>
                <w:szCs w:val="20"/>
              </w:rPr>
            </w:pPr>
          </w:p>
        </w:tc>
        <w:tc>
          <w:tcPr>
            <w:tcW w:w="601" w:type="pct"/>
            <w:shd w:val="clear" w:color="auto" w:fill="auto"/>
            <w:vAlign w:val="bottom"/>
          </w:tcPr>
          <w:p w14:paraId="080C8CBC" w14:textId="159ECDD6" w:rsidR="0084732D" w:rsidRPr="005B5D4B" w:rsidRDefault="0084732D" w:rsidP="006C0682">
            <w:pPr>
              <w:jc w:val="center"/>
              <w:rPr>
                <w:rFonts w:cs="Calibri"/>
                <w:color w:val="000000"/>
                <w:sz w:val="20"/>
                <w:szCs w:val="20"/>
              </w:rPr>
            </w:pPr>
          </w:p>
        </w:tc>
      </w:tr>
      <w:tr w:rsidR="00153A74" w:rsidRPr="005A08CB" w14:paraId="3B2DA7E1" w14:textId="77777777" w:rsidTr="006C0682">
        <w:trPr>
          <w:trHeight w:val="215"/>
        </w:trPr>
        <w:tc>
          <w:tcPr>
            <w:tcW w:w="2273" w:type="pct"/>
            <w:vAlign w:val="bottom"/>
          </w:tcPr>
          <w:p w14:paraId="134ACCFE" w14:textId="77777777" w:rsidR="0084732D" w:rsidRPr="005A08CB" w:rsidRDefault="0084732D" w:rsidP="006C0682">
            <w:pPr>
              <w:ind w:firstLine="176"/>
              <w:contextualSpacing/>
              <w:rPr>
                <w:rFonts w:eastAsia="Times New Roman" w:cs="Times New Roman"/>
                <w:sz w:val="20"/>
                <w:szCs w:val="20"/>
                <w:lang w:eastAsia="sk-SK"/>
              </w:rPr>
            </w:pPr>
            <w:r w:rsidRPr="005A08CB">
              <w:rPr>
                <w:rFonts w:eastAsia="Times New Roman" w:cs="Times New Roman"/>
                <w:bCs/>
                <w:sz w:val="20"/>
                <w:szCs w:val="20"/>
                <w:lang w:eastAsia="sk-SK"/>
              </w:rPr>
              <w:t xml:space="preserve">daňové príjmy </w:t>
            </w:r>
          </w:p>
        </w:tc>
        <w:tc>
          <w:tcPr>
            <w:tcW w:w="532" w:type="pct"/>
            <w:vAlign w:val="center"/>
          </w:tcPr>
          <w:p w14:paraId="37A6EBAA" w14:textId="77777777" w:rsidR="0084732D" w:rsidRPr="005A08CB" w:rsidRDefault="0084732D" w:rsidP="006C0682">
            <w:pPr>
              <w:jc w:val="center"/>
              <w:rPr>
                <w:rFonts w:eastAsia="Times New Roman" w:cs="Times New Roman"/>
                <w:sz w:val="20"/>
                <w:szCs w:val="20"/>
                <w:lang w:eastAsia="sk-SK"/>
              </w:rPr>
            </w:pPr>
            <w:r w:rsidRPr="005A08CB">
              <w:rPr>
                <w:rFonts w:eastAsia="Times New Roman" w:cs="Times New Roman"/>
                <w:sz w:val="20"/>
                <w:szCs w:val="20"/>
                <w:lang w:eastAsia="sk-SK"/>
              </w:rPr>
              <w:t>2 341 994</w:t>
            </w:r>
          </w:p>
        </w:tc>
        <w:tc>
          <w:tcPr>
            <w:tcW w:w="532" w:type="pct"/>
            <w:vAlign w:val="center"/>
          </w:tcPr>
          <w:p w14:paraId="19ABA5DD" w14:textId="77777777" w:rsidR="0084732D" w:rsidRPr="005A08CB" w:rsidRDefault="0084732D" w:rsidP="006C0682">
            <w:pPr>
              <w:jc w:val="center"/>
              <w:rPr>
                <w:rFonts w:eastAsia="Times New Roman" w:cs="Times New Roman"/>
                <w:sz w:val="20"/>
                <w:szCs w:val="20"/>
                <w:lang w:eastAsia="sk-SK"/>
              </w:rPr>
            </w:pPr>
            <w:r>
              <w:rPr>
                <w:rFonts w:eastAsia="Times New Roman" w:cs="Times New Roman"/>
                <w:sz w:val="20"/>
                <w:szCs w:val="20"/>
                <w:lang w:eastAsia="sk-SK"/>
              </w:rPr>
              <w:t>2 567 009</w:t>
            </w:r>
          </w:p>
        </w:tc>
        <w:tc>
          <w:tcPr>
            <w:tcW w:w="532" w:type="pct"/>
            <w:shd w:val="clear" w:color="auto" w:fill="auto"/>
            <w:vAlign w:val="bottom"/>
          </w:tcPr>
          <w:p w14:paraId="6906BF3D" w14:textId="77777777" w:rsidR="0084732D" w:rsidRPr="005B5D4B" w:rsidRDefault="0084732D" w:rsidP="006C0682">
            <w:pPr>
              <w:jc w:val="center"/>
              <w:rPr>
                <w:rFonts w:cs="Calibri"/>
                <w:color w:val="000000"/>
                <w:sz w:val="20"/>
                <w:szCs w:val="20"/>
              </w:rPr>
            </w:pPr>
            <w:r w:rsidRPr="005B5D4B">
              <w:rPr>
                <w:rFonts w:cs="Calibri"/>
                <w:color w:val="000000"/>
                <w:sz w:val="20"/>
                <w:szCs w:val="20"/>
              </w:rPr>
              <w:t>2 791 342</w:t>
            </w:r>
          </w:p>
        </w:tc>
        <w:tc>
          <w:tcPr>
            <w:tcW w:w="531" w:type="pct"/>
            <w:shd w:val="clear" w:color="auto" w:fill="auto"/>
            <w:vAlign w:val="bottom"/>
          </w:tcPr>
          <w:p w14:paraId="42E36A97" w14:textId="77777777" w:rsidR="0084732D" w:rsidRPr="005B5D4B" w:rsidRDefault="0084732D" w:rsidP="006C0682">
            <w:pPr>
              <w:jc w:val="center"/>
              <w:rPr>
                <w:rFonts w:cs="Calibri"/>
                <w:color w:val="000000"/>
                <w:sz w:val="20"/>
                <w:szCs w:val="20"/>
              </w:rPr>
            </w:pPr>
            <w:r w:rsidRPr="005B5D4B">
              <w:rPr>
                <w:rFonts w:cs="Calibri"/>
                <w:color w:val="000000"/>
                <w:sz w:val="20"/>
                <w:szCs w:val="20"/>
              </w:rPr>
              <w:t>224 333</w:t>
            </w:r>
          </w:p>
        </w:tc>
        <w:tc>
          <w:tcPr>
            <w:tcW w:w="601" w:type="pct"/>
            <w:shd w:val="clear" w:color="auto" w:fill="auto"/>
            <w:vAlign w:val="bottom"/>
          </w:tcPr>
          <w:p w14:paraId="297CFE1F" w14:textId="77777777" w:rsidR="0084732D" w:rsidRPr="005B5D4B" w:rsidRDefault="0084732D" w:rsidP="006C0682">
            <w:pPr>
              <w:jc w:val="center"/>
              <w:rPr>
                <w:rFonts w:cs="Calibri"/>
                <w:color w:val="000000"/>
                <w:sz w:val="20"/>
                <w:szCs w:val="20"/>
              </w:rPr>
            </w:pPr>
            <w:r>
              <w:rPr>
                <w:rFonts w:cs="Calibri"/>
                <w:color w:val="000000"/>
                <w:sz w:val="20"/>
                <w:szCs w:val="20"/>
              </w:rPr>
              <w:t>108,7</w:t>
            </w:r>
          </w:p>
        </w:tc>
      </w:tr>
      <w:tr w:rsidR="00153A74" w:rsidRPr="005A08CB" w14:paraId="31A2EE88" w14:textId="77777777" w:rsidTr="006C0682">
        <w:trPr>
          <w:trHeight w:val="215"/>
        </w:trPr>
        <w:tc>
          <w:tcPr>
            <w:tcW w:w="2273" w:type="pct"/>
            <w:vAlign w:val="bottom"/>
          </w:tcPr>
          <w:p w14:paraId="618E3A8D" w14:textId="77777777" w:rsidR="0084732D" w:rsidRPr="005A08CB" w:rsidRDefault="0084732D" w:rsidP="006C0682">
            <w:pPr>
              <w:ind w:firstLine="176"/>
              <w:contextualSpacing/>
              <w:rPr>
                <w:rFonts w:eastAsia="Times New Roman" w:cs="Times New Roman"/>
                <w:bCs/>
                <w:sz w:val="20"/>
                <w:szCs w:val="20"/>
                <w:lang w:eastAsia="sk-SK"/>
              </w:rPr>
            </w:pPr>
            <w:r w:rsidRPr="005A08CB">
              <w:rPr>
                <w:rFonts w:eastAsia="Times New Roman" w:cs="Times New Roman"/>
                <w:bCs/>
                <w:sz w:val="20"/>
                <w:szCs w:val="20"/>
                <w:lang w:eastAsia="sk-SK"/>
              </w:rPr>
              <w:t>nedaňové príjmy</w:t>
            </w:r>
          </w:p>
        </w:tc>
        <w:tc>
          <w:tcPr>
            <w:tcW w:w="532" w:type="pct"/>
            <w:vAlign w:val="center"/>
          </w:tcPr>
          <w:p w14:paraId="28692EEE" w14:textId="77777777" w:rsidR="0084732D" w:rsidRPr="005A08CB" w:rsidRDefault="0084732D" w:rsidP="006C0682">
            <w:pPr>
              <w:jc w:val="center"/>
              <w:rPr>
                <w:rFonts w:eastAsia="Times New Roman" w:cs="Times New Roman"/>
                <w:sz w:val="20"/>
                <w:szCs w:val="20"/>
                <w:lang w:eastAsia="sk-SK"/>
              </w:rPr>
            </w:pPr>
            <w:r w:rsidRPr="005A08CB">
              <w:rPr>
                <w:rFonts w:eastAsia="Times New Roman" w:cs="Times New Roman"/>
                <w:sz w:val="20"/>
                <w:szCs w:val="20"/>
                <w:lang w:eastAsia="sk-SK"/>
              </w:rPr>
              <w:t>572 063</w:t>
            </w:r>
          </w:p>
        </w:tc>
        <w:tc>
          <w:tcPr>
            <w:tcW w:w="532" w:type="pct"/>
            <w:vAlign w:val="center"/>
          </w:tcPr>
          <w:p w14:paraId="663A3607" w14:textId="77777777" w:rsidR="0084732D" w:rsidRPr="005A08CB" w:rsidRDefault="0084732D" w:rsidP="006C0682">
            <w:pPr>
              <w:jc w:val="center"/>
              <w:rPr>
                <w:rFonts w:eastAsia="Times New Roman" w:cs="Times New Roman"/>
                <w:sz w:val="20"/>
                <w:szCs w:val="20"/>
                <w:lang w:eastAsia="sk-SK"/>
              </w:rPr>
            </w:pPr>
            <w:r>
              <w:rPr>
                <w:rFonts w:eastAsia="Times New Roman" w:cs="Times New Roman"/>
                <w:sz w:val="20"/>
                <w:szCs w:val="20"/>
                <w:lang w:eastAsia="sk-SK"/>
              </w:rPr>
              <w:t>585 330</w:t>
            </w:r>
          </w:p>
        </w:tc>
        <w:tc>
          <w:tcPr>
            <w:tcW w:w="532" w:type="pct"/>
            <w:shd w:val="clear" w:color="auto" w:fill="auto"/>
            <w:vAlign w:val="bottom"/>
          </w:tcPr>
          <w:p w14:paraId="62379504" w14:textId="77777777" w:rsidR="0084732D" w:rsidRPr="005B5D4B" w:rsidRDefault="0084732D" w:rsidP="006C0682">
            <w:pPr>
              <w:jc w:val="center"/>
              <w:rPr>
                <w:rFonts w:cs="Calibri"/>
                <w:color w:val="000000"/>
                <w:sz w:val="20"/>
                <w:szCs w:val="20"/>
              </w:rPr>
            </w:pPr>
            <w:r w:rsidRPr="005B5D4B">
              <w:rPr>
                <w:rFonts w:cs="Calibri"/>
                <w:color w:val="000000"/>
                <w:sz w:val="20"/>
                <w:szCs w:val="20"/>
              </w:rPr>
              <w:t>582 024</w:t>
            </w:r>
          </w:p>
        </w:tc>
        <w:tc>
          <w:tcPr>
            <w:tcW w:w="531" w:type="pct"/>
            <w:shd w:val="clear" w:color="auto" w:fill="auto"/>
            <w:vAlign w:val="bottom"/>
          </w:tcPr>
          <w:p w14:paraId="095C9891" w14:textId="77777777" w:rsidR="0084732D" w:rsidRPr="005B5D4B" w:rsidRDefault="0084732D" w:rsidP="006C0682">
            <w:pPr>
              <w:jc w:val="center"/>
              <w:rPr>
                <w:rFonts w:cs="Calibri"/>
                <w:color w:val="000000"/>
                <w:sz w:val="20"/>
                <w:szCs w:val="20"/>
              </w:rPr>
            </w:pPr>
            <w:r w:rsidRPr="005B5D4B">
              <w:rPr>
                <w:rFonts w:cs="Calibri"/>
                <w:color w:val="000000"/>
                <w:sz w:val="20"/>
                <w:szCs w:val="20"/>
              </w:rPr>
              <w:t>-3 307</w:t>
            </w:r>
          </w:p>
        </w:tc>
        <w:tc>
          <w:tcPr>
            <w:tcW w:w="601" w:type="pct"/>
            <w:shd w:val="clear" w:color="auto" w:fill="auto"/>
            <w:vAlign w:val="bottom"/>
          </w:tcPr>
          <w:p w14:paraId="4055AB8C" w14:textId="77777777" w:rsidR="0084732D" w:rsidRPr="005B5D4B" w:rsidRDefault="0084732D" w:rsidP="006C0682">
            <w:pPr>
              <w:jc w:val="center"/>
              <w:rPr>
                <w:rFonts w:cs="Calibri"/>
                <w:color w:val="000000"/>
                <w:sz w:val="20"/>
                <w:szCs w:val="20"/>
              </w:rPr>
            </w:pPr>
            <w:r>
              <w:rPr>
                <w:rFonts w:cs="Calibri"/>
                <w:color w:val="000000"/>
                <w:sz w:val="20"/>
                <w:szCs w:val="20"/>
              </w:rPr>
              <w:t>99,4</w:t>
            </w:r>
          </w:p>
        </w:tc>
      </w:tr>
      <w:tr w:rsidR="00153A74" w:rsidRPr="005A08CB" w14:paraId="5B55A02D" w14:textId="77777777" w:rsidTr="006C0682">
        <w:trPr>
          <w:trHeight w:val="225"/>
        </w:trPr>
        <w:tc>
          <w:tcPr>
            <w:tcW w:w="2273" w:type="pct"/>
            <w:vAlign w:val="bottom"/>
          </w:tcPr>
          <w:p w14:paraId="52A5949F" w14:textId="77777777" w:rsidR="0084732D" w:rsidRPr="005A08CB" w:rsidRDefault="0084732D" w:rsidP="006C0682">
            <w:pPr>
              <w:ind w:firstLine="176"/>
              <w:contextualSpacing/>
              <w:rPr>
                <w:rFonts w:eastAsia="Times New Roman" w:cs="Times New Roman"/>
                <w:bCs/>
                <w:sz w:val="20"/>
                <w:szCs w:val="20"/>
                <w:lang w:eastAsia="sk-SK"/>
              </w:rPr>
            </w:pPr>
            <w:r w:rsidRPr="005A08CB">
              <w:rPr>
                <w:rFonts w:eastAsia="Times New Roman" w:cs="Times New Roman"/>
                <w:bCs/>
                <w:sz w:val="20"/>
                <w:szCs w:val="20"/>
                <w:lang w:eastAsia="sk-SK"/>
              </w:rPr>
              <w:t>granty a transfery</w:t>
            </w:r>
          </w:p>
        </w:tc>
        <w:tc>
          <w:tcPr>
            <w:tcW w:w="532" w:type="pct"/>
            <w:vAlign w:val="center"/>
          </w:tcPr>
          <w:p w14:paraId="354380F6" w14:textId="77777777" w:rsidR="0084732D" w:rsidRPr="005A08CB" w:rsidRDefault="0084732D" w:rsidP="006C0682">
            <w:pPr>
              <w:jc w:val="center"/>
              <w:rPr>
                <w:rFonts w:eastAsia="Times New Roman" w:cs="Times New Roman"/>
                <w:sz w:val="20"/>
                <w:szCs w:val="20"/>
                <w:lang w:eastAsia="sk-SK"/>
              </w:rPr>
            </w:pPr>
            <w:r w:rsidRPr="005A08CB">
              <w:rPr>
                <w:rFonts w:eastAsia="Times New Roman" w:cs="Times New Roman"/>
                <w:sz w:val="20"/>
                <w:szCs w:val="20"/>
                <w:lang w:eastAsia="sk-SK"/>
              </w:rPr>
              <w:t>1 266 604</w:t>
            </w:r>
          </w:p>
        </w:tc>
        <w:tc>
          <w:tcPr>
            <w:tcW w:w="532" w:type="pct"/>
            <w:vAlign w:val="center"/>
          </w:tcPr>
          <w:p w14:paraId="79B7381A" w14:textId="77777777" w:rsidR="0084732D" w:rsidRPr="005A08CB" w:rsidRDefault="0084732D" w:rsidP="006C0682">
            <w:pPr>
              <w:jc w:val="center"/>
              <w:rPr>
                <w:rFonts w:eastAsia="Times New Roman" w:cs="Times New Roman"/>
                <w:sz w:val="20"/>
                <w:szCs w:val="20"/>
                <w:lang w:eastAsia="sk-SK"/>
              </w:rPr>
            </w:pPr>
            <w:r>
              <w:rPr>
                <w:rFonts w:eastAsia="Times New Roman" w:cs="Times New Roman"/>
                <w:sz w:val="20"/>
                <w:szCs w:val="20"/>
                <w:lang w:eastAsia="sk-SK"/>
              </w:rPr>
              <w:t>1 532 764</w:t>
            </w:r>
          </w:p>
        </w:tc>
        <w:tc>
          <w:tcPr>
            <w:tcW w:w="532" w:type="pct"/>
            <w:shd w:val="clear" w:color="auto" w:fill="auto"/>
            <w:vAlign w:val="bottom"/>
          </w:tcPr>
          <w:p w14:paraId="04F03C61" w14:textId="77777777" w:rsidR="0084732D" w:rsidRPr="005B5D4B" w:rsidRDefault="0084732D" w:rsidP="006C0682">
            <w:pPr>
              <w:jc w:val="center"/>
              <w:rPr>
                <w:rFonts w:cs="Calibri"/>
                <w:color w:val="000000"/>
                <w:sz w:val="20"/>
                <w:szCs w:val="20"/>
              </w:rPr>
            </w:pPr>
            <w:r w:rsidRPr="005B5D4B">
              <w:rPr>
                <w:rFonts w:cs="Calibri"/>
                <w:color w:val="000000"/>
                <w:sz w:val="20"/>
                <w:szCs w:val="20"/>
              </w:rPr>
              <w:t>1 759 670</w:t>
            </w:r>
          </w:p>
        </w:tc>
        <w:tc>
          <w:tcPr>
            <w:tcW w:w="531" w:type="pct"/>
            <w:shd w:val="clear" w:color="auto" w:fill="auto"/>
            <w:vAlign w:val="bottom"/>
          </w:tcPr>
          <w:p w14:paraId="0F48FD54" w14:textId="77777777" w:rsidR="0084732D" w:rsidRPr="005B5D4B" w:rsidRDefault="0084732D" w:rsidP="006C0682">
            <w:pPr>
              <w:jc w:val="center"/>
              <w:rPr>
                <w:rFonts w:cs="Calibri"/>
                <w:color w:val="000000"/>
                <w:sz w:val="20"/>
                <w:szCs w:val="20"/>
              </w:rPr>
            </w:pPr>
            <w:r w:rsidRPr="005B5D4B">
              <w:rPr>
                <w:rFonts w:cs="Calibri"/>
                <w:color w:val="000000"/>
                <w:sz w:val="20"/>
                <w:szCs w:val="20"/>
              </w:rPr>
              <w:t>226 906</w:t>
            </w:r>
          </w:p>
        </w:tc>
        <w:tc>
          <w:tcPr>
            <w:tcW w:w="601" w:type="pct"/>
            <w:shd w:val="clear" w:color="auto" w:fill="auto"/>
            <w:vAlign w:val="bottom"/>
          </w:tcPr>
          <w:p w14:paraId="7E2B39CE" w14:textId="77777777" w:rsidR="0084732D" w:rsidRPr="005B5D4B" w:rsidRDefault="0084732D" w:rsidP="006C0682">
            <w:pPr>
              <w:jc w:val="center"/>
              <w:rPr>
                <w:rFonts w:cs="Calibri"/>
                <w:color w:val="000000"/>
                <w:sz w:val="20"/>
                <w:szCs w:val="20"/>
              </w:rPr>
            </w:pPr>
            <w:r>
              <w:rPr>
                <w:rFonts w:cs="Calibri"/>
                <w:color w:val="000000"/>
                <w:sz w:val="20"/>
                <w:szCs w:val="20"/>
              </w:rPr>
              <w:t>114,8</w:t>
            </w:r>
          </w:p>
        </w:tc>
      </w:tr>
      <w:tr w:rsidR="00153A74" w:rsidRPr="005A08CB" w14:paraId="373169B5" w14:textId="77777777" w:rsidTr="006C0682">
        <w:trPr>
          <w:trHeight w:val="215"/>
        </w:trPr>
        <w:tc>
          <w:tcPr>
            <w:tcW w:w="2273" w:type="pct"/>
            <w:vAlign w:val="bottom"/>
          </w:tcPr>
          <w:p w14:paraId="7EEEC06D" w14:textId="77777777" w:rsidR="0084732D" w:rsidRPr="005A08CB" w:rsidRDefault="0084732D" w:rsidP="006C0682">
            <w:pPr>
              <w:ind w:firstLine="176"/>
              <w:contextualSpacing/>
              <w:rPr>
                <w:rFonts w:eastAsia="Times New Roman" w:cs="Times New Roman"/>
                <w:bCs/>
                <w:sz w:val="20"/>
                <w:szCs w:val="20"/>
                <w:lang w:eastAsia="sk-SK"/>
              </w:rPr>
            </w:pPr>
            <w:r w:rsidRPr="005A08CB">
              <w:rPr>
                <w:rFonts w:eastAsia="Times New Roman" w:cs="Times New Roman"/>
                <w:bCs/>
                <w:sz w:val="20"/>
                <w:szCs w:val="20"/>
                <w:lang w:eastAsia="sk-SK"/>
              </w:rPr>
              <w:t>finančné operácie</w:t>
            </w:r>
          </w:p>
        </w:tc>
        <w:tc>
          <w:tcPr>
            <w:tcW w:w="532" w:type="pct"/>
            <w:vAlign w:val="center"/>
          </w:tcPr>
          <w:p w14:paraId="28590CE3" w14:textId="77777777" w:rsidR="0084732D" w:rsidRPr="005A08CB" w:rsidRDefault="0084732D" w:rsidP="006C0682">
            <w:pPr>
              <w:jc w:val="center"/>
              <w:rPr>
                <w:rFonts w:eastAsia="Times New Roman" w:cs="Times New Roman"/>
                <w:sz w:val="20"/>
                <w:szCs w:val="20"/>
                <w:lang w:eastAsia="sk-SK"/>
              </w:rPr>
            </w:pPr>
            <w:r w:rsidRPr="005A08CB">
              <w:rPr>
                <w:rFonts w:eastAsia="Times New Roman" w:cs="Times New Roman"/>
                <w:sz w:val="20"/>
                <w:szCs w:val="20"/>
                <w:lang w:eastAsia="sk-SK"/>
              </w:rPr>
              <w:t>413 787</w:t>
            </w:r>
          </w:p>
        </w:tc>
        <w:tc>
          <w:tcPr>
            <w:tcW w:w="532" w:type="pct"/>
            <w:vAlign w:val="center"/>
          </w:tcPr>
          <w:p w14:paraId="7B501A88" w14:textId="77777777" w:rsidR="0084732D" w:rsidRPr="005A08CB" w:rsidRDefault="0084732D" w:rsidP="006C0682">
            <w:pPr>
              <w:jc w:val="center"/>
              <w:rPr>
                <w:rFonts w:eastAsia="Times New Roman" w:cs="Times New Roman"/>
                <w:sz w:val="20"/>
                <w:szCs w:val="20"/>
                <w:lang w:eastAsia="sk-SK"/>
              </w:rPr>
            </w:pPr>
            <w:r>
              <w:rPr>
                <w:rFonts w:eastAsia="Times New Roman" w:cs="Times New Roman"/>
                <w:sz w:val="20"/>
                <w:szCs w:val="20"/>
                <w:lang w:eastAsia="sk-SK"/>
              </w:rPr>
              <w:t>566 313</w:t>
            </w:r>
          </w:p>
        </w:tc>
        <w:tc>
          <w:tcPr>
            <w:tcW w:w="532" w:type="pct"/>
            <w:shd w:val="clear" w:color="auto" w:fill="auto"/>
            <w:vAlign w:val="bottom"/>
          </w:tcPr>
          <w:p w14:paraId="4B16CAD7" w14:textId="77777777" w:rsidR="0084732D" w:rsidRPr="005B5D4B" w:rsidRDefault="0084732D" w:rsidP="006C0682">
            <w:pPr>
              <w:jc w:val="center"/>
              <w:rPr>
                <w:rFonts w:cs="Calibri"/>
                <w:color w:val="000000"/>
                <w:sz w:val="20"/>
                <w:szCs w:val="20"/>
              </w:rPr>
            </w:pPr>
            <w:r w:rsidRPr="005B5D4B">
              <w:rPr>
                <w:rFonts w:cs="Calibri"/>
                <w:color w:val="000000"/>
                <w:sz w:val="20"/>
                <w:szCs w:val="20"/>
              </w:rPr>
              <w:t>556 705</w:t>
            </w:r>
          </w:p>
        </w:tc>
        <w:tc>
          <w:tcPr>
            <w:tcW w:w="531" w:type="pct"/>
            <w:shd w:val="clear" w:color="auto" w:fill="auto"/>
            <w:vAlign w:val="bottom"/>
          </w:tcPr>
          <w:p w14:paraId="447088A0" w14:textId="77777777" w:rsidR="0084732D" w:rsidRPr="005B5D4B" w:rsidRDefault="0084732D" w:rsidP="006C0682">
            <w:pPr>
              <w:jc w:val="center"/>
              <w:rPr>
                <w:rFonts w:cs="Calibri"/>
                <w:color w:val="000000"/>
                <w:sz w:val="20"/>
                <w:szCs w:val="20"/>
              </w:rPr>
            </w:pPr>
            <w:r w:rsidRPr="005B5D4B">
              <w:rPr>
                <w:rFonts w:cs="Calibri"/>
                <w:color w:val="000000"/>
                <w:sz w:val="20"/>
                <w:szCs w:val="20"/>
              </w:rPr>
              <w:t>-9 609</w:t>
            </w:r>
          </w:p>
        </w:tc>
        <w:tc>
          <w:tcPr>
            <w:tcW w:w="601" w:type="pct"/>
            <w:shd w:val="clear" w:color="auto" w:fill="auto"/>
            <w:vAlign w:val="bottom"/>
          </w:tcPr>
          <w:p w14:paraId="2C3638E5" w14:textId="77777777" w:rsidR="0084732D" w:rsidRPr="005B5D4B" w:rsidRDefault="0084732D" w:rsidP="006C0682">
            <w:pPr>
              <w:jc w:val="center"/>
              <w:rPr>
                <w:rFonts w:cs="Calibri"/>
                <w:color w:val="000000"/>
                <w:sz w:val="20"/>
                <w:szCs w:val="20"/>
              </w:rPr>
            </w:pPr>
            <w:r>
              <w:rPr>
                <w:rFonts w:cs="Calibri"/>
                <w:color w:val="000000"/>
                <w:sz w:val="20"/>
                <w:szCs w:val="20"/>
              </w:rPr>
              <w:t>98,3</w:t>
            </w:r>
          </w:p>
        </w:tc>
      </w:tr>
      <w:tr w:rsidR="00153A74" w:rsidRPr="005A08CB" w14:paraId="605DFACF" w14:textId="77777777" w:rsidTr="006C0682">
        <w:trPr>
          <w:trHeight w:val="204"/>
        </w:trPr>
        <w:tc>
          <w:tcPr>
            <w:tcW w:w="2273" w:type="pct"/>
            <w:vAlign w:val="bottom"/>
          </w:tcPr>
          <w:p w14:paraId="7DB10749" w14:textId="77777777" w:rsidR="0084732D" w:rsidRPr="005A08CB" w:rsidRDefault="0084732D" w:rsidP="00CA4572">
            <w:pPr>
              <w:rPr>
                <w:rFonts w:eastAsia="Times New Roman" w:cs="Times New Roman"/>
                <w:b/>
                <w:bCs/>
                <w:i/>
                <w:sz w:val="20"/>
                <w:szCs w:val="20"/>
                <w:lang w:eastAsia="sk-SK"/>
              </w:rPr>
            </w:pPr>
            <w:r w:rsidRPr="005A08CB">
              <w:rPr>
                <w:rFonts w:eastAsia="Times New Roman" w:cs="Times New Roman"/>
                <w:b/>
                <w:bCs/>
                <w:i/>
                <w:sz w:val="20"/>
                <w:szCs w:val="20"/>
                <w:lang w:eastAsia="sk-SK"/>
              </w:rPr>
              <w:t>z toho:</w:t>
            </w:r>
          </w:p>
        </w:tc>
        <w:tc>
          <w:tcPr>
            <w:tcW w:w="532" w:type="pct"/>
            <w:vAlign w:val="center"/>
          </w:tcPr>
          <w:p w14:paraId="0B71871D" w14:textId="77777777" w:rsidR="0084732D" w:rsidRPr="005A08CB" w:rsidRDefault="0084732D" w:rsidP="006C0682">
            <w:pPr>
              <w:jc w:val="center"/>
              <w:rPr>
                <w:rFonts w:eastAsia="Times New Roman" w:cs="Times New Roman"/>
                <w:sz w:val="20"/>
                <w:szCs w:val="20"/>
                <w:lang w:eastAsia="sk-SK"/>
              </w:rPr>
            </w:pPr>
          </w:p>
        </w:tc>
        <w:tc>
          <w:tcPr>
            <w:tcW w:w="532" w:type="pct"/>
            <w:vAlign w:val="center"/>
          </w:tcPr>
          <w:p w14:paraId="1D59264C" w14:textId="77777777" w:rsidR="0084732D" w:rsidRPr="005A08CB" w:rsidRDefault="0084732D" w:rsidP="006C0682">
            <w:pPr>
              <w:jc w:val="center"/>
              <w:rPr>
                <w:rFonts w:eastAsia="Times New Roman" w:cs="Times New Roman"/>
                <w:sz w:val="20"/>
                <w:szCs w:val="20"/>
                <w:lang w:eastAsia="sk-SK"/>
              </w:rPr>
            </w:pPr>
          </w:p>
        </w:tc>
        <w:tc>
          <w:tcPr>
            <w:tcW w:w="532" w:type="pct"/>
            <w:shd w:val="clear" w:color="auto" w:fill="auto"/>
            <w:vAlign w:val="bottom"/>
          </w:tcPr>
          <w:p w14:paraId="001F0562" w14:textId="54225E0D" w:rsidR="0084732D" w:rsidRPr="005B5D4B" w:rsidRDefault="0084732D" w:rsidP="006C0682">
            <w:pPr>
              <w:jc w:val="center"/>
              <w:rPr>
                <w:rFonts w:cs="Calibri"/>
                <w:color w:val="000000"/>
                <w:sz w:val="20"/>
                <w:szCs w:val="20"/>
              </w:rPr>
            </w:pPr>
          </w:p>
        </w:tc>
        <w:tc>
          <w:tcPr>
            <w:tcW w:w="531" w:type="pct"/>
            <w:shd w:val="clear" w:color="auto" w:fill="auto"/>
            <w:vAlign w:val="bottom"/>
          </w:tcPr>
          <w:p w14:paraId="411E36ED" w14:textId="457F0DE9" w:rsidR="0084732D" w:rsidRPr="005B5D4B" w:rsidRDefault="0084732D" w:rsidP="006C0682">
            <w:pPr>
              <w:jc w:val="center"/>
              <w:rPr>
                <w:rFonts w:cs="Calibri"/>
                <w:color w:val="000000"/>
                <w:sz w:val="20"/>
                <w:szCs w:val="20"/>
              </w:rPr>
            </w:pPr>
          </w:p>
        </w:tc>
        <w:tc>
          <w:tcPr>
            <w:tcW w:w="601" w:type="pct"/>
            <w:shd w:val="clear" w:color="auto" w:fill="auto"/>
            <w:vAlign w:val="bottom"/>
          </w:tcPr>
          <w:p w14:paraId="3F2DF006" w14:textId="084B3993" w:rsidR="0084732D" w:rsidRPr="005B5D4B" w:rsidRDefault="0084732D" w:rsidP="006C0682">
            <w:pPr>
              <w:jc w:val="center"/>
              <w:rPr>
                <w:rFonts w:cs="Calibri"/>
                <w:color w:val="000000"/>
                <w:sz w:val="20"/>
                <w:szCs w:val="20"/>
              </w:rPr>
            </w:pPr>
          </w:p>
        </w:tc>
      </w:tr>
      <w:tr w:rsidR="00153A74" w:rsidRPr="005A08CB" w14:paraId="4707ADBE" w14:textId="77777777" w:rsidTr="006C0682">
        <w:trPr>
          <w:trHeight w:val="510"/>
        </w:trPr>
        <w:tc>
          <w:tcPr>
            <w:tcW w:w="2273" w:type="pct"/>
            <w:vAlign w:val="bottom"/>
          </w:tcPr>
          <w:p w14:paraId="106BAEDE" w14:textId="77777777" w:rsidR="0084732D" w:rsidRPr="005A08CB" w:rsidRDefault="0084732D" w:rsidP="006C0682">
            <w:pPr>
              <w:ind w:left="176"/>
              <w:contextualSpacing/>
              <w:rPr>
                <w:rFonts w:eastAsia="Times New Roman" w:cs="Times New Roman"/>
                <w:bCs/>
                <w:sz w:val="20"/>
                <w:szCs w:val="20"/>
                <w:lang w:eastAsia="sk-SK"/>
              </w:rPr>
            </w:pPr>
            <w:r w:rsidRPr="005A08CB">
              <w:rPr>
                <w:rFonts w:eastAsia="Times New Roman" w:cs="Times New Roman"/>
                <w:bCs/>
                <w:sz w:val="20"/>
                <w:szCs w:val="20"/>
                <w:lang w:eastAsia="sk-SK"/>
              </w:rPr>
              <w:t>zo splátok tuzemských úverov, pôžičiek a z predaja majetkových účastí,</w:t>
            </w:r>
          </w:p>
        </w:tc>
        <w:tc>
          <w:tcPr>
            <w:tcW w:w="532" w:type="pct"/>
            <w:vAlign w:val="center"/>
          </w:tcPr>
          <w:p w14:paraId="0E20420F" w14:textId="77777777" w:rsidR="0084732D" w:rsidRPr="005A08CB" w:rsidRDefault="0084732D" w:rsidP="006C0682">
            <w:pPr>
              <w:jc w:val="center"/>
              <w:rPr>
                <w:rFonts w:eastAsia="Times New Roman" w:cs="Times New Roman"/>
                <w:sz w:val="20"/>
                <w:szCs w:val="20"/>
                <w:lang w:eastAsia="sk-SK"/>
              </w:rPr>
            </w:pPr>
            <w:r w:rsidRPr="005A08CB">
              <w:rPr>
                <w:rFonts w:eastAsia="Times New Roman" w:cs="Times New Roman"/>
                <w:sz w:val="20"/>
                <w:szCs w:val="20"/>
                <w:lang w:eastAsia="sk-SK"/>
              </w:rPr>
              <w:t>27 833</w:t>
            </w:r>
          </w:p>
        </w:tc>
        <w:tc>
          <w:tcPr>
            <w:tcW w:w="532" w:type="pct"/>
            <w:vAlign w:val="center"/>
          </w:tcPr>
          <w:p w14:paraId="0692F0E6" w14:textId="77777777" w:rsidR="0084732D" w:rsidRPr="005A08CB" w:rsidRDefault="0084732D" w:rsidP="006C0682">
            <w:pPr>
              <w:jc w:val="center"/>
              <w:rPr>
                <w:rFonts w:eastAsia="Times New Roman" w:cs="Times New Roman"/>
                <w:sz w:val="20"/>
                <w:szCs w:val="20"/>
                <w:lang w:eastAsia="sk-SK"/>
              </w:rPr>
            </w:pPr>
            <w:r>
              <w:rPr>
                <w:rFonts w:eastAsia="Times New Roman" w:cs="Times New Roman"/>
                <w:sz w:val="20"/>
                <w:szCs w:val="20"/>
                <w:lang w:eastAsia="sk-SK"/>
              </w:rPr>
              <w:t>30 657</w:t>
            </w:r>
          </w:p>
        </w:tc>
        <w:tc>
          <w:tcPr>
            <w:tcW w:w="532" w:type="pct"/>
            <w:shd w:val="clear" w:color="auto" w:fill="auto"/>
            <w:vAlign w:val="center"/>
          </w:tcPr>
          <w:p w14:paraId="4E306AEA" w14:textId="77777777" w:rsidR="0084732D" w:rsidRPr="005B5D4B" w:rsidRDefault="0084732D" w:rsidP="006C0682">
            <w:pPr>
              <w:jc w:val="center"/>
              <w:rPr>
                <w:rFonts w:cs="Calibri"/>
                <w:color w:val="000000"/>
                <w:sz w:val="20"/>
                <w:szCs w:val="20"/>
              </w:rPr>
            </w:pPr>
            <w:r w:rsidRPr="005B5D4B">
              <w:rPr>
                <w:rFonts w:cs="Calibri"/>
                <w:color w:val="000000"/>
                <w:sz w:val="20"/>
                <w:szCs w:val="20"/>
              </w:rPr>
              <w:t>26 002</w:t>
            </w:r>
          </w:p>
        </w:tc>
        <w:tc>
          <w:tcPr>
            <w:tcW w:w="531" w:type="pct"/>
            <w:shd w:val="clear" w:color="auto" w:fill="auto"/>
            <w:vAlign w:val="center"/>
          </w:tcPr>
          <w:p w14:paraId="3282782A" w14:textId="77777777" w:rsidR="0084732D" w:rsidRPr="005B5D4B" w:rsidRDefault="0084732D" w:rsidP="006C0682">
            <w:pPr>
              <w:jc w:val="center"/>
              <w:rPr>
                <w:rFonts w:cs="Calibri"/>
                <w:color w:val="000000"/>
                <w:sz w:val="20"/>
                <w:szCs w:val="20"/>
              </w:rPr>
            </w:pPr>
            <w:r w:rsidRPr="005B5D4B">
              <w:rPr>
                <w:rFonts w:cs="Calibri"/>
                <w:color w:val="000000"/>
                <w:sz w:val="20"/>
                <w:szCs w:val="20"/>
              </w:rPr>
              <w:t>-4 655</w:t>
            </w:r>
          </w:p>
        </w:tc>
        <w:tc>
          <w:tcPr>
            <w:tcW w:w="601" w:type="pct"/>
            <w:shd w:val="clear" w:color="auto" w:fill="auto"/>
            <w:vAlign w:val="center"/>
          </w:tcPr>
          <w:p w14:paraId="52489EFA" w14:textId="77777777" w:rsidR="0084732D" w:rsidRPr="005B5D4B" w:rsidRDefault="0084732D" w:rsidP="006C0682">
            <w:pPr>
              <w:jc w:val="center"/>
              <w:rPr>
                <w:rFonts w:cs="Calibri"/>
                <w:color w:val="000000"/>
                <w:sz w:val="20"/>
                <w:szCs w:val="20"/>
              </w:rPr>
            </w:pPr>
            <w:r>
              <w:rPr>
                <w:rFonts w:cs="Calibri"/>
                <w:color w:val="000000"/>
                <w:sz w:val="20"/>
                <w:szCs w:val="20"/>
              </w:rPr>
              <w:t>84,8</w:t>
            </w:r>
          </w:p>
        </w:tc>
      </w:tr>
      <w:tr w:rsidR="00153A74" w:rsidRPr="005A08CB" w14:paraId="1026EE6C" w14:textId="77777777" w:rsidTr="006C0682">
        <w:trPr>
          <w:trHeight w:val="510"/>
        </w:trPr>
        <w:tc>
          <w:tcPr>
            <w:tcW w:w="2273" w:type="pct"/>
            <w:vAlign w:val="bottom"/>
          </w:tcPr>
          <w:p w14:paraId="0CA13276" w14:textId="26551630" w:rsidR="0084732D" w:rsidRPr="005A08CB" w:rsidRDefault="0084732D" w:rsidP="006C0682">
            <w:pPr>
              <w:ind w:left="176"/>
              <w:contextualSpacing/>
              <w:rPr>
                <w:rFonts w:eastAsia="Times New Roman" w:cs="Times New Roman"/>
                <w:bCs/>
                <w:sz w:val="20"/>
                <w:szCs w:val="20"/>
                <w:lang w:eastAsia="sk-SK"/>
              </w:rPr>
            </w:pPr>
            <w:r w:rsidRPr="005A08CB">
              <w:rPr>
                <w:rFonts w:eastAsia="Times New Roman" w:cs="Times New Roman"/>
                <w:bCs/>
                <w:sz w:val="20"/>
                <w:szCs w:val="20"/>
                <w:lang w:eastAsia="sk-SK"/>
              </w:rPr>
              <w:t>zostatok prostriedkov z</w:t>
            </w:r>
            <w:r w:rsidR="00153A74">
              <w:rPr>
                <w:rFonts w:eastAsia="Times New Roman" w:cs="Times New Roman"/>
                <w:bCs/>
                <w:sz w:val="20"/>
                <w:szCs w:val="20"/>
                <w:lang w:eastAsia="sk-SK"/>
              </w:rPr>
              <w:t> </w:t>
            </w:r>
            <w:r w:rsidRPr="005A08CB">
              <w:rPr>
                <w:rFonts w:eastAsia="Times New Roman" w:cs="Times New Roman"/>
                <w:bCs/>
                <w:sz w:val="20"/>
                <w:szCs w:val="20"/>
                <w:lang w:eastAsia="sk-SK"/>
              </w:rPr>
              <w:t>predch</w:t>
            </w:r>
            <w:r w:rsidR="00153A74">
              <w:rPr>
                <w:rFonts w:eastAsia="Times New Roman" w:cs="Times New Roman"/>
                <w:bCs/>
                <w:sz w:val="20"/>
                <w:szCs w:val="20"/>
                <w:lang w:eastAsia="sk-SK"/>
              </w:rPr>
              <w:t>ádzajúcich</w:t>
            </w:r>
            <w:r w:rsidRPr="005A08CB">
              <w:rPr>
                <w:rFonts w:eastAsia="Times New Roman" w:cs="Times New Roman"/>
                <w:bCs/>
                <w:sz w:val="20"/>
                <w:szCs w:val="20"/>
                <w:lang w:eastAsia="sk-SK"/>
              </w:rPr>
              <w:t xml:space="preserve"> rokov a prevod prostriedkov z peň. fondov a ost</w:t>
            </w:r>
            <w:r w:rsidR="00153A74">
              <w:rPr>
                <w:rFonts w:eastAsia="Times New Roman" w:cs="Times New Roman"/>
                <w:bCs/>
                <w:sz w:val="20"/>
                <w:szCs w:val="20"/>
                <w:lang w:eastAsia="sk-SK"/>
              </w:rPr>
              <w:t>atné</w:t>
            </w:r>
          </w:p>
        </w:tc>
        <w:tc>
          <w:tcPr>
            <w:tcW w:w="532" w:type="pct"/>
            <w:vAlign w:val="center"/>
          </w:tcPr>
          <w:p w14:paraId="1F198394" w14:textId="77777777" w:rsidR="0084732D" w:rsidRPr="005A08CB" w:rsidRDefault="0084732D" w:rsidP="006C0682">
            <w:pPr>
              <w:jc w:val="center"/>
              <w:rPr>
                <w:rFonts w:eastAsia="Times New Roman" w:cs="Times New Roman"/>
                <w:sz w:val="20"/>
                <w:szCs w:val="20"/>
                <w:lang w:eastAsia="sk-SK"/>
              </w:rPr>
            </w:pPr>
            <w:r w:rsidRPr="005A08CB">
              <w:rPr>
                <w:rFonts w:eastAsia="Times New Roman" w:cs="Times New Roman"/>
                <w:sz w:val="20"/>
                <w:szCs w:val="20"/>
                <w:lang w:eastAsia="sk-SK"/>
              </w:rPr>
              <w:t>228 653</w:t>
            </w:r>
          </w:p>
        </w:tc>
        <w:tc>
          <w:tcPr>
            <w:tcW w:w="532" w:type="pct"/>
            <w:vAlign w:val="center"/>
          </w:tcPr>
          <w:p w14:paraId="30D98CC6" w14:textId="77777777" w:rsidR="0084732D" w:rsidRPr="005A08CB" w:rsidRDefault="0084732D" w:rsidP="006C0682">
            <w:pPr>
              <w:jc w:val="center"/>
              <w:rPr>
                <w:rFonts w:eastAsia="Times New Roman" w:cs="Times New Roman"/>
                <w:sz w:val="20"/>
                <w:szCs w:val="20"/>
                <w:lang w:eastAsia="sk-SK"/>
              </w:rPr>
            </w:pPr>
            <w:r>
              <w:rPr>
                <w:rFonts w:eastAsia="Times New Roman" w:cs="Times New Roman"/>
                <w:sz w:val="20"/>
                <w:szCs w:val="20"/>
                <w:lang w:eastAsia="sk-SK"/>
              </w:rPr>
              <w:t>304 338</w:t>
            </w:r>
          </w:p>
        </w:tc>
        <w:tc>
          <w:tcPr>
            <w:tcW w:w="532" w:type="pct"/>
            <w:shd w:val="clear" w:color="auto" w:fill="auto"/>
            <w:vAlign w:val="center"/>
          </w:tcPr>
          <w:p w14:paraId="24FA50C3" w14:textId="77777777" w:rsidR="0084732D" w:rsidRPr="005B5D4B" w:rsidRDefault="0084732D" w:rsidP="006C0682">
            <w:pPr>
              <w:jc w:val="center"/>
              <w:rPr>
                <w:rFonts w:cs="Calibri"/>
                <w:color w:val="000000"/>
                <w:sz w:val="20"/>
                <w:szCs w:val="20"/>
              </w:rPr>
            </w:pPr>
            <w:r w:rsidRPr="005B5D4B">
              <w:rPr>
                <w:rFonts w:cs="Calibri"/>
                <w:color w:val="000000"/>
                <w:sz w:val="20"/>
                <w:szCs w:val="20"/>
              </w:rPr>
              <w:t>311 803</w:t>
            </w:r>
          </w:p>
        </w:tc>
        <w:tc>
          <w:tcPr>
            <w:tcW w:w="531" w:type="pct"/>
            <w:shd w:val="clear" w:color="auto" w:fill="auto"/>
            <w:vAlign w:val="center"/>
          </w:tcPr>
          <w:p w14:paraId="31F91199" w14:textId="77777777" w:rsidR="0084732D" w:rsidRPr="005B5D4B" w:rsidRDefault="0084732D" w:rsidP="006C0682">
            <w:pPr>
              <w:jc w:val="center"/>
              <w:rPr>
                <w:rFonts w:cs="Calibri"/>
                <w:color w:val="000000"/>
                <w:sz w:val="20"/>
                <w:szCs w:val="20"/>
              </w:rPr>
            </w:pPr>
            <w:r w:rsidRPr="005B5D4B">
              <w:rPr>
                <w:rFonts w:cs="Calibri"/>
                <w:color w:val="000000"/>
                <w:sz w:val="20"/>
                <w:szCs w:val="20"/>
              </w:rPr>
              <w:t>7 465</w:t>
            </w:r>
          </w:p>
        </w:tc>
        <w:tc>
          <w:tcPr>
            <w:tcW w:w="601" w:type="pct"/>
            <w:shd w:val="clear" w:color="auto" w:fill="auto"/>
            <w:vAlign w:val="center"/>
          </w:tcPr>
          <w:p w14:paraId="3B24DC5F" w14:textId="77777777" w:rsidR="0084732D" w:rsidRPr="005B5D4B" w:rsidRDefault="0084732D" w:rsidP="006C0682">
            <w:pPr>
              <w:jc w:val="center"/>
              <w:rPr>
                <w:rFonts w:cs="Calibri"/>
                <w:color w:val="000000"/>
                <w:sz w:val="20"/>
                <w:szCs w:val="20"/>
              </w:rPr>
            </w:pPr>
            <w:r>
              <w:rPr>
                <w:rFonts w:cs="Calibri"/>
                <w:color w:val="000000"/>
                <w:sz w:val="20"/>
                <w:szCs w:val="20"/>
              </w:rPr>
              <w:t>102,5</w:t>
            </w:r>
          </w:p>
        </w:tc>
      </w:tr>
      <w:tr w:rsidR="00153A74" w:rsidRPr="005A08CB" w14:paraId="4F93773E" w14:textId="77777777" w:rsidTr="006C0682">
        <w:trPr>
          <w:trHeight w:val="225"/>
        </w:trPr>
        <w:tc>
          <w:tcPr>
            <w:tcW w:w="2273" w:type="pct"/>
            <w:vAlign w:val="bottom"/>
          </w:tcPr>
          <w:p w14:paraId="40956AC5" w14:textId="77777777" w:rsidR="0084732D" w:rsidRPr="005A08CB" w:rsidRDefault="0084732D" w:rsidP="006C0682">
            <w:pPr>
              <w:ind w:firstLine="176"/>
              <w:contextualSpacing/>
              <w:rPr>
                <w:rFonts w:eastAsia="Times New Roman" w:cs="Times New Roman"/>
                <w:bCs/>
                <w:sz w:val="20"/>
                <w:szCs w:val="20"/>
                <w:lang w:eastAsia="sk-SK"/>
              </w:rPr>
            </w:pPr>
            <w:r w:rsidRPr="005A08CB">
              <w:rPr>
                <w:rFonts w:eastAsia="Times New Roman" w:cs="Times New Roman"/>
                <w:bCs/>
                <w:sz w:val="20"/>
                <w:szCs w:val="20"/>
                <w:lang w:eastAsia="sk-SK"/>
              </w:rPr>
              <w:t>z prijatých úverov</w:t>
            </w:r>
          </w:p>
        </w:tc>
        <w:tc>
          <w:tcPr>
            <w:tcW w:w="532" w:type="pct"/>
            <w:vAlign w:val="center"/>
          </w:tcPr>
          <w:p w14:paraId="3F2DD09F" w14:textId="77777777" w:rsidR="0084732D" w:rsidRPr="005A08CB" w:rsidRDefault="0084732D" w:rsidP="006C0682">
            <w:pPr>
              <w:jc w:val="center"/>
              <w:rPr>
                <w:rFonts w:eastAsia="Times New Roman" w:cs="Times New Roman"/>
                <w:sz w:val="20"/>
                <w:szCs w:val="20"/>
                <w:lang w:eastAsia="sk-SK"/>
              </w:rPr>
            </w:pPr>
            <w:r w:rsidRPr="005A08CB">
              <w:rPr>
                <w:rFonts w:eastAsia="Times New Roman" w:cs="Times New Roman"/>
                <w:sz w:val="20"/>
                <w:szCs w:val="20"/>
                <w:lang w:eastAsia="sk-SK"/>
              </w:rPr>
              <w:t>157 301</w:t>
            </w:r>
          </w:p>
        </w:tc>
        <w:tc>
          <w:tcPr>
            <w:tcW w:w="532" w:type="pct"/>
            <w:vAlign w:val="center"/>
          </w:tcPr>
          <w:p w14:paraId="5BA9416C" w14:textId="77777777" w:rsidR="0084732D" w:rsidRPr="005A08CB" w:rsidRDefault="0084732D" w:rsidP="006C0682">
            <w:pPr>
              <w:jc w:val="center"/>
              <w:rPr>
                <w:rFonts w:eastAsia="Times New Roman" w:cs="Times New Roman"/>
                <w:sz w:val="20"/>
                <w:szCs w:val="20"/>
                <w:lang w:eastAsia="sk-SK"/>
              </w:rPr>
            </w:pPr>
            <w:r>
              <w:rPr>
                <w:rFonts w:eastAsia="Times New Roman" w:cs="Times New Roman"/>
                <w:sz w:val="20"/>
                <w:szCs w:val="20"/>
                <w:lang w:eastAsia="sk-SK"/>
              </w:rPr>
              <w:t>231 319</w:t>
            </w:r>
          </w:p>
        </w:tc>
        <w:tc>
          <w:tcPr>
            <w:tcW w:w="532" w:type="pct"/>
            <w:shd w:val="clear" w:color="auto" w:fill="auto"/>
            <w:vAlign w:val="bottom"/>
          </w:tcPr>
          <w:p w14:paraId="073FA806" w14:textId="77777777" w:rsidR="0084732D" w:rsidRPr="005B5D4B" w:rsidRDefault="0084732D" w:rsidP="006C0682">
            <w:pPr>
              <w:jc w:val="center"/>
              <w:rPr>
                <w:rFonts w:cs="Calibri"/>
                <w:color w:val="000000"/>
                <w:sz w:val="20"/>
                <w:szCs w:val="20"/>
              </w:rPr>
            </w:pPr>
            <w:r w:rsidRPr="005B5D4B">
              <w:rPr>
                <w:rFonts w:cs="Calibri"/>
                <w:color w:val="000000"/>
                <w:sz w:val="20"/>
                <w:szCs w:val="20"/>
              </w:rPr>
              <w:t>218 900</w:t>
            </w:r>
          </w:p>
        </w:tc>
        <w:tc>
          <w:tcPr>
            <w:tcW w:w="531" w:type="pct"/>
            <w:shd w:val="clear" w:color="auto" w:fill="auto"/>
            <w:vAlign w:val="bottom"/>
          </w:tcPr>
          <w:p w14:paraId="301DB537" w14:textId="77777777" w:rsidR="0084732D" w:rsidRPr="005B5D4B" w:rsidRDefault="0084732D" w:rsidP="006C0682">
            <w:pPr>
              <w:jc w:val="center"/>
              <w:rPr>
                <w:rFonts w:cs="Calibri"/>
                <w:color w:val="000000"/>
                <w:sz w:val="20"/>
                <w:szCs w:val="20"/>
              </w:rPr>
            </w:pPr>
            <w:r w:rsidRPr="005B5D4B">
              <w:rPr>
                <w:rFonts w:cs="Calibri"/>
                <w:color w:val="000000"/>
                <w:sz w:val="20"/>
                <w:szCs w:val="20"/>
              </w:rPr>
              <w:t>-12 419</w:t>
            </w:r>
          </w:p>
        </w:tc>
        <w:tc>
          <w:tcPr>
            <w:tcW w:w="601" w:type="pct"/>
            <w:shd w:val="clear" w:color="auto" w:fill="auto"/>
            <w:vAlign w:val="bottom"/>
          </w:tcPr>
          <w:p w14:paraId="7EBDB9F2" w14:textId="77777777" w:rsidR="0084732D" w:rsidRPr="005B5D4B" w:rsidRDefault="0084732D" w:rsidP="006C0682">
            <w:pPr>
              <w:jc w:val="center"/>
              <w:rPr>
                <w:rFonts w:cs="Calibri"/>
                <w:color w:val="000000"/>
                <w:sz w:val="20"/>
                <w:szCs w:val="20"/>
              </w:rPr>
            </w:pPr>
            <w:r>
              <w:rPr>
                <w:rFonts w:cs="Calibri"/>
                <w:color w:val="000000"/>
                <w:sz w:val="20"/>
                <w:szCs w:val="20"/>
              </w:rPr>
              <w:t>94,6</w:t>
            </w:r>
          </w:p>
        </w:tc>
      </w:tr>
    </w:tbl>
    <w:p w14:paraId="675268F4" w14:textId="77777777" w:rsidR="0084732D" w:rsidRPr="00CA4572" w:rsidRDefault="0084732D" w:rsidP="00CA4572">
      <w:pPr>
        <w:jc w:val="both"/>
        <w:rPr>
          <w:rFonts w:eastAsia="Times New Roman" w:cs="Times New Roman"/>
          <w:i/>
          <w:sz w:val="18"/>
          <w:szCs w:val="20"/>
          <w:lang w:eastAsia="sk-SK"/>
        </w:rPr>
      </w:pPr>
      <w:r w:rsidRPr="00CA4572">
        <w:rPr>
          <w:rFonts w:eastAsia="Times New Roman" w:cs="Times New Roman"/>
          <w:i/>
          <w:sz w:val="18"/>
          <w:szCs w:val="20"/>
          <w:lang w:eastAsia="sk-SK"/>
        </w:rPr>
        <w:t>Zdroj: Datacentrum</w:t>
      </w:r>
    </w:p>
    <w:p w14:paraId="1BF1D15E" w14:textId="77777777" w:rsidR="00CB52FF" w:rsidRDefault="00CB52FF" w:rsidP="00CB52FF">
      <w:pPr>
        <w:spacing w:before="120" w:after="120"/>
        <w:jc w:val="both"/>
      </w:pPr>
      <w:r>
        <w:t xml:space="preserve">Najväčší medziročný nárast príjmov obcí bol z grantov a transferov. </w:t>
      </w:r>
      <w:r w:rsidRPr="0021368F">
        <w:t xml:space="preserve">Zo </w:t>
      </w:r>
      <w:r>
        <w:t>ŠR</w:t>
      </w:r>
      <w:r w:rsidRPr="0021368F">
        <w:t xml:space="preserve"> sa územnej samospráve poskytujú prostriedky na úhradu nákladov preneseného výkonu štátnej správy (napr. na vzdelávanie, sociálne veci, stavebné konania a pod).</w:t>
      </w:r>
      <w:r w:rsidRPr="003C3102">
        <w:rPr>
          <w:b/>
        </w:rPr>
        <w:t xml:space="preserve"> </w:t>
      </w:r>
      <w:r>
        <w:t>V</w:t>
      </w:r>
      <w:r w:rsidRPr="008F435E">
        <w:t xml:space="preserve"> týchto prípadoch môže </w:t>
      </w:r>
      <w:r>
        <w:t>ú</w:t>
      </w:r>
      <w:r w:rsidRPr="008F435E">
        <w:t>zemná samospráva konať v presne určených p</w:t>
      </w:r>
      <w:r>
        <w:t xml:space="preserve">odmienkach. </w:t>
      </w:r>
      <w:r w:rsidRPr="008F435E">
        <w:t xml:space="preserve">Okrem toho sa </w:t>
      </w:r>
      <w:r>
        <w:t xml:space="preserve">územnej samospráve </w:t>
      </w:r>
      <w:r w:rsidRPr="008F435E">
        <w:t xml:space="preserve">zo </w:t>
      </w:r>
      <w:r>
        <w:t>ŠR</w:t>
      </w:r>
      <w:r w:rsidRPr="008F435E">
        <w:t xml:space="preserve"> poskytujú dotácie, granty</w:t>
      </w:r>
      <w:r>
        <w:t xml:space="preserve"> a transfery bez protihodnoty. Rastúci trend sa zachoval aj v náraste daňových príjmov obcí. </w:t>
      </w:r>
    </w:p>
    <w:p w14:paraId="18F0E454" w14:textId="3A595453" w:rsidR="0084732D" w:rsidRPr="0084732D" w:rsidRDefault="0084732D" w:rsidP="00CA4572">
      <w:pPr>
        <w:spacing w:before="120"/>
        <w:jc w:val="both"/>
        <w:rPr>
          <w:rFonts w:eastAsia="Times New Roman" w:cs="Times New Roman"/>
          <w:b/>
          <w:i/>
          <w:szCs w:val="24"/>
          <w:lang w:eastAsia="sk-SK"/>
        </w:rPr>
      </w:pPr>
      <w:r w:rsidRPr="0084732D">
        <w:rPr>
          <w:rFonts w:eastAsia="Times New Roman" w:cs="Times New Roman"/>
          <w:b/>
          <w:i/>
          <w:szCs w:val="24"/>
          <w:lang w:eastAsia="sk-SK"/>
        </w:rPr>
        <w:t>Porovnanie skutočných výdavkov obcí na hotovostnej báze za roky 2017 až 2019</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28"/>
        <w:gridCol w:w="1228"/>
        <w:gridCol w:w="1228"/>
        <w:gridCol w:w="1224"/>
        <w:gridCol w:w="1209"/>
      </w:tblGrid>
      <w:tr w:rsidR="00E764AB" w:rsidRPr="005A08CB" w14:paraId="57C2EE09" w14:textId="77777777" w:rsidTr="00A57641">
        <w:trPr>
          <w:trHeight w:val="20"/>
          <w:tblHeader/>
        </w:trPr>
        <w:tc>
          <w:tcPr>
            <w:tcW w:w="1727" w:type="pct"/>
            <w:shd w:val="clear" w:color="auto" w:fill="0070C0"/>
            <w:vAlign w:val="center"/>
            <w:hideMark/>
          </w:tcPr>
          <w:p w14:paraId="2EE32D6B" w14:textId="43B8DCA0" w:rsidR="00E764AB" w:rsidRPr="006C0682" w:rsidRDefault="00E764AB" w:rsidP="002E55A3">
            <w:pPr>
              <w:jc w:val="center"/>
              <w:rPr>
                <w:rFonts w:eastAsia="Times New Roman" w:cs="Times New Roman"/>
                <w:b/>
                <w:color w:val="FFFFFF"/>
                <w:sz w:val="20"/>
                <w:szCs w:val="20"/>
                <w:lang w:eastAsia="sk-SK"/>
              </w:rPr>
            </w:pPr>
            <w:r w:rsidRPr="002E55A3">
              <w:rPr>
                <w:rFonts w:eastAsia="Times New Roman" w:cs="Times New Roman"/>
                <w:b/>
                <w:color w:val="FFFFFF"/>
                <w:sz w:val="20"/>
                <w:szCs w:val="20"/>
                <w:lang w:eastAsia="sk-SK"/>
              </w:rPr>
              <w:t xml:space="preserve">Názov ukazovateľa </w:t>
            </w:r>
            <w:r w:rsidRPr="006C0682">
              <w:rPr>
                <w:rFonts w:eastAsia="Times New Roman" w:cs="Times New Roman"/>
                <w:b/>
                <w:color w:val="FFFFFF"/>
                <w:sz w:val="20"/>
                <w:szCs w:val="20"/>
                <w:lang w:eastAsia="sk-SK"/>
              </w:rPr>
              <w:t>(tis. eur)</w:t>
            </w:r>
          </w:p>
        </w:tc>
        <w:tc>
          <w:tcPr>
            <w:tcW w:w="657" w:type="pct"/>
            <w:shd w:val="clear" w:color="auto" w:fill="0070C0"/>
            <w:vAlign w:val="center"/>
          </w:tcPr>
          <w:p w14:paraId="5C52320B" w14:textId="77777777" w:rsidR="00E764AB" w:rsidRPr="002E55A3" w:rsidRDefault="00E764AB" w:rsidP="00CA4572">
            <w:pPr>
              <w:jc w:val="center"/>
              <w:rPr>
                <w:rFonts w:eastAsia="Times New Roman" w:cs="Times New Roman"/>
                <w:b/>
                <w:color w:val="FFFFFF"/>
                <w:sz w:val="20"/>
                <w:szCs w:val="20"/>
                <w:lang w:eastAsia="sk-SK"/>
              </w:rPr>
            </w:pPr>
            <w:r w:rsidRPr="002E55A3">
              <w:rPr>
                <w:rFonts w:eastAsia="Times New Roman" w:cs="Times New Roman"/>
                <w:b/>
                <w:color w:val="FFFFFF"/>
                <w:sz w:val="20"/>
                <w:szCs w:val="20"/>
                <w:lang w:eastAsia="sk-SK"/>
              </w:rPr>
              <w:t>2017</w:t>
            </w:r>
          </w:p>
        </w:tc>
        <w:tc>
          <w:tcPr>
            <w:tcW w:w="657" w:type="pct"/>
            <w:shd w:val="clear" w:color="auto" w:fill="0070C0"/>
            <w:vAlign w:val="center"/>
          </w:tcPr>
          <w:p w14:paraId="5856B779" w14:textId="77777777" w:rsidR="00E764AB" w:rsidRPr="00615B72" w:rsidRDefault="00E764AB" w:rsidP="00CA4572">
            <w:pPr>
              <w:jc w:val="center"/>
              <w:rPr>
                <w:rFonts w:eastAsia="Times New Roman" w:cs="Times New Roman"/>
                <w:b/>
                <w:color w:val="FFFFFF"/>
                <w:sz w:val="20"/>
                <w:szCs w:val="20"/>
                <w:lang w:eastAsia="sk-SK"/>
              </w:rPr>
            </w:pPr>
            <w:r w:rsidRPr="00615B72">
              <w:rPr>
                <w:rFonts w:eastAsia="Times New Roman" w:cs="Times New Roman"/>
                <w:b/>
                <w:color w:val="FFFFFF"/>
                <w:sz w:val="20"/>
                <w:szCs w:val="20"/>
                <w:lang w:eastAsia="sk-SK"/>
              </w:rPr>
              <w:t>2018</w:t>
            </w:r>
          </w:p>
        </w:tc>
        <w:tc>
          <w:tcPr>
            <w:tcW w:w="657" w:type="pct"/>
            <w:shd w:val="clear" w:color="auto" w:fill="0070C0"/>
            <w:vAlign w:val="center"/>
          </w:tcPr>
          <w:p w14:paraId="11C970E1" w14:textId="77777777" w:rsidR="00E764AB" w:rsidRPr="00615B72" w:rsidRDefault="00E764AB" w:rsidP="00CA4572">
            <w:pPr>
              <w:jc w:val="center"/>
              <w:rPr>
                <w:rFonts w:eastAsia="Times New Roman" w:cs="Times New Roman"/>
                <w:b/>
                <w:color w:val="FFFFFF"/>
                <w:sz w:val="20"/>
                <w:szCs w:val="20"/>
                <w:lang w:eastAsia="sk-SK"/>
              </w:rPr>
            </w:pPr>
            <w:r w:rsidRPr="00615B72">
              <w:rPr>
                <w:rFonts w:eastAsia="Times New Roman" w:cs="Times New Roman"/>
                <w:b/>
                <w:color w:val="FFFFFF"/>
                <w:sz w:val="20"/>
                <w:szCs w:val="20"/>
                <w:lang w:eastAsia="sk-SK"/>
              </w:rPr>
              <w:t>2019</w:t>
            </w:r>
          </w:p>
        </w:tc>
        <w:tc>
          <w:tcPr>
            <w:tcW w:w="655" w:type="pct"/>
            <w:shd w:val="clear" w:color="auto" w:fill="0070C0"/>
          </w:tcPr>
          <w:p w14:paraId="2030C1B0" w14:textId="38AEE154" w:rsidR="00E764AB" w:rsidRPr="00615B72" w:rsidRDefault="0072153C" w:rsidP="002E55A3">
            <w:pPr>
              <w:jc w:val="center"/>
              <w:rPr>
                <w:rFonts w:eastAsia="Times New Roman" w:cs="Times New Roman"/>
                <w:b/>
                <w:color w:val="FFFFFF"/>
                <w:sz w:val="20"/>
                <w:szCs w:val="20"/>
                <w:lang w:eastAsia="sk-SK"/>
              </w:rPr>
            </w:pPr>
            <w:r w:rsidRPr="00615B72">
              <w:rPr>
                <w:rFonts w:eastAsia="Times New Roman" w:cs="Times New Roman"/>
                <w:b/>
                <w:color w:val="FFFFFF"/>
                <w:sz w:val="20"/>
                <w:szCs w:val="20"/>
                <w:lang w:eastAsia="sk-SK"/>
              </w:rPr>
              <w:t>Rozdiel</w:t>
            </w:r>
          </w:p>
        </w:tc>
        <w:tc>
          <w:tcPr>
            <w:tcW w:w="647" w:type="pct"/>
            <w:shd w:val="clear" w:color="auto" w:fill="0070C0"/>
          </w:tcPr>
          <w:p w14:paraId="087DA8D7" w14:textId="32F1556F" w:rsidR="00E764AB" w:rsidRPr="00615B72" w:rsidRDefault="00E764AB" w:rsidP="002E55A3">
            <w:pPr>
              <w:jc w:val="center"/>
              <w:rPr>
                <w:rFonts w:eastAsia="Times New Roman" w:cs="Times New Roman"/>
                <w:b/>
                <w:color w:val="FFFFFF"/>
                <w:sz w:val="20"/>
                <w:szCs w:val="20"/>
                <w:lang w:eastAsia="sk-SK"/>
              </w:rPr>
            </w:pPr>
            <w:r w:rsidRPr="00615B72">
              <w:rPr>
                <w:rFonts w:eastAsia="Times New Roman" w:cs="Times New Roman"/>
                <w:b/>
                <w:color w:val="FFFFFF"/>
                <w:sz w:val="20"/>
                <w:szCs w:val="20"/>
                <w:lang w:eastAsia="sk-SK"/>
              </w:rPr>
              <w:t>Index (</w:t>
            </w:r>
            <w:r w:rsidR="0072153C" w:rsidRPr="00615B72">
              <w:rPr>
                <w:rFonts w:eastAsia="Times New Roman" w:cs="Times New Roman"/>
                <w:b/>
                <w:color w:val="FFFFFF"/>
                <w:sz w:val="20"/>
                <w:szCs w:val="20"/>
                <w:lang w:eastAsia="sk-SK"/>
              </w:rPr>
              <w:t xml:space="preserve">v </w:t>
            </w:r>
            <w:r w:rsidRPr="00615B72">
              <w:rPr>
                <w:rFonts w:eastAsia="Times New Roman" w:cs="Times New Roman"/>
                <w:b/>
                <w:color w:val="FFFFFF"/>
                <w:sz w:val="20"/>
                <w:szCs w:val="20"/>
                <w:lang w:eastAsia="sk-SK"/>
              </w:rPr>
              <w:t>%)</w:t>
            </w:r>
          </w:p>
        </w:tc>
      </w:tr>
      <w:tr w:rsidR="00615B72" w:rsidRPr="005A08CB" w14:paraId="70F90A75" w14:textId="77777777" w:rsidTr="00A57641">
        <w:trPr>
          <w:trHeight w:val="20"/>
        </w:trPr>
        <w:tc>
          <w:tcPr>
            <w:tcW w:w="1727" w:type="pct"/>
            <w:vAlign w:val="bottom"/>
          </w:tcPr>
          <w:p w14:paraId="4C80A0F1" w14:textId="2D00A03D" w:rsidR="00615B72" w:rsidRPr="002E55A3" w:rsidRDefault="00615B72" w:rsidP="006C0682">
            <w:pPr>
              <w:jc w:val="center"/>
              <w:rPr>
                <w:sz w:val="20"/>
                <w:szCs w:val="20"/>
              </w:rPr>
            </w:pPr>
            <w:r>
              <w:rPr>
                <w:sz w:val="20"/>
                <w:szCs w:val="20"/>
              </w:rPr>
              <w:t>a</w:t>
            </w:r>
          </w:p>
        </w:tc>
        <w:tc>
          <w:tcPr>
            <w:tcW w:w="657" w:type="pct"/>
            <w:vAlign w:val="center"/>
          </w:tcPr>
          <w:p w14:paraId="7DAB0C99" w14:textId="6831D076" w:rsidR="00615B72" w:rsidRPr="002E55A3" w:rsidRDefault="00615B72" w:rsidP="006C0682">
            <w:pPr>
              <w:jc w:val="center"/>
              <w:rPr>
                <w:sz w:val="20"/>
                <w:szCs w:val="20"/>
              </w:rPr>
            </w:pPr>
            <w:r>
              <w:rPr>
                <w:sz w:val="20"/>
                <w:szCs w:val="20"/>
              </w:rPr>
              <w:t>1</w:t>
            </w:r>
          </w:p>
        </w:tc>
        <w:tc>
          <w:tcPr>
            <w:tcW w:w="657" w:type="pct"/>
            <w:vAlign w:val="center"/>
          </w:tcPr>
          <w:p w14:paraId="260F3BA0" w14:textId="01D26326" w:rsidR="00615B72" w:rsidRPr="002E55A3" w:rsidRDefault="00615B72" w:rsidP="006C0682">
            <w:pPr>
              <w:jc w:val="center"/>
              <w:rPr>
                <w:sz w:val="20"/>
                <w:szCs w:val="20"/>
              </w:rPr>
            </w:pPr>
            <w:r>
              <w:rPr>
                <w:sz w:val="20"/>
                <w:szCs w:val="20"/>
              </w:rPr>
              <w:t>2</w:t>
            </w:r>
          </w:p>
        </w:tc>
        <w:tc>
          <w:tcPr>
            <w:tcW w:w="657" w:type="pct"/>
            <w:shd w:val="clear" w:color="auto" w:fill="auto"/>
            <w:vAlign w:val="center"/>
          </w:tcPr>
          <w:p w14:paraId="316F2E49" w14:textId="273D0895" w:rsidR="00615B72" w:rsidRPr="002E55A3" w:rsidRDefault="00615B72" w:rsidP="006C0682">
            <w:pPr>
              <w:jc w:val="center"/>
              <w:rPr>
                <w:sz w:val="20"/>
                <w:szCs w:val="20"/>
              </w:rPr>
            </w:pPr>
            <w:r>
              <w:rPr>
                <w:sz w:val="20"/>
                <w:szCs w:val="20"/>
              </w:rPr>
              <w:t>3</w:t>
            </w:r>
          </w:p>
        </w:tc>
        <w:tc>
          <w:tcPr>
            <w:tcW w:w="655" w:type="pct"/>
            <w:shd w:val="clear" w:color="auto" w:fill="auto"/>
            <w:vAlign w:val="center"/>
          </w:tcPr>
          <w:p w14:paraId="114F7319" w14:textId="1AF05D80" w:rsidR="00615B72" w:rsidRPr="002E55A3" w:rsidRDefault="00615B72" w:rsidP="006C0682">
            <w:pPr>
              <w:jc w:val="center"/>
              <w:rPr>
                <w:sz w:val="20"/>
                <w:szCs w:val="20"/>
              </w:rPr>
            </w:pPr>
            <w:r>
              <w:rPr>
                <w:sz w:val="20"/>
                <w:szCs w:val="20"/>
              </w:rPr>
              <w:t>4 = 3 - 2</w:t>
            </w:r>
          </w:p>
        </w:tc>
        <w:tc>
          <w:tcPr>
            <w:tcW w:w="647" w:type="pct"/>
            <w:shd w:val="clear" w:color="auto" w:fill="auto"/>
            <w:vAlign w:val="center"/>
          </w:tcPr>
          <w:p w14:paraId="2FFF51FC" w14:textId="3C8FB0D8" w:rsidR="00615B72" w:rsidRPr="002E55A3" w:rsidRDefault="00615B72" w:rsidP="006C0682">
            <w:pPr>
              <w:jc w:val="center"/>
              <w:rPr>
                <w:sz w:val="20"/>
                <w:szCs w:val="20"/>
              </w:rPr>
            </w:pPr>
            <w:r>
              <w:rPr>
                <w:sz w:val="20"/>
                <w:szCs w:val="20"/>
              </w:rPr>
              <w:t>5 = 3 / 2</w:t>
            </w:r>
          </w:p>
        </w:tc>
      </w:tr>
      <w:tr w:rsidR="00E764AB" w:rsidRPr="005A08CB" w14:paraId="34FE5A65" w14:textId="77777777" w:rsidTr="00A57641">
        <w:trPr>
          <w:trHeight w:val="20"/>
        </w:trPr>
        <w:tc>
          <w:tcPr>
            <w:tcW w:w="1727" w:type="pct"/>
            <w:vAlign w:val="bottom"/>
          </w:tcPr>
          <w:p w14:paraId="6C32B65E" w14:textId="3CDEB31B" w:rsidR="00E764AB" w:rsidRPr="005A08CB" w:rsidRDefault="00E764AB" w:rsidP="00CA4572">
            <w:pPr>
              <w:rPr>
                <w:rFonts w:eastAsia="Times New Roman" w:cs="Times New Roman"/>
                <w:b/>
                <w:sz w:val="20"/>
                <w:szCs w:val="20"/>
                <w:lang w:eastAsia="sk-SK"/>
              </w:rPr>
            </w:pPr>
            <w:r w:rsidRPr="0084732D">
              <w:rPr>
                <w:sz w:val="20"/>
                <w:szCs w:val="20"/>
              </w:rPr>
              <w:t>Výdavky  obcí celkom</w:t>
            </w:r>
          </w:p>
        </w:tc>
        <w:tc>
          <w:tcPr>
            <w:tcW w:w="657" w:type="pct"/>
            <w:vAlign w:val="center"/>
          </w:tcPr>
          <w:p w14:paraId="708B31F3" w14:textId="4689D533" w:rsidR="00E764AB" w:rsidRPr="005A08CB" w:rsidRDefault="00E764AB" w:rsidP="00CA4572">
            <w:pPr>
              <w:jc w:val="right"/>
              <w:rPr>
                <w:rFonts w:eastAsia="Times New Roman" w:cs="Times New Roman"/>
                <w:sz w:val="20"/>
                <w:szCs w:val="20"/>
                <w:lang w:eastAsia="sk-SK"/>
              </w:rPr>
            </w:pPr>
            <w:r w:rsidRPr="0084732D">
              <w:rPr>
                <w:sz w:val="20"/>
                <w:szCs w:val="20"/>
              </w:rPr>
              <w:t>4 291 965</w:t>
            </w:r>
          </w:p>
        </w:tc>
        <w:tc>
          <w:tcPr>
            <w:tcW w:w="657" w:type="pct"/>
            <w:vAlign w:val="center"/>
          </w:tcPr>
          <w:p w14:paraId="27083695" w14:textId="30C4CD76" w:rsidR="00E764AB" w:rsidRPr="005A08CB" w:rsidRDefault="00E764AB" w:rsidP="00CA4572">
            <w:pPr>
              <w:jc w:val="right"/>
              <w:rPr>
                <w:rFonts w:eastAsia="Times New Roman" w:cs="Times New Roman"/>
                <w:sz w:val="20"/>
                <w:szCs w:val="20"/>
                <w:lang w:eastAsia="sk-SK"/>
              </w:rPr>
            </w:pPr>
            <w:r w:rsidRPr="0084732D">
              <w:rPr>
                <w:sz w:val="20"/>
                <w:szCs w:val="20"/>
              </w:rPr>
              <w:t>4 876 607</w:t>
            </w:r>
          </w:p>
        </w:tc>
        <w:tc>
          <w:tcPr>
            <w:tcW w:w="657" w:type="pct"/>
            <w:shd w:val="clear" w:color="auto" w:fill="auto"/>
            <w:vAlign w:val="center"/>
          </w:tcPr>
          <w:p w14:paraId="0122BCFD" w14:textId="090AE9BC" w:rsidR="00E764AB" w:rsidRPr="005B5D4B" w:rsidRDefault="00E764AB" w:rsidP="00CA4572">
            <w:pPr>
              <w:jc w:val="right"/>
              <w:rPr>
                <w:rFonts w:cs="Calibri"/>
                <w:color w:val="000000"/>
                <w:sz w:val="20"/>
                <w:szCs w:val="20"/>
              </w:rPr>
            </w:pPr>
            <w:r w:rsidRPr="0084732D">
              <w:rPr>
                <w:sz w:val="20"/>
                <w:szCs w:val="20"/>
              </w:rPr>
              <w:t>5 278 449</w:t>
            </w:r>
          </w:p>
        </w:tc>
        <w:tc>
          <w:tcPr>
            <w:tcW w:w="655" w:type="pct"/>
            <w:shd w:val="clear" w:color="auto" w:fill="auto"/>
            <w:vAlign w:val="center"/>
          </w:tcPr>
          <w:p w14:paraId="2CB8D4A2" w14:textId="02B577D0" w:rsidR="00E764AB" w:rsidRPr="005B5D4B" w:rsidRDefault="00E764AB" w:rsidP="00CA4572">
            <w:pPr>
              <w:jc w:val="right"/>
              <w:rPr>
                <w:rFonts w:cs="Calibri"/>
                <w:color w:val="000000"/>
                <w:sz w:val="20"/>
                <w:szCs w:val="20"/>
              </w:rPr>
            </w:pPr>
            <w:r w:rsidRPr="0084732D">
              <w:rPr>
                <w:sz w:val="20"/>
                <w:szCs w:val="20"/>
              </w:rPr>
              <w:t>401 842</w:t>
            </w:r>
          </w:p>
        </w:tc>
        <w:tc>
          <w:tcPr>
            <w:tcW w:w="647" w:type="pct"/>
            <w:shd w:val="clear" w:color="auto" w:fill="auto"/>
            <w:vAlign w:val="center"/>
          </w:tcPr>
          <w:p w14:paraId="49C21076" w14:textId="06C227FB" w:rsidR="00E764AB" w:rsidRPr="005B5D4B" w:rsidRDefault="00E764AB" w:rsidP="00CA4572">
            <w:pPr>
              <w:jc w:val="right"/>
              <w:rPr>
                <w:rFonts w:cs="Calibri"/>
                <w:color w:val="000000"/>
                <w:sz w:val="20"/>
                <w:szCs w:val="20"/>
              </w:rPr>
            </w:pPr>
            <w:r w:rsidRPr="0084732D">
              <w:rPr>
                <w:sz w:val="20"/>
                <w:szCs w:val="20"/>
              </w:rPr>
              <w:t>108,2</w:t>
            </w:r>
          </w:p>
        </w:tc>
      </w:tr>
      <w:tr w:rsidR="00E764AB" w:rsidRPr="005A08CB" w14:paraId="24BE4E08" w14:textId="77777777" w:rsidTr="00A57641">
        <w:trPr>
          <w:trHeight w:val="20"/>
        </w:trPr>
        <w:tc>
          <w:tcPr>
            <w:tcW w:w="1727" w:type="pct"/>
            <w:vAlign w:val="bottom"/>
          </w:tcPr>
          <w:p w14:paraId="1CDE967B" w14:textId="61846B40" w:rsidR="00E764AB" w:rsidRPr="005A08CB" w:rsidRDefault="00E764AB" w:rsidP="00CA4572">
            <w:pPr>
              <w:rPr>
                <w:rFonts w:eastAsia="Times New Roman" w:cs="Times New Roman"/>
                <w:sz w:val="20"/>
                <w:szCs w:val="20"/>
                <w:lang w:eastAsia="sk-SK"/>
              </w:rPr>
            </w:pPr>
            <w:r w:rsidRPr="0084732D">
              <w:rPr>
                <w:sz w:val="20"/>
                <w:szCs w:val="20"/>
              </w:rPr>
              <w:t>z toho:</w:t>
            </w:r>
          </w:p>
        </w:tc>
        <w:tc>
          <w:tcPr>
            <w:tcW w:w="657" w:type="pct"/>
            <w:vAlign w:val="center"/>
          </w:tcPr>
          <w:p w14:paraId="223FB298" w14:textId="77777777" w:rsidR="00E764AB" w:rsidRPr="005A08CB" w:rsidRDefault="00E764AB" w:rsidP="00CA4572">
            <w:pPr>
              <w:jc w:val="right"/>
              <w:rPr>
                <w:rFonts w:eastAsia="Times New Roman" w:cs="Times New Roman"/>
                <w:sz w:val="20"/>
                <w:szCs w:val="20"/>
                <w:lang w:eastAsia="sk-SK"/>
              </w:rPr>
            </w:pPr>
          </w:p>
        </w:tc>
        <w:tc>
          <w:tcPr>
            <w:tcW w:w="657" w:type="pct"/>
            <w:vAlign w:val="center"/>
          </w:tcPr>
          <w:p w14:paraId="00B336C2" w14:textId="77777777" w:rsidR="00E764AB" w:rsidRPr="005A08CB" w:rsidRDefault="00E764AB" w:rsidP="00CA4572">
            <w:pPr>
              <w:jc w:val="right"/>
              <w:rPr>
                <w:rFonts w:eastAsia="Times New Roman" w:cs="Times New Roman"/>
                <w:sz w:val="20"/>
                <w:szCs w:val="20"/>
                <w:lang w:eastAsia="sk-SK"/>
              </w:rPr>
            </w:pPr>
          </w:p>
        </w:tc>
        <w:tc>
          <w:tcPr>
            <w:tcW w:w="657" w:type="pct"/>
            <w:shd w:val="clear" w:color="auto" w:fill="auto"/>
            <w:vAlign w:val="center"/>
          </w:tcPr>
          <w:p w14:paraId="7648532A" w14:textId="30136762" w:rsidR="00E764AB" w:rsidRPr="005B5D4B" w:rsidRDefault="00E764AB" w:rsidP="00CA4572">
            <w:pPr>
              <w:rPr>
                <w:rFonts w:cs="Calibri"/>
                <w:color w:val="000000"/>
                <w:sz w:val="20"/>
                <w:szCs w:val="20"/>
              </w:rPr>
            </w:pPr>
            <w:r w:rsidRPr="0084732D">
              <w:rPr>
                <w:sz w:val="20"/>
                <w:szCs w:val="20"/>
              </w:rPr>
              <w:t> </w:t>
            </w:r>
          </w:p>
        </w:tc>
        <w:tc>
          <w:tcPr>
            <w:tcW w:w="655" w:type="pct"/>
            <w:shd w:val="clear" w:color="auto" w:fill="auto"/>
            <w:vAlign w:val="center"/>
          </w:tcPr>
          <w:p w14:paraId="4FAB7648" w14:textId="7371EFCB" w:rsidR="00E764AB" w:rsidRPr="005B5D4B" w:rsidRDefault="00E764AB" w:rsidP="00CA4572">
            <w:pPr>
              <w:rPr>
                <w:rFonts w:cs="Calibri"/>
                <w:color w:val="000000"/>
                <w:sz w:val="20"/>
                <w:szCs w:val="20"/>
              </w:rPr>
            </w:pPr>
            <w:r w:rsidRPr="0084732D">
              <w:rPr>
                <w:sz w:val="20"/>
                <w:szCs w:val="20"/>
              </w:rPr>
              <w:t> </w:t>
            </w:r>
          </w:p>
        </w:tc>
        <w:tc>
          <w:tcPr>
            <w:tcW w:w="647" w:type="pct"/>
            <w:shd w:val="clear" w:color="auto" w:fill="auto"/>
            <w:vAlign w:val="center"/>
          </w:tcPr>
          <w:p w14:paraId="7FE58F7B" w14:textId="75092CBD" w:rsidR="00E764AB" w:rsidRPr="005B5D4B" w:rsidRDefault="00E764AB" w:rsidP="00CA4572">
            <w:pPr>
              <w:rPr>
                <w:rFonts w:cs="Calibri"/>
                <w:color w:val="000000"/>
                <w:sz w:val="20"/>
                <w:szCs w:val="20"/>
              </w:rPr>
            </w:pPr>
            <w:r w:rsidRPr="0084732D">
              <w:rPr>
                <w:sz w:val="20"/>
                <w:szCs w:val="20"/>
              </w:rPr>
              <w:t> </w:t>
            </w:r>
          </w:p>
        </w:tc>
      </w:tr>
      <w:tr w:rsidR="00E764AB" w:rsidRPr="005A08CB" w14:paraId="2D32C1DD" w14:textId="77777777" w:rsidTr="00A57641">
        <w:trPr>
          <w:trHeight w:val="20"/>
        </w:trPr>
        <w:tc>
          <w:tcPr>
            <w:tcW w:w="1727" w:type="pct"/>
            <w:vAlign w:val="bottom"/>
          </w:tcPr>
          <w:p w14:paraId="33C4558F" w14:textId="7C06415F" w:rsidR="00E764AB" w:rsidRPr="006C0682" w:rsidRDefault="00E764AB" w:rsidP="006C0682">
            <w:pPr>
              <w:ind w:firstLine="176"/>
              <w:rPr>
                <w:rFonts w:eastAsia="Times New Roman" w:cs="Times New Roman"/>
                <w:sz w:val="20"/>
                <w:szCs w:val="20"/>
                <w:lang w:eastAsia="sk-SK"/>
              </w:rPr>
            </w:pPr>
            <w:r w:rsidRPr="006C0682">
              <w:rPr>
                <w:sz w:val="20"/>
                <w:szCs w:val="20"/>
              </w:rPr>
              <w:t>bežné výdavky</w:t>
            </w:r>
          </w:p>
        </w:tc>
        <w:tc>
          <w:tcPr>
            <w:tcW w:w="657" w:type="pct"/>
            <w:vAlign w:val="center"/>
          </w:tcPr>
          <w:p w14:paraId="0E1321D3" w14:textId="1706DD50" w:rsidR="00E764AB" w:rsidRPr="005A08CB" w:rsidRDefault="00E764AB" w:rsidP="00CA4572">
            <w:pPr>
              <w:jc w:val="right"/>
              <w:rPr>
                <w:rFonts w:eastAsia="Times New Roman" w:cs="Times New Roman"/>
                <w:sz w:val="20"/>
                <w:szCs w:val="20"/>
                <w:lang w:eastAsia="sk-SK"/>
              </w:rPr>
            </w:pPr>
            <w:r w:rsidRPr="0084732D">
              <w:rPr>
                <w:sz w:val="20"/>
                <w:szCs w:val="20"/>
              </w:rPr>
              <w:t>3 491 758</w:t>
            </w:r>
          </w:p>
        </w:tc>
        <w:tc>
          <w:tcPr>
            <w:tcW w:w="657" w:type="pct"/>
            <w:vAlign w:val="center"/>
          </w:tcPr>
          <w:p w14:paraId="0F054B16" w14:textId="7D650D04" w:rsidR="00E764AB" w:rsidRPr="005A08CB" w:rsidRDefault="00E764AB" w:rsidP="00CA4572">
            <w:pPr>
              <w:jc w:val="right"/>
              <w:rPr>
                <w:rFonts w:eastAsia="Times New Roman" w:cs="Times New Roman"/>
                <w:sz w:val="20"/>
                <w:szCs w:val="20"/>
                <w:lang w:eastAsia="sk-SK"/>
              </w:rPr>
            </w:pPr>
            <w:r w:rsidRPr="0084732D">
              <w:rPr>
                <w:sz w:val="20"/>
                <w:szCs w:val="20"/>
              </w:rPr>
              <w:t>3 767 830</w:t>
            </w:r>
          </w:p>
        </w:tc>
        <w:tc>
          <w:tcPr>
            <w:tcW w:w="657" w:type="pct"/>
            <w:shd w:val="clear" w:color="auto" w:fill="auto"/>
            <w:vAlign w:val="center"/>
          </w:tcPr>
          <w:p w14:paraId="591E3DA4" w14:textId="28B1532F" w:rsidR="00E764AB" w:rsidRPr="005B5D4B" w:rsidRDefault="00E764AB" w:rsidP="00CA4572">
            <w:pPr>
              <w:jc w:val="right"/>
              <w:rPr>
                <w:rFonts w:cs="Calibri"/>
                <w:color w:val="000000"/>
                <w:sz w:val="20"/>
                <w:szCs w:val="20"/>
              </w:rPr>
            </w:pPr>
            <w:r w:rsidRPr="0084732D">
              <w:rPr>
                <w:sz w:val="20"/>
                <w:szCs w:val="20"/>
              </w:rPr>
              <w:t>4 193 939</w:t>
            </w:r>
          </w:p>
        </w:tc>
        <w:tc>
          <w:tcPr>
            <w:tcW w:w="655" w:type="pct"/>
            <w:shd w:val="clear" w:color="auto" w:fill="auto"/>
            <w:vAlign w:val="center"/>
          </w:tcPr>
          <w:p w14:paraId="782FB4AF" w14:textId="35D0E7F3" w:rsidR="00E764AB" w:rsidRPr="005B5D4B" w:rsidRDefault="00E764AB" w:rsidP="00CA4572">
            <w:pPr>
              <w:jc w:val="right"/>
              <w:rPr>
                <w:rFonts w:cs="Calibri"/>
                <w:color w:val="000000"/>
                <w:sz w:val="20"/>
                <w:szCs w:val="20"/>
              </w:rPr>
            </w:pPr>
            <w:r w:rsidRPr="0084732D">
              <w:rPr>
                <w:sz w:val="20"/>
                <w:szCs w:val="20"/>
              </w:rPr>
              <w:t>426 109</w:t>
            </w:r>
          </w:p>
        </w:tc>
        <w:tc>
          <w:tcPr>
            <w:tcW w:w="647" w:type="pct"/>
            <w:shd w:val="clear" w:color="auto" w:fill="auto"/>
            <w:vAlign w:val="center"/>
          </w:tcPr>
          <w:p w14:paraId="5933A44B" w14:textId="2A5F1FC2" w:rsidR="00E764AB" w:rsidRPr="005B5D4B" w:rsidRDefault="00E764AB" w:rsidP="00CA4572">
            <w:pPr>
              <w:jc w:val="right"/>
              <w:rPr>
                <w:rFonts w:cs="Calibri"/>
                <w:color w:val="000000"/>
                <w:sz w:val="20"/>
                <w:szCs w:val="20"/>
              </w:rPr>
            </w:pPr>
            <w:r w:rsidRPr="0084732D">
              <w:rPr>
                <w:sz w:val="20"/>
                <w:szCs w:val="20"/>
              </w:rPr>
              <w:t>111,3</w:t>
            </w:r>
          </w:p>
        </w:tc>
      </w:tr>
      <w:tr w:rsidR="00E764AB" w:rsidRPr="005A08CB" w14:paraId="658158D5" w14:textId="77777777" w:rsidTr="00A57641">
        <w:trPr>
          <w:trHeight w:val="20"/>
        </w:trPr>
        <w:tc>
          <w:tcPr>
            <w:tcW w:w="1727" w:type="pct"/>
            <w:vAlign w:val="bottom"/>
          </w:tcPr>
          <w:p w14:paraId="0F44155A" w14:textId="1239DA13" w:rsidR="00E764AB" w:rsidRPr="006C0682" w:rsidRDefault="00E764AB" w:rsidP="006C0682">
            <w:pPr>
              <w:rPr>
                <w:rFonts w:eastAsia="Times New Roman" w:cs="Times New Roman"/>
                <w:bCs/>
                <w:sz w:val="20"/>
                <w:szCs w:val="20"/>
                <w:lang w:eastAsia="sk-SK"/>
              </w:rPr>
            </w:pPr>
            <w:r w:rsidRPr="006C0682">
              <w:rPr>
                <w:sz w:val="20"/>
                <w:szCs w:val="20"/>
              </w:rPr>
              <w:t>z toho</w:t>
            </w:r>
            <w:r w:rsidR="00615B72">
              <w:rPr>
                <w:sz w:val="20"/>
                <w:szCs w:val="20"/>
              </w:rPr>
              <w:t>:</w:t>
            </w:r>
          </w:p>
        </w:tc>
        <w:tc>
          <w:tcPr>
            <w:tcW w:w="657" w:type="pct"/>
            <w:vAlign w:val="center"/>
          </w:tcPr>
          <w:p w14:paraId="41F3DDE9" w14:textId="0208E5EB" w:rsidR="00E764AB" w:rsidRPr="005A08CB" w:rsidRDefault="00E764AB" w:rsidP="00CA4572">
            <w:pPr>
              <w:jc w:val="right"/>
              <w:rPr>
                <w:rFonts w:eastAsia="Times New Roman" w:cs="Times New Roman"/>
                <w:sz w:val="20"/>
                <w:szCs w:val="20"/>
                <w:lang w:eastAsia="sk-SK"/>
              </w:rPr>
            </w:pPr>
          </w:p>
        </w:tc>
        <w:tc>
          <w:tcPr>
            <w:tcW w:w="657" w:type="pct"/>
            <w:vAlign w:val="center"/>
          </w:tcPr>
          <w:p w14:paraId="439500AC" w14:textId="372E308A" w:rsidR="00E764AB" w:rsidRPr="005A08CB" w:rsidRDefault="00E764AB" w:rsidP="00CA4572">
            <w:pPr>
              <w:jc w:val="right"/>
              <w:rPr>
                <w:rFonts w:eastAsia="Times New Roman" w:cs="Times New Roman"/>
                <w:sz w:val="20"/>
                <w:szCs w:val="20"/>
                <w:lang w:eastAsia="sk-SK"/>
              </w:rPr>
            </w:pPr>
          </w:p>
        </w:tc>
        <w:tc>
          <w:tcPr>
            <w:tcW w:w="657" w:type="pct"/>
            <w:shd w:val="clear" w:color="auto" w:fill="auto"/>
            <w:vAlign w:val="center"/>
          </w:tcPr>
          <w:p w14:paraId="464795D5" w14:textId="4F58E5D8" w:rsidR="00E764AB" w:rsidRPr="005B5D4B" w:rsidRDefault="00E764AB" w:rsidP="00CA4572">
            <w:pPr>
              <w:jc w:val="right"/>
              <w:rPr>
                <w:rFonts w:cs="Calibri"/>
                <w:color w:val="000000"/>
                <w:sz w:val="20"/>
                <w:szCs w:val="20"/>
              </w:rPr>
            </w:pPr>
            <w:r w:rsidRPr="0084732D">
              <w:rPr>
                <w:sz w:val="20"/>
                <w:szCs w:val="20"/>
              </w:rPr>
              <w:t> </w:t>
            </w:r>
          </w:p>
        </w:tc>
        <w:tc>
          <w:tcPr>
            <w:tcW w:w="655" w:type="pct"/>
            <w:shd w:val="clear" w:color="auto" w:fill="auto"/>
            <w:vAlign w:val="center"/>
          </w:tcPr>
          <w:p w14:paraId="434BF3EE" w14:textId="20765D9F" w:rsidR="00E764AB" w:rsidRPr="005B5D4B" w:rsidRDefault="00E764AB" w:rsidP="00CA4572">
            <w:pPr>
              <w:jc w:val="right"/>
              <w:rPr>
                <w:rFonts w:cs="Calibri"/>
                <w:color w:val="000000"/>
                <w:sz w:val="20"/>
                <w:szCs w:val="20"/>
              </w:rPr>
            </w:pPr>
            <w:r w:rsidRPr="0084732D">
              <w:rPr>
                <w:sz w:val="20"/>
                <w:szCs w:val="20"/>
              </w:rPr>
              <w:t> </w:t>
            </w:r>
          </w:p>
        </w:tc>
        <w:tc>
          <w:tcPr>
            <w:tcW w:w="647" w:type="pct"/>
            <w:shd w:val="clear" w:color="auto" w:fill="auto"/>
            <w:vAlign w:val="center"/>
          </w:tcPr>
          <w:p w14:paraId="53D9CC59" w14:textId="77F2618B" w:rsidR="00E764AB" w:rsidRPr="005B5D4B" w:rsidRDefault="00E764AB" w:rsidP="00CA4572">
            <w:pPr>
              <w:jc w:val="right"/>
              <w:rPr>
                <w:rFonts w:cs="Calibri"/>
                <w:color w:val="000000"/>
                <w:sz w:val="20"/>
                <w:szCs w:val="20"/>
              </w:rPr>
            </w:pPr>
            <w:r w:rsidRPr="0084732D">
              <w:rPr>
                <w:sz w:val="20"/>
                <w:szCs w:val="20"/>
              </w:rPr>
              <w:t> </w:t>
            </w:r>
          </w:p>
        </w:tc>
      </w:tr>
      <w:tr w:rsidR="00E764AB" w:rsidRPr="005A08CB" w14:paraId="46B27939" w14:textId="77777777" w:rsidTr="00A57641">
        <w:trPr>
          <w:trHeight w:val="20"/>
        </w:trPr>
        <w:tc>
          <w:tcPr>
            <w:tcW w:w="1727" w:type="pct"/>
            <w:vAlign w:val="bottom"/>
          </w:tcPr>
          <w:p w14:paraId="2E39CFCD" w14:textId="289507F6" w:rsidR="00E764AB" w:rsidRPr="006C0682" w:rsidRDefault="00E764AB" w:rsidP="006C0682">
            <w:pPr>
              <w:ind w:firstLine="176"/>
              <w:rPr>
                <w:rFonts w:eastAsia="Times New Roman" w:cs="Times New Roman"/>
                <w:bCs/>
                <w:sz w:val="20"/>
                <w:szCs w:val="20"/>
                <w:lang w:eastAsia="sk-SK"/>
              </w:rPr>
            </w:pPr>
            <w:r w:rsidRPr="006C0682">
              <w:rPr>
                <w:sz w:val="20"/>
                <w:szCs w:val="20"/>
              </w:rPr>
              <w:t>mzdy a odvody</w:t>
            </w:r>
          </w:p>
        </w:tc>
        <w:tc>
          <w:tcPr>
            <w:tcW w:w="657" w:type="pct"/>
            <w:vAlign w:val="center"/>
          </w:tcPr>
          <w:p w14:paraId="7AE5BEF1" w14:textId="785F2295" w:rsidR="00E764AB" w:rsidRPr="005A08CB" w:rsidRDefault="00E764AB" w:rsidP="00CA4572">
            <w:pPr>
              <w:jc w:val="right"/>
              <w:rPr>
                <w:rFonts w:eastAsia="Times New Roman" w:cs="Times New Roman"/>
                <w:sz w:val="20"/>
                <w:szCs w:val="20"/>
                <w:lang w:eastAsia="sk-SK"/>
              </w:rPr>
            </w:pPr>
            <w:r w:rsidRPr="0084732D">
              <w:rPr>
                <w:sz w:val="20"/>
                <w:szCs w:val="20"/>
              </w:rPr>
              <w:t>1 818 304</w:t>
            </w:r>
          </w:p>
        </w:tc>
        <w:tc>
          <w:tcPr>
            <w:tcW w:w="657" w:type="pct"/>
            <w:vAlign w:val="center"/>
          </w:tcPr>
          <w:p w14:paraId="5ADB0ABA" w14:textId="74BEB380" w:rsidR="00E764AB" w:rsidRPr="005A08CB" w:rsidRDefault="00E764AB" w:rsidP="00CA4572">
            <w:pPr>
              <w:jc w:val="right"/>
              <w:rPr>
                <w:rFonts w:eastAsia="Times New Roman" w:cs="Times New Roman"/>
                <w:sz w:val="20"/>
                <w:szCs w:val="20"/>
                <w:lang w:eastAsia="sk-SK"/>
              </w:rPr>
            </w:pPr>
            <w:r w:rsidRPr="0084732D">
              <w:rPr>
                <w:sz w:val="20"/>
                <w:szCs w:val="20"/>
              </w:rPr>
              <w:t>1 978 772</w:t>
            </w:r>
          </w:p>
        </w:tc>
        <w:tc>
          <w:tcPr>
            <w:tcW w:w="657" w:type="pct"/>
            <w:shd w:val="clear" w:color="auto" w:fill="auto"/>
            <w:vAlign w:val="center"/>
          </w:tcPr>
          <w:p w14:paraId="2037600F" w14:textId="52F91BA0" w:rsidR="00E764AB" w:rsidRPr="005B5D4B" w:rsidRDefault="00E764AB" w:rsidP="00CA4572">
            <w:pPr>
              <w:jc w:val="right"/>
              <w:rPr>
                <w:rFonts w:cs="Calibri"/>
                <w:color w:val="000000"/>
                <w:sz w:val="20"/>
                <w:szCs w:val="20"/>
              </w:rPr>
            </w:pPr>
            <w:r w:rsidRPr="0084732D">
              <w:rPr>
                <w:sz w:val="20"/>
                <w:szCs w:val="20"/>
              </w:rPr>
              <w:t>2 267 838</w:t>
            </w:r>
          </w:p>
        </w:tc>
        <w:tc>
          <w:tcPr>
            <w:tcW w:w="655" w:type="pct"/>
            <w:shd w:val="clear" w:color="auto" w:fill="auto"/>
            <w:vAlign w:val="center"/>
          </w:tcPr>
          <w:p w14:paraId="076CD4CD" w14:textId="39A5B925" w:rsidR="00E764AB" w:rsidRPr="005B5D4B" w:rsidRDefault="00E764AB" w:rsidP="00CA4572">
            <w:pPr>
              <w:jc w:val="right"/>
              <w:rPr>
                <w:rFonts w:cs="Calibri"/>
                <w:color w:val="000000"/>
                <w:sz w:val="20"/>
                <w:szCs w:val="20"/>
              </w:rPr>
            </w:pPr>
            <w:r w:rsidRPr="0084732D">
              <w:rPr>
                <w:sz w:val="20"/>
                <w:szCs w:val="20"/>
              </w:rPr>
              <w:t>289 066</w:t>
            </w:r>
          </w:p>
        </w:tc>
        <w:tc>
          <w:tcPr>
            <w:tcW w:w="647" w:type="pct"/>
            <w:shd w:val="clear" w:color="auto" w:fill="auto"/>
            <w:vAlign w:val="center"/>
          </w:tcPr>
          <w:p w14:paraId="752C7C89" w14:textId="25BC8920" w:rsidR="00E764AB" w:rsidRPr="005B5D4B" w:rsidRDefault="00E764AB" w:rsidP="00CA4572">
            <w:pPr>
              <w:jc w:val="right"/>
              <w:rPr>
                <w:rFonts w:cs="Calibri"/>
                <w:color w:val="000000"/>
                <w:sz w:val="20"/>
                <w:szCs w:val="20"/>
              </w:rPr>
            </w:pPr>
            <w:r w:rsidRPr="0084732D">
              <w:rPr>
                <w:sz w:val="20"/>
                <w:szCs w:val="20"/>
              </w:rPr>
              <w:t>114,6</w:t>
            </w:r>
          </w:p>
        </w:tc>
      </w:tr>
      <w:tr w:rsidR="00E764AB" w:rsidRPr="005A08CB" w14:paraId="690D8297" w14:textId="77777777" w:rsidTr="00A57641">
        <w:trPr>
          <w:trHeight w:val="20"/>
        </w:trPr>
        <w:tc>
          <w:tcPr>
            <w:tcW w:w="1727" w:type="pct"/>
            <w:vAlign w:val="bottom"/>
          </w:tcPr>
          <w:p w14:paraId="47E15773" w14:textId="4CE54B71" w:rsidR="00E764AB" w:rsidRPr="006C0682" w:rsidRDefault="00E764AB" w:rsidP="006C0682">
            <w:pPr>
              <w:ind w:firstLine="176"/>
              <w:rPr>
                <w:rFonts w:eastAsia="Times New Roman" w:cs="Times New Roman"/>
                <w:bCs/>
                <w:sz w:val="20"/>
                <w:szCs w:val="20"/>
                <w:lang w:eastAsia="sk-SK"/>
              </w:rPr>
            </w:pPr>
            <w:r w:rsidRPr="006C0682">
              <w:rPr>
                <w:sz w:val="20"/>
                <w:szCs w:val="20"/>
              </w:rPr>
              <w:t>tovary a služby</w:t>
            </w:r>
          </w:p>
        </w:tc>
        <w:tc>
          <w:tcPr>
            <w:tcW w:w="657" w:type="pct"/>
            <w:vAlign w:val="center"/>
          </w:tcPr>
          <w:p w14:paraId="2AE4A527" w14:textId="138C1E72" w:rsidR="00E764AB" w:rsidRPr="005A08CB" w:rsidRDefault="00E764AB" w:rsidP="00CA4572">
            <w:pPr>
              <w:jc w:val="right"/>
              <w:rPr>
                <w:rFonts w:eastAsia="Times New Roman" w:cs="Times New Roman"/>
                <w:sz w:val="20"/>
                <w:szCs w:val="20"/>
                <w:lang w:eastAsia="sk-SK"/>
              </w:rPr>
            </w:pPr>
            <w:r w:rsidRPr="0084732D">
              <w:rPr>
                <w:sz w:val="20"/>
                <w:szCs w:val="20"/>
              </w:rPr>
              <w:t>1 188 344</w:t>
            </w:r>
          </w:p>
        </w:tc>
        <w:tc>
          <w:tcPr>
            <w:tcW w:w="657" w:type="pct"/>
            <w:vAlign w:val="center"/>
          </w:tcPr>
          <w:p w14:paraId="20A0A2DC" w14:textId="0178C094" w:rsidR="00E764AB" w:rsidRPr="005A08CB" w:rsidRDefault="00E764AB" w:rsidP="00CA4572">
            <w:pPr>
              <w:jc w:val="right"/>
              <w:rPr>
                <w:rFonts w:eastAsia="Times New Roman" w:cs="Times New Roman"/>
                <w:sz w:val="20"/>
                <w:szCs w:val="20"/>
                <w:lang w:eastAsia="sk-SK"/>
              </w:rPr>
            </w:pPr>
            <w:r w:rsidRPr="0084732D">
              <w:rPr>
                <w:sz w:val="20"/>
                <w:szCs w:val="20"/>
              </w:rPr>
              <w:t>1 260 233</w:t>
            </w:r>
          </w:p>
        </w:tc>
        <w:tc>
          <w:tcPr>
            <w:tcW w:w="657" w:type="pct"/>
            <w:shd w:val="clear" w:color="auto" w:fill="auto"/>
            <w:vAlign w:val="center"/>
          </w:tcPr>
          <w:p w14:paraId="4D9495A8" w14:textId="108093FB" w:rsidR="00E764AB" w:rsidRPr="005B5D4B" w:rsidRDefault="00E764AB" w:rsidP="00CA4572">
            <w:pPr>
              <w:jc w:val="right"/>
              <w:rPr>
                <w:rFonts w:cs="Calibri"/>
                <w:color w:val="000000"/>
                <w:sz w:val="20"/>
                <w:szCs w:val="20"/>
              </w:rPr>
            </w:pPr>
            <w:r w:rsidRPr="0084732D">
              <w:rPr>
                <w:sz w:val="20"/>
                <w:szCs w:val="20"/>
              </w:rPr>
              <w:t>1 315 139</w:t>
            </w:r>
          </w:p>
        </w:tc>
        <w:tc>
          <w:tcPr>
            <w:tcW w:w="655" w:type="pct"/>
            <w:shd w:val="clear" w:color="auto" w:fill="auto"/>
            <w:vAlign w:val="center"/>
          </w:tcPr>
          <w:p w14:paraId="583E2FA9" w14:textId="2FB9D017" w:rsidR="00E764AB" w:rsidRPr="005B5D4B" w:rsidRDefault="00E764AB" w:rsidP="00CA4572">
            <w:pPr>
              <w:jc w:val="right"/>
              <w:rPr>
                <w:rFonts w:cs="Calibri"/>
                <w:color w:val="000000"/>
                <w:sz w:val="20"/>
                <w:szCs w:val="20"/>
              </w:rPr>
            </w:pPr>
            <w:r w:rsidRPr="0084732D">
              <w:rPr>
                <w:sz w:val="20"/>
                <w:szCs w:val="20"/>
              </w:rPr>
              <w:t>54 906</w:t>
            </w:r>
          </w:p>
        </w:tc>
        <w:tc>
          <w:tcPr>
            <w:tcW w:w="647" w:type="pct"/>
            <w:shd w:val="clear" w:color="auto" w:fill="auto"/>
            <w:vAlign w:val="center"/>
          </w:tcPr>
          <w:p w14:paraId="64B75A3B" w14:textId="0670C169" w:rsidR="00E764AB" w:rsidRPr="005B5D4B" w:rsidRDefault="00E764AB" w:rsidP="00CA4572">
            <w:pPr>
              <w:jc w:val="right"/>
              <w:rPr>
                <w:rFonts w:cs="Calibri"/>
                <w:color w:val="000000"/>
                <w:sz w:val="20"/>
                <w:szCs w:val="20"/>
              </w:rPr>
            </w:pPr>
            <w:r w:rsidRPr="0084732D">
              <w:rPr>
                <w:sz w:val="20"/>
                <w:szCs w:val="20"/>
              </w:rPr>
              <w:t>104,4</w:t>
            </w:r>
          </w:p>
        </w:tc>
      </w:tr>
      <w:tr w:rsidR="00E764AB" w:rsidRPr="005A08CB" w14:paraId="02444602" w14:textId="77777777" w:rsidTr="00A57641">
        <w:trPr>
          <w:trHeight w:val="20"/>
        </w:trPr>
        <w:tc>
          <w:tcPr>
            <w:tcW w:w="1727" w:type="pct"/>
            <w:vAlign w:val="bottom"/>
          </w:tcPr>
          <w:p w14:paraId="4657D00B" w14:textId="2EB89A12" w:rsidR="00E764AB" w:rsidRPr="006C0682" w:rsidRDefault="00E764AB" w:rsidP="006C0682">
            <w:pPr>
              <w:ind w:firstLine="176"/>
              <w:rPr>
                <w:rFonts w:eastAsia="Times New Roman" w:cs="Times New Roman"/>
                <w:b/>
                <w:bCs/>
                <w:i/>
                <w:sz w:val="20"/>
                <w:szCs w:val="20"/>
                <w:lang w:eastAsia="sk-SK"/>
              </w:rPr>
            </w:pPr>
            <w:r w:rsidRPr="006C0682">
              <w:rPr>
                <w:sz w:val="20"/>
                <w:szCs w:val="20"/>
              </w:rPr>
              <w:t>bežné transfery</w:t>
            </w:r>
          </w:p>
        </w:tc>
        <w:tc>
          <w:tcPr>
            <w:tcW w:w="657" w:type="pct"/>
            <w:vAlign w:val="center"/>
          </w:tcPr>
          <w:p w14:paraId="31D51322" w14:textId="7AFB7A37" w:rsidR="00E764AB" w:rsidRPr="005A08CB" w:rsidRDefault="00E764AB" w:rsidP="00CA4572">
            <w:pPr>
              <w:jc w:val="right"/>
              <w:rPr>
                <w:rFonts w:eastAsia="Times New Roman" w:cs="Times New Roman"/>
                <w:sz w:val="20"/>
                <w:szCs w:val="20"/>
                <w:lang w:eastAsia="sk-SK"/>
              </w:rPr>
            </w:pPr>
            <w:r w:rsidRPr="0084732D">
              <w:rPr>
                <w:sz w:val="20"/>
                <w:szCs w:val="20"/>
              </w:rPr>
              <w:t>467 785</w:t>
            </w:r>
          </w:p>
        </w:tc>
        <w:tc>
          <w:tcPr>
            <w:tcW w:w="657" w:type="pct"/>
            <w:vAlign w:val="center"/>
          </w:tcPr>
          <w:p w14:paraId="564BD0B9" w14:textId="1C8C9817" w:rsidR="00E764AB" w:rsidRPr="005A08CB" w:rsidRDefault="00E764AB" w:rsidP="00CA4572">
            <w:pPr>
              <w:jc w:val="right"/>
              <w:rPr>
                <w:rFonts w:eastAsia="Times New Roman" w:cs="Times New Roman"/>
                <w:sz w:val="20"/>
                <w:szCs w:val="20"/>
                <w:lang w:eastAsia="sk-SK"/>
              </w:rPr>
            </w:pPr>
            <w:r w:rsidRPr="0084732D">
              <w:rPr>
                <w:sz w:val="20"/>
                <w:szCs w:val="20"/>
              </w:rPr>
              <w:t>512 142</w:t>
            </w:r>
          </w:p>
        </w:tc>
        <w:tc>
          <w:tcPr>
            <w:tcW w:w="657" w:type="pct"/>
            <w:shd w:val="clear" w:color="auto" w:fill="auto"/>
            <w:vAlign w:val="center"/>
          </w:tcPr>
          <w:p w14:paraId="35932D16" w14:textId="58B36F37" w:rsidR="00E764AB" w:rsidRPr="005B5D4B" w:rsidRDefault="00E764AB" w:rsidP="00CA4572">
            <w:pPr>
              <w:jc w:val="right"/>
              <w:rPr>
                <w:rFonts w:cs="Calibri"/>
                <w:color w:val="000000"/>
                <w:sz w:val="20"/>
                <w:szCs w:val="20"/>
              </w:rPr>
            </w:pPr>
            <w:r w:rsidRPr="0084732D">
              <w:rPr>
                <w:sz w:val="20"/>
                <w:szCs w:val="20"/>
              </w:rPr>
              <w:t>594 238</w:t>
            </w:r>
          </w:p>
        </w:tc>
        <w:tc>
          <w:tcPr>
            <w:tcW w:w="655" w:type="pct"/>
            <w:shd w:val="clear" w:color="auto" w:fill="auto"/>
            <w:vAlign w:val="center"/>
          </w:tcPr>
          <w:p w14:paraId="6A3583B3" w14:textId="76BE680B" w:rsidR="00E764AB" w:rsidRPr="005B5D4B" w:rsidRDefault="00E764AB" w:rsidP="00CA4572">
            <w:pPr>
              <w:jc w:val="right"/>
              <w:rPr>
                <w:rFonts w:cs="Calibri"/>
                <w:color w:val="000000"/>
                <w:sz w:val="20"/>
                <w:szCs w:val="20"/>
              </w:rPr>
            </w:pPr>
            <w:r w:rsidRPr="0084732D">
              <w:rPr>
                <w:sz w:val="20"/>
                <w:szCs w:val="20"/>
              </w:rPr>
              <w:t>82 096</w:t>
            </w:r>
          </w:p>
        </w:tc>
        <w:tc>
          <w:tcPr>
            <w:tcW w:w="647" w:type="pct"/>
            <w:shd w:val="clear" w:color="auto" w:fill="auto"/>
            <w:vAlign w:val="center"/>
          </w:tcPr>
          <w:p w14:paraId="220A5AA6" w14:textId="01AA70C0" w:rsidR="00E764AB" w:rsidRPr="005B5D4B" w:rsidRDefault="00E764AB" w:rsidP="00CA4572">
            <w:pPr>
              <w:jc w:val="right"/>
              <w:rPr>
                <w:rFonts w:cs="Calibri"/>
                <w:color w:val="000000"/>
                <w:sz w:val="20"/>
                <w:szCs w:val="20"/>
              </w:rPr>
            </w:pPr>
            <w:r w:rsidRPr="0084732D">
              <w:rPr>
                <w:sz w:val="20"/>
                <w:szCs w:val="20"/>
              </w:rPr>
              <w:t>116,0</w:t>
            </w:r>
          </w:p>
        </w:tc>
      </w:tr>
      <w:tr w:rsidR="00E764AB" w:rsidRPr="005A08CB" w14:paraId="5B23EBDD" w14:textId="77777777" w:rsidTr="00A57641">
        <w:trPr>
          <w:trHeight w:val="20"/>
        </w:trPr>
        <w:tc>
          <w:tcPr>
            <w:tcW w:w="1727" w:type="pct"/>
            <w:vAlign w:val="bottom"/>
          </w:tcPr>
          <w:p w14:paraId="103E7AF1" w14:textId="02B427E2" w:rsidR="00E764AB" w:rsidRPr="006C0682" w:rsidRDefault="00E764AB" w:rsidP="006C0682">
            <w:pPr>
              <w:ind w:firstLine="176"/>
              <w:rPr>
                <w:rFonts w:eastAsia="Times New Roman" w:cs="Times New Roman"/>
                <w:bCs/>
                <w:sz w:val="20"/>
                <w:szCs w:val="20"/>
                <w:lang w:eastAsia="sk-SK"/>
              </w:rPr>
            </w:pPr>
            <w:r w:rsidRPr="006C0682">
              <w:rPr>
                <w:sz w:val="20"/>
                <w:szCs w:val="20"/>
              </w:rPr>
              <w:t>splácanie úrokov</w:t>
            </w:r>
          </w:p>
        </w:tc>
        <w:tc>
          <w:tcPr>
            <w:tcW w:w="657" w:type="pct"/>
            <w:vAlign w:val="center"/>
          </w:tcPr>
          <w:p w14:paraId="47FF3C94" w14:textId="546AAA12" w:rsidR="00E764AB" w:rsidRPr="005A08CB" w:rsidRDefault="00E764AB" w:rsidP="00CA4572">
            <w:pPr>
              <w:jc w:val="right"/>
              <w:rPr>
                <w:rFonts w:eastAsia="Times New Roman" w:cs="Times New Roman"/>
                <w:sz w:val="20"/>
                <w:szCs w:val="20"/>
                <w:lang w:eastAsia="sk-SK"/>
              </w:rPr>
            </w:pPr>
            <w:r w:rsidRPr="0084732D">
              <w:rPr>
                <w:sz w:val="20"/>
                <w:szCs w:val="20"/>
              </w:rPr>
              <w:t>17 326</w:t>
            </w:r>
          </w:p>
        </w:tc>
        <w:tc>
          <w:tcPr>
            <w:tcW w:w="657" w:type="pct"/>
            <w:vAlign w:val="center"/>
          </w:tcPr>
          <w:p w14:paraId="25C3E01F" w14:textId="1B0B6262" w:rsidR="00E764AB" w:rsidRPr="005A08CB" w:rsidRDefault="00E764AB" w:rsidP="00CA4572">
            <w:pPr>
              <w:jc w:val="right"/>
              <w:rPr>
                <w:rFonts w:eastAsia="Times New Roman" w:cs="Times New Roman"/>
                <w:sz w:val="20"/>
                <w:szCs w:val="20"/>
                <w:lang w:eastAsia="sk-SK"/>
              </w:rPr>
            </w:pPr>
            <w:r w:rsidRPr="0084732D">
              <w:rPr>
                <w:sz w:val="20"/>
                <w:szCs w:val="20"/>
              </w:rPr>
              <w:t>16 683</w:t>
            </w:r>
          </w:p>
        </w:tc>
        <w:tc>
          <w:tcPr>
            <w:tcW w:w="657" w:type="pct"/>
            <w:shd w:val="clear" w:color="auto" w:fill="auto"/>
            <w:vAlign w:val="center"/>
          </w:tcPr>
          <w:p w14:paraId="6679BD62" w14:textId="1ECA0060" w:rsidR="00E764AB" w:rsidRPr="005B5D4B" w:rsidRDefault="00E764AB" w:rsidP="00CA4572">
            <w:pPr>
              <w:jc w:val="right"/>
              <w:rPr>
                <w:rFonts w:cs="Calibri"/>
                <w:color w:val="000000"/>
                <w:sz w:val="20"/>
                <w:szCs w:val="20"/>
              </w:rPr>
            </w:pPr>
            <w:r w:rsidRPr="0084732D">
              <w:rPr>
                <w:sz w:val="20"/>
                <w:szCs w:val="20"/>
              </w:rPr>
              <w:t>16 724</w:t>
            </w:r>
          </w:p>
        </w:tc>
        <w:tc>
          <w:tcPr>
            <w:tcW w:w="655" w:type="pct"/>
            <w:shd w:val="clear" w:color="auto" w:fill="auto"/>
            <w:vAlign w:val="center"/>
          </w:tcPr>
          <w:p w14:paraId="67633450" w14:textId="467D343F" w:rsidR="00E764AB" w:rsidRPr="005B5D4B" w:rsidRDefault="00E764AB" w:rsidP="00CA4572">
            <w:pPr>
              <w:jc w:val="right"/>
              <w:rPr>
                <w:rFonts w:cs="Calibri"/>
                <w:color w:val="000000"/>
                <w:sz w:val="20"/>
                <w:szCs w:val="20"/>
              </w:rPr>
            </w:pPr>
            <w:r w:rsidRPr="0084732D">
              <w:rPr>
                <w:sz w:val="20"/>
                <w:szCs w:val="20"/>
              </w:rPr>
              <w:t>41</w:t>
            </w:r>
          </w:p>
        </w:tc>
        <w:tc>
          <w:tcPr>
            <w:tcW w:w="647" w:type="pct"/>
            <w:shd w:val="clear" w:color="auto" w:fill="auto"/>
            <w:vAlign w:val="center"/>
          </w:tcPr>
          <w:p w14:paraId="63DAC77D" w14:textId="4C4A38C4" w:rsidR="00E764AB" w:rsidRPr="005B5D4B" w:rsidRDefault="00E764AB" w:rsidP="00CA4572">
            <w:pPr>
              <w:jc w:val="right"/>
              <w:rPr>
                <w:rFonts w:cs="Calibri"/>
                <w:color w:val="000000"/>
                <w:sz w:val="20"/>
                <w:szCs w:val="20"/>
              </w:rPr>
            </w:pPr>
            <w:r w:rsidRPr="0084732D">
              <w:rPr>
                <w:sz w:val="20"/>
                <w:szCs w:val="20"/>
              </w:rPr>
              <w:t>100,2</w:t>
            </w:r>
          </w:p>
        </w:tc>
      </w:tr>
      <w:tr w:rsidR="00E764AB" w:rsidRPr="005A08CB" w14:paraId="151FD985" w14:textId="77777777" w:rsidTr="00A57641">
        <w:trPr>
          <w:trHeight w:val="20"/>
        </w:trPr>
        <w:tc>
          <w:tcPr>
            <w:tcW w:w="1727" w:type="pct"/>
            <w:vAlign w:val="bottom"/>
          </w:tcPr>
          <w:p w14:paraId="0C1C54E1" w14:textId="567095E9" w:rsidR="00E764AB" w:rsidRPr="006C0682" w:rsidRDefault="00E764AB" w:rsidP="006C0682">
            <w:pPr>
              <w:ind w:firstLine="176"/>
              <w:rPr>
                <w:rFonts w:eastAsia="Times New Roman" w:cs="Times New Roman"/>
                <w:bCs/>
                <w:sz w:val="20"/>
                <w:szCs w:val="20"/>
                <w:lang w:eastAsia="sk-SK"/>
              </w:rPr>
            </w:pPr>
            <w:r w:rsidRPr="006C0682">
              <w:rPr>
                <w:sz w:val="20"/>
                <w:szCs w:val="20"/>
              </w:rPr>
              <w:t>kapitálové výdavky</w:t>
            </w:r>
          </w:p>
        </w:tc>
        <w:tc>
          <w:tcPr>
            <w:tcW w:w="657" w:type="pct"/>
            <w:vAlign w:val="center"/>
          </w:tcPr>
          <w:p w14:paraId="35F0FC2D" w14:textId="3833FC43" w:rsidR="00E764AB" w:rsidRPr="005A08CB" w:rsidRDefault="00E764AB" w:rsidP="00CA4572">
            <w:pPr>
              <w:jc w:val="right"/>
              <w:rPr>
                <w:rFonts w:eastAsia="Times New Roman" w:cs="Times New Roman"/>
                <w:sz w:val="20"/>
                <w:szCs w:val="20"/>
                <w:lang w:eastAsia="sk-SK"/>
              </w:rPr>
            </w:pPr>
            <w:r w:rsidRPr="0084732D">
              <w:rPr>
                <w:sz w:val="20"/>
                <w:szCs w:val="20"/>
              </w:rPr>
              <w:t>636 539</w:t>
            </w:r>
          </w:p>
        </w:tc>
        <w:tc>
          <w:tcPr>
            <w:tcW w:w="657" w:type="pct"/>
            <w:vAlign w:val="center"/>
          </w:tcPr>
          <w:p w14:paraId="79072C47" w14:textId="3D617067" w:rsidR="00E764AB" w:rsidRPr="005A08CB" w:rsidRDefault="00E764AB" w:rsidP="00CA4572">
            <w:pPr>
              <w:jc w:val="right"/>
              <w:rPr>
                <w:rFonts w:eastAsia="Times New Roman" w:cs="Times New Roman"/>
                <w:sz w:val="20"/>
                <w:szCs w:val="20"/>
                <w:lang w:eastAsia="sk-SK"/>
              </w:rPr>
            </w:pPr>
            <w:r w:rsidRPr="0084732D">
              <w:rPr>
                <w:sz w:val="20"/>
                <w:szCs w:val="20"/>
              </w:rPr>
              <w:t>916 980</w:t>
            </w:r>
          </w:p>
        </w:tc>
        <w:tc>
          <w:tcPr>
            <w:tcW w:w="657" w:type="pct"/>
            <w:shd w:val="clear" w:color="auto" w:fill="auto"/>
            <w:vAlign w:val="center"/>
          </w:tcPr>
          <w:p w14:paraId="233A8925" w14:textId="5E2205FE" w:rsidR="00E764AB" w:rsidRPr="005B5D4B" w:rsidRDefault="00E764AB" w:rsidP="00CA4572">
            <w:pPr>
              <w:jc w:val="right"/>
              <w:rPr>
                <w:rFonts w:cs="Calibri"/>
                <w:color w:val="000000"/>
                <w:sz w:val="20"/>
                <w:szCs w:val="20"/>
              </w:rPr>
            </w:pPr>
            <w:r w:rsidRPr="0084732D">
              <w:rPr>
                <w:sz w:val="20"/>
                <w:szCs w:val="20"/>
              </w:rPr>
              <w:t>857 863</w:t>
            </w:r>
          </w:p>
        </w:tc>
        <w:tc>
          <w:tcPr>
            <w:tcW w:w="655" w:type="pct"/>
            <w:shd w:val="clear" w:color="auto" w:fill="auto"/>
            <w:vAlign w:val="center"/>
          </w:tcPr>
          <w:p w14:paraId="17AC12E8" w14:textId="5A4CD4A9" w:rsidR="00E764AB" w:rsidRPr="005B5D4B" w:rsidRDefault="00E764AB" w:rsidP="00CA4572">
            <w:pPr>
              <w:jc w:val="right"/>
              <w:rPr>
                <w:rFonts w:cs="Calibri"/>
                <w:color w:val="000000"/>
                <w:sz w:val="20"/>
                <w:szCs w:val="20"/>
              </w:rPr>
            </w:pPr>
            <w:r w:rsidRPr="0084732D">
              <w:rPr>
                <w:sz w:val="20"/>
                <w:szCs w:val="20"/>
              </w:rPr>
              <w:t>-59 117</w:t>
            </w:r>
          </w:p>
        </w:tc>
        <w:tc>
          <w:tcPr>
            <w:tcW w:w="647" w:type="pct"/>
            <w:shd w:val="clear" w:color="auto" w:fill="auto"/>
            <w:vAlign w:val="center"/>
          </w:tcPr>
          <w:p w14:paraId="3F5E062E" w14:textId="50874D1B" w:rsidR="00E764AB" w:rsidRPr="005B5D4B" w:rsidRDefault="00E764AB" w:rsidP="00CA4572">
            <w:pPr>
              <w:jc w:val="right"/>
              <w:rPr>
                <w:rFonts w:cs="Calibri"/>
                <w:color w:val="000000"/>
                <w:sz w:val="20"/>
                <w:szCs w:val="20"/>
              </w:rPr>
            </w:pPr>
            <w:r w:rsidRPr="0084732D">
              <w:rPr>
                <w:sz w:val="20"/>
                <w:szCs w:val="20"/>
              </w:rPr>
              <w:t>93,6</w:t>
            </w:r>
          </w:p>
        </w:tc>
      </w:tr>
      <w:tr w:rsidR="00E764AB" w:rsidRPr="005A08CB" w14:paraId="4604B3C1" w14:textId="77777777" w:rsidTr="00A57641">
        <w:trPr>
          <w:trHeight w:val="20"/>
        </w:trPr>
        <w:tc>
          <w:tcPr>
            <w:tcW w:w="1727" w:type="pct"/>
            <w:vAlign w:val="bottom"/>
          </w:tcPr>
          <w:p w14:paraId="01E88FBF" w14:textId="71A5EC5B" w:rsidR="00E764AB" w:rsidRPr="006C0682" w:rsidRDefault="00E764AB" w:rsidP="006C0682">
            <w:pPr>
              <w:ind w:firstLine="176"/>
              <w:rPr>
                <w:rFonts w:eastAsia="Times New Roman" w:cs="Times New Roman"/>
                <w:bCs/>
                <w:sz w:val="20"/>
                <w:szCs w:val="20"/>
                <w:lang w:eastAsia="sk-SK"/>
              </w:rPr>
            </w:pPr>
            <w:r w:rsidRPr="006C0682">
              <w:rPr>
                <w:sz w:val="20"/>
                <w:szCs w:val="20"/>
              </w:rPr>
              <w:t>finančné operácie</w:t>
            </w:r>
          </w:p>
        </w:tc>
        <w:tc>
          <w:tcPr>
            <w:tcW w:w="657" w:type="pct"/>
            <w:vAlign w:val="center"/>
          </w:tcPr>
          <w:p w14:paraId="51DF505A" w14:textId="05696050" w:rsidR="00E764AB" w:rsidRPr="005A08CB" w:rsidRDefault="00E764AB" w:rsidP="00CA4572">
            <w:pPr>
              <w:jc w:val="right"/>
              <w:rPr>
                <w:rFonts w:eastAsia="Times New Roman" w:cs="Times New Roman"/>
                <w:sz w:val="20"/>
                <w:szCs w:val="20"/>
                <w:lang w:eastAsia="sk-SK"/>
              </w:rPr>
            </w:pPr>
            <w:r w:rsidRPr="0084732D">
              <w:rPr>
                <w:sz w:val="20"/>
                <w:szCs w:val="20"/>
              </w:rPr>
              <w:t>163 667</w:t>
            </w:r>
          </w:p>
        </w:tc>
        <w:tc>
          <w:tcPr>
            <w:tcW w:w="657" w:type="pct"/>
            <w:vAlign w:val="center"/>
          </w:tcPr>
          <w:p w14:paraId="7F1A6EDA" w14:textId="36A09D47" w:rsidR="00E764AB" w:rsidRPr="005A08CB" w:rsidRDefault="00E764AB" w:rsidP="00CA4572">
            <w:pPr>
              <w:jc w:val="right"/>
              <w:rPr>
                <w:rFonts w:eastAsia="Times New Roman" w:cs="Times New Roman"/>
                <w:sz w:val="20"/>
                <w:szCs w:val="20"/>
                <w:lang w:eastAsia="sk-SK"/>
              </w:rPr>
            </w:pPr>
            <w:r w:rsidRPr="0084732D">
              <w:rPr>
                <w:sz w:val="20"/>
                <w:szCs w:val="20"/>
              </w:rPr>
              <w:t>191 797</w:t>
            </w:r>
          </w:p>
        </w:tc>
        <w:tc>
          <w:tcPr>
            <w:tcW w:w="657" w:type="pct"/>
            <w:shd w:val="clear" w:color="auto" w:fill="auto"/>
            <w:vAlign w:val="center"/>
          </w:tcPr>
          <w:p w14:paraId="341B9017" w14:textId="4ABE79D2" w:rsidR="00E764AB" w:rsidRPr="005B5D4B" w:rsidRDefault="00E764AB" w:rsidP="00CA4572">
            <w:pPr>
              <w:jc w:val="right"/>
              <w:rPr>
                <w:rFonts w:cs="Calibri"/>
                <w:color w:val="000000"/>
                <w:sz w:val="20"/>
                <w:szCs w:val="20"/>
              </w:rPr>
            </w:pPr>
            <w:r w:rsidRPr="0084732D">
              <w:rPr>
                <w:sz w:val="20"/>
                <w:szCs w:val="20"/>
              </w:rPr>
              <w:t>226 647</w:t>
            </w:r>
          </w:p>
        </w:tc>
        <w:tc>
          <w:tcPr>
            <w:tcW w:w="655" w:type="pct"/>
            <w:shd w:val="clear" w:color="auto" w:fill="auto"/>
            <w:vAlign w:val="center"/>
          </w:tcPr>
          <w:p w14:paraId="2073959A" w14:textId="08543CA4" w:rsidR="00E764AB" w:rsidRPr="005B5D4B" w:rsidRDefault="00E764AB" w:rsidP="00CA4572">
            <w:pPr>
              <w:jc w:val="right"/>
              <w:rPr>
                <w:rFonts w:cs="Calibri"/>
                <w:color w:val="000000"/>
                <w:sz w:val="20"/>
                <w:szCs w:val="20"/>
              </w:rPr>
            </w:pPr>
            <w:r w:rsidRPr="0084732D">
              <w:rPr>
                <w:sz w:val="20"/>
                <w:szCs w:val="20"/>
              </w:rPr>
              <w:t>34 850</w:t>
            </w:r>
          </w:p>
        </w:tc>
        <w:tc>
          <w:tcPr>
            <w:tcW w:w="647" w:type="pct"/>
            <w:shd w:val="clear" w:color="auto" w:fill="auto"/>
            <w:vAlign w:val="center"/>
          </w:tcPr>
          <w:p w14:paraId="0D3F0738" w14:textId="22A720C5" w:rsidR="00E764AB" w:rsidRPr="005B5D4B" w:rsidRDefault="00E764AB" w:rsidP="00CA4572">
            <w:pPr>
              <w:jc w:val="right"/>
              <w:rPr>
                <w:rFonts w:cs="Calibri"/>
                <w:color w:val="000000"/>
                <w:sz w:val="20"/>
                <w:szCs w:val="20"/>
              </w:rPr>
            </w:pPr>
            <w:r w:rsidRPr="0084732D">
              <w:rPr>
                <w:sz w:val="20"/>
                <w:szCs w:val="20"/>
              </w:rPr>
              <w:t>118,2</w:t>
            </w:r>
          </w:p>
        </w:tc>
      </w:tr>
    </w:tbl>
    <w:p w14:paraId="4C00AFEF" w14:textId="57761BE1" w:rsidR="0084732D" w:rsidRPr="00CA4572" w:rsidRDefault="0084732D" w:rsidP="00CA4572">
      <w:pPr>
        <w:jc w:val="both"/>
        <w:rPr>
          <w:rFonts w:eastAsia="Times New Roman" w:cs="Times New Roman"/>
          <w:i/>
          <w:sz w:val="18"/>
          <w:szCs w:val="20"/>
          <w:lang w:eastAsia="sk-SK"/>
        </w:rPr>
      </w:pPr>
      <w:r w:rsidRPr="00CA4572">
        <w:rPr>
          <w:rFonts w:eastAsia="Times New Roman" w:cs="Times New Roman"/>
          <w:i/>
          <w:sz w:val="18"/>
          <w:szCs w:val="20"/>
          <w:lang w:eastAsia="sk-SK"/>
        </w:rPr>
        <w:t xml:space="preserve">Zdroj: Datacentrum </w:t>
      </w:r>
    </w:p>
    <w:p w14:paraId="67F51C73" w14:textId="4C51F382" w:rsidR="002E55A3" w:rsidRDefault="0084732D" w:rsidP="00CA4572">
      <w:pPr>
        <w:spacing w:before="120" w:after="120"/>
        <w:jc w:val="both"/>
        <w:rPr>
          <w:rFonts w:eastAsia="Calibri"/>
        </w:rPr>
      </w:pPr>
      <w:r>
        <w:rPr>
          <w:rFonts w:eastAsia="Times New Roman" w:cs="Times New Roman"/>
          <w:szCs w:val="24"/>
          <w:lang w:eastAsia="sk-SK"/>
        </w:rPr>
        <w:t>Najvýznamnejšou položkou nárastu skutočných výdavkov obcí boli mzdy a odvody</w:t>
      </w:r>
      <w:r>
        <w:t xml:space="preserve">. Prejavili sa </w:t>
      </w:r>
      <w:r w:rsidR="007F4DD1">
        <w:t xml:space="preserve">tak </w:t>
      </w:r>
      <w:r>
        <w:t xml:space="preserve">legislatívne zmeny </w:t>
      </w:r>
      <w:r w:rsidRPr="00FC76BF">
        <w:rPr>
          <w:rFonts w:eastAsia="Times New Roman" w:cs="Times New Roman"/>
          <w:szCs w:val="24"/>
          <w:lang w:eastAsia="sk-SK"/>
        </w:rPr>
        <w:t xml:space="preserve"> v odmeňovaní zamestnancov verejnej správy</w:t>
      </w:r>
      <w:r>
        <w:rPr>
          <w:rFonts w:eastAsia="Times New Roman" w:cs="Times New Roman"/>
          <w:szCs w:val="24"/>
          <w:lang w:eastAsia="sk-SK"/>
        </w:rPr>
        <w:t xml:space="preserve">. Kapitálové výdavky zaznamenali pokles oproti roku 2018, ktorý bol v samospráve volebný. </w:t>
      </w:r>
      <w:r w:rsidRPr="0075664D">
        <w:rPr>
          <w:rFonts w:eastAsia="Calibri"/>
        </w:rPr>
        <w:t>Nasled</w:t>
      </w:r>
      <w:r>
        <w:rPr>
          <w:rFonts w:eastAsia="Calibri"/>
        </w:rPr>
        <w:t>ujúca tabuľka uvádza predpokladanú štruktúru</w:t>
      </w:r>
      <w:r w:rsidRPr="0075664D">
        <w:rPr>
          <w:rFonts w:eastAsia="Calibri"/>
        </w:rPr>
        <w:t xml:space="preserve"> výdavkov obcí na jednotlivé činnosti</w:t>
      </w:r>
      <w:r>
        <w:rPr>
          <w:rFonts w:eastAsia="Calibri"/>
        </w:rPr>
        <w:t xml:space="preserve">, </w:t>
      </w:r>
      <w:r w:rsidRPr="0075664D">
        <w:rPr>
          <w:rFonts w:eastAsia="Calibri"/>
        </w:rPr>
        <w:t>originálne kompetencie a prenesený výkon štátnej správy</w:t>
      </w:r>
      <w:r>
        <w:rPr>
          <w:rFonts w:eastAsia="Calibri"/>
        </w:rPr>
        <w:t>.</w:t>
      </w:r>
    </w:p>
    <w:p w14:paraId="09185CAA" w14:textId="714A1C3C" w:rsidR="002E55A3" w:rsidRDefault="002E55A3" w:rsidP="00CA4572">
      <w:pPr>
        <w:spacing w:before="120" w:after="120"/>
        <w:jc w:val="both"/>
        <w:rPr>
          <w:rFonts w:eastAsia="Calibri"/>
        </w:rPr>
      </w:pPr>
    </w:p>
    <w:p w14:paraId="432A1000" w14:textId="1246615D" w:rsidR="002E55A3" w:rsidRDefault="002E55A3" w:rsidP="00CA4572">
      <w:pPr>
        <w:spacing w:before="120" w:after="120"/>
        <w:jc w:val="both"/>
        <w:rPr>
          <w:rFonts w:eastAsia="Calibri"/>
        </w:rPr>
      </w:pPr>
    </w:p>
    <w:p w14:paraId="3111EA01" w14:textId="36BF7332" w:rsidR="002E55A3" w:rsidRDefault="002E55A3" w:rsidP="00CA4572">
      <w:pPr>
        <w:spacing w:before="120" w:after="120"/>
        <w:jc w:val="both"/>
        <w:rPr>
          <w:rFonts w:eastAsia="Calibri"/>
        </w:rPr>
      </w:pPr>
    </w:p>
    <w:p w14:paraId="69B3121D" w14:textId="77777777" w:rsidR="002E55A3" w:rsidRDefault="002E55A3" w:rsidP="00CA4572">
      <w:pPr>
        <w:spacing w:before="120" w:after="120"/>
        <w:jc w:val="both"/>
        <w:rPr>
          <w:rFonts w:eastAsia="Calibri"/>
        </w:rPr>
      </w:pPr>
    </w:p>
    <w:p w14:paraId="0AF89878" w14:textId="77777777" w:rsidR="002E55A3" w:rsidRPr="00E764AB" w:rsidRDefault="002E55A3" w:rsidP="00CA4572">
      <w:pPr>
        <w:spacing w:before="120" w:after="120"/>
        <w:jc w:val="both"/>
        <w:rPr>
          <w:rFonts w:eastAsia="Calibri"/>
        </w:rPr>
      </w:pPr>
    </w:p>
    <w:p w14:paraId="7BDD37ED" w14:textId="71160AD1" w:rsidR="00E764AB" w:rsidRPr="00E764AB" w:rsidRDefault="00CB52FF" w:rsidP="00CA4572">
      <w:pPr>
        <w:jc w:val="both"/>
        <w:rPr>
          <w:rFonts w:eastAsia="Times New Roman" w:cs="Times New Roman"/>
          <w:b/>
          <w:i/>
          <w:sz w:val="20"/>
          <w:szCs w:val="20"/>
          <w:lang w:eastAsia="sk-SK"/>
        </w:rPr>
      </w:pPr>
      <w:r>
        <w:rPr>
          <w:rFonts w:eastAsia="Times New Roman" w:cs="Times New Roman"/>
          <w:b/>
          <w:i/>
          <w:sz w:val="20"/>
          <w:szCs w:val="20"/>
          <w:lang w:eastAsia="sk-SK"/>
        </w:rPr>
        <w:lastRenderedPageBreak/>
        <w:t xml:space="preserve">Výdavky </w:t>
      </w:r>
      <w:r w:rsidR="00E764AB" w:rsidRPr="00E764AB">
        <w:rPr>
          <w:rFonts w:eastAsia="Times New Roman" w:cs="Times New Roman"/>
          <w:b/>
          <w:i/>
          <w:sz w:val="20"/>
          <w:szCs w:val="20"/>
          <w:lang w:eastAsia="sk-SK"/>
        </w:rPr>
        <w:t>obcí na hotovostnej báze za rok 2019</w:t>
      </w:r>
      <w:r>
        <w:rPr>
          <w:rFonts w:eastAsia="Times New Roman" w:cs="Times New Roman"/>
          <w:b/>
          <w:i/>
          <w:sz w:val="20"/>
          <w:szCs w:val="20"/>
          <w:lang w:eastAsia="sk-SK"/>
        </w:rPr>
        <w:t xml:space="preserve"> v štruktúre COFOG</w:t>
      </w:r>
    </w:p>
    <w:tbl>
      <w:tblPr>
        <w:tblStyle w:val="Mriekatabuky"/>
        <w:tblW w:w="0" w:type="auto"/>
        <w:tblLook w:val="04A0" w:firstRow="1" w:lastRow="0" w:firstColumn="1" w:lastColumn="0" w:noHBand="0" w:noVBand="1"/>
      </w:tblPr>
      <w:tblGrid>
        <w:gridCol w:w="3115"/>
        <w:gridCol w:w="3115"/>
        <w:gridCol w:w="3116"/>
      </w:tblGrid>
      <w:tr w:rsidR="00E764AB" w:rsidRPr="00E764AB" w14:paraId="10DAEE32" w14:textId="77777777" w:rsidTr="006C0682">
        <w:trPr>
          <w:trHeight w:val="227"/>
        </w:trPr>
        <w:tc>
          <w:tcPr>
            <w:tcW w:w="3115" w:type="dxa"/>
            <w:shd w:val="clear" w:color="auto" w:fill="0070C0"/>
          </w:tcPr>
          <w:p w14:paraId="0EA4DCE6" w14:textId="727D1B05" w:rsidR="00E764AB" w:rsidRPr="002A161B" w:rsidRDefault="00E764AB" w:rsidP="00CA4572">
            <w:pPr>
              <w:jc w:val="both"/>
              <w:rPr>
                <w:rFonts w:eastAsia="Times New Roman" w:cs="Times New Roman"/>
                <w:b/>
                <w:color w:val="FFFFFF" w:themeColor="background1"/>
                <w:sz w:val="20"/>
                <w:szCs w:val="20"/>
                <w:lang w:eastAsia="sk-SK"/>
              </w:rPr>
            </w:pPr>
            <w:r w:rsidRPr="002A161B">
              <w:rPr>
                <w:rFonts w:eastAsia="Times New Roman" w:cs="Times New Roman"/>
                <w:b/>
                <w:color w:val="FFFFFF" w:themeColor="background1"/>
                <w:sz w:val="20"/>
                <w:szCs w:val="20"/>
                <w:lang w:eastAsia="sk-SK"/>
              </w:rPr>
              <w:t>Činnosť</w:t>
            </w:r>
          </w:p>
        </w:tc>
        <w:tc>
          <w:tcPr>
            <w:tcW w:w="3115" w:type="dxa"/>
            <w:shd w:val="clear" w:color="auto" w:fill="0070C0"/>
            <w:vAlign w:val="center"/>
          </w:tcPr>
          <w:p w14:paraId="65BB21F8" w14:textId="5156FBFC" w:rsidR="00E764AB" w:rsidRPr="002A161B" w:rsidRDefault="00E764AB" w:rsidP="007F4DD1">
            <w:pPr>
              <w:jc w:val="center"/>
              <w:rPr>
                <w:rFonts w:eastAsia="Times New Roman" w:cs="Times New Roman"/>
                <w:b/>
                <w:color w:val="FFFFFF" w:themeColor="background1"/>
                <w:sz w:val="20"/>
                <w:szCs w:val="20"/>
                <w:lang w:eastAsia="sk-SK"/>
              </w:rPr>
            </w:pPr>
            <w:r w:rsidRPr="002A161B">
              <w:rPr>
                <w:rFonts w:eastAsia="Times New Roman" w:cs="Times New Roman"/>
                <w:b/>
                <w:color w:val="FFFFFF" w:themeColor="background1"/>
                <w:sz w:val="20"/>
                <w:szCs w:val="20"/>
                <w:lang w:eastAsia="sk-SK"/>
              </w:rPr>
              <w:t>Výdavky 2019 (v tis</w:t>
            </w:r>
            <w:r w:rsidR="007F4DD1" w:rsidRPr="002A161B">
              <w:rPr>
                <w:rFonts w:eastAsia="Times New Roman" w:cs="Times New Roman"/>
                <w:b/>
                <w:color w:val="FFFFFF" w:themeColor="background1"/>
                <w:sz w:val="20"/>
                <w:szCs w:val="20"/>
                <w:lang w:eastAsia="sk-SK"/>
              </w:rPr>
              <w:t>.</w:t>
            </w:r>
            <w:r w:rsidRPr="002A161B">
              <w:rPr>
                <w:rFonts w:eastAsia="Times New Roman" w:cs="Times New Roman"/>
                <w:b/>
                <w:color w:val="FFFFFF" w:themeColor="background1"/>
                <w:sz w:val="20"/>
                <w:szCs w:val="20"/>
                <w:lang w:eastAsia="sk-SK"/>
              </w:rPr>
              <w:t xml:space="preserve"> eur)</w:t>
            </w:r>
          </w:p>
        </w:tc>
        <w:tc>
          <w:tcPr>
            <w:tcW w:w="3116" w:type="dxa"/>
            <w:shd w:val="clear" w:color="auto" w:fill="0070C0"/>
            <w:vAlign w:val="center"/>
          </w:tcPr>
          <w:p w14:paraId="57130CB2" w14:textId="7DCFE11D" w:rsidR="00E764AB" w:rsidRPr="002A161B" w:rsidRDefault="00E764AB" w:rsidP="007F4DD1">
            <w:pPr>
              <w:jc w:val="center"/>
              <w:rPr>
                <w:rFonts w:eastAsia="Times New Roman" w:cs="Times New Roman"/>
                <w:b/>
                <w:color w:val="FFFFFF" w:themeColor="background1"/>
                <w:sz w:val="20"/>
                <w:szCs w:val="20"/>
                <w:lang w:eastAsia="sk-SK"/>
              </w:rPr>
            </w:pPr>
            <w:r w:rsidRPr="002A161B">
              <w:rPr>
                <w:rFonts w:eastAsia="Times New Roman" w:cs="Times New Roman"/>
                <w:b/>
                <w:color w:val="FFFFFF" w:themeColor="background1"/>
                <w:sz w:val="20"/>
                <w:szCs w:val="20"/>
                <w:lang w:eastAsia="sk-SK"/>
              </w:rPr>
              <w:t>Podiel (v %</w:t>
            </w:r>
            <w:r w:rsidR="007F4DD1" w:rsidRPr="002A161B">
              <w:rPr>
                <w:rFonts w:eastAsia="Times New Roman" w:cs="Times New Roman"/>
                <w:b/>
                <w:color w:val="FFFFFF" w:themeColor="background1"/>
                <w:sz w:val="20"/>
                <w:szCs w:val="20"/>
                <w:lang w:eastAsia="sk-SK"/>
              </w:rPr>
              <w:t>)</w:t>
            </w:r>
          </w:p>
        </w:tc>
      </w:tr>
      <w:tr w:rsidR="00E764AB" w:rsidRPr="00E764AB" w14:paraId="26CC5E94" w14:textId="77777777" w:rsidTr="006C0682">
        <w:trPr>
          <w:trHeight w:val="227"/>
        </w:trPr>
        <w:tc>
          <w:tcPr>
            <w:tcW w:w="3115" w:type="dxa"/>
            <w:vAlign w:val="center"/>
          </w:tcPr>
          <w:p w14:paraId="39F0AC5C" w14:textId="3DECCA1F" w:rsidR="00E764AB" w:rsidRPr="002A161B" w:rsidRDefault="00E764AB" w:rsidP="00CA4572">
            <w:pPr>
              <w:jc w:val="both"/>
              <w:rPr>
                <w:rFonts w:eastAsia="Times New Roman" w:cs="Times New Roman"/>
                <w:sz w:val="20"/>
                <w:szCs w:val="20"/>
                <w:lang w:eastAsia="sk-SK"/>
              </w:rPr>
            </w:pPr>
            <w:r w:rsidRPr="002A161B">
              <w:rPr>
                <w:rFonts w:cs="Calibri"/>
                <w:color w:val="000000"/>
                <w:sz w:val="20"/>
                <w:szCs w:val="20"/>
              </w:rPr>
              <w:t>Všeobecné verejné služby</w:t>
            </w:r>
          </w:p>
        </w:tc>
        <w:tc>
          <w:tcPr>
            <w:tcW w:w="3115" w:type="dxa"/>
            <w:vAlign w:val="bottom"/>
          </w:tcPr>
          <w:p w14:paraId="6111281A" w14:textId="75F58D95" w:rsidR="00E764AB" w:rsidRPr="002A161B" w:rsidRDefault="00E764AB" w:rsidP="006C0682">
            <w:pPr>
              <w:jc w:val="center"/>
              <w:rPr>
                <w:rFonts w:eastAsia="Times New Roman" w:cs="Times New Roman"/>
                <w:sz w:val="20"/>
                <w:szCs w:val="20"/>
                <w:lang w:eastAsia="sk-SK"/>
              </w:rPr>
            </w:pPr>
            <w:r w:rsidRPr="002A161B">
              <w:rPr>
                <w:rFonts w:cs="Calibri"/>
                <w:color w:val="000000"/>
                <w:sz w:val="20"/>
                <w:szCs w:val="20"/>
              </w:rPr>
              <w:t>3 495 972</w:t>
            </w:r>
          </w:p>
        </w:tc>
        <w:tc>
          <w:tcPr>
            <w:tcW w:w="3116" w:type="dxa"/>
            <w:vAlign w:val="bottom"/>
          </w:tcPr>
          <w:p w14:paraId="6A3C4FC0" w14:textId="33B6AD82" w:rsidR="00E764AB" w:rsidRPr="002A161B" w:rsidRDefault="00F21A98" w:rsidP="006C0682">
            <w:pPr>
              <w:jc w:val="center"/>
              <w:rPr>
                <w:rFonts w:eastAsia="Times New Roman" w:cs="Times New Roman"/>
                <w:sz w:val="20"/>
                <w:szCs w:val="20"/>
                <w:lang w:eastAsia="sk-SK"/>
              </w:rPr>
            </w:pPr>
            <w:r w:rsidRPr="002A161B">
              <w:rPr>
                <w:rFonts w:cs="Calibri"/>
                <w:color w:val="000000"/>
                <w:sz w:val="20"/>
                <w:szCs w:val="20"/>
              </w:rPr>
              <w:t>66,</w:t>
            </w:r>
            <w:r w:rsidR="00E764AB" w:rsidRPr="002A161B">
              <w:rPr>
                <w:rFonts w:cs="Calibri"/>
                <w:color w:val="000000"/>
                <w:sz w:val="20"/>
                <w:szCs w:val="20"/>
              </w:rPr>
              <w:t>2</w:t>
            </w:r>
          </w:p>
        </w:tc>
      </w:tr>
      <w:tr w:rsidR="00E764AB" w:rsidRPr="00E764AB" w14:paraId="6D451803" w14:textId="77777777" w:rsidTr="006C0682">
        <w:trPr>
          <w:trHeight w:val="227"/>
        </w:trPr>
        <w:tc>
          <w:tcPr>
            <w:tcW w:w="3115" w:type="dxa"/>
            <w:vAlign w:val="center"/>
          </w:tcPr>
          <w:p w14:paraId="095527D7" w14:textId="4012E599" w:rsidR="00E764AB" w:rsidRPr="002A161B" w:rsidRDefault="00E764AB" w:rsidP="00CA4572">
            <w:pPr>
              <w:jc w:val="both"/>
              <w:rPr>
                <w:rFonts w:eastAsia="Times New Roman" w:cs="Times New Roman"/>
                <w:sz w:val="20"/>
                <w:szCs w:val="20"/>
                <w:lang w:eastAsia="sk-SK"/>
              </w:rPr>
            </w:pPr>
            <w:r w:rsidRPr="002A161B">
              <w:rPr>
                <w:rFonts w:cs="Calibri"/>
                <w:color w:val="000000"/>
                <w:sz w:val="20"/>
                <w:szCs w:val="20"/>
              </w:rPr>
              <w:t>Vzdelávanie</w:t>
            </w:r>
          </w:p>
        </w:tc>
        <w:tc>
          <w:tcPr>
            <w:tcW w:w="3115" w:type="dxa"/>
            <w:vAlign w:val="bottom"/>
          </w:tcPr>
          <w:p w14:paraId="22E60EF1" w14:textId="4E32144D" w:rsidR="00E764AB" w:rsidRPr="002A161B" w:rsidRDefault="00E764AB" w:rsidP="006C0682">
            <w:pPr>
              <w:jc w:val="center"/>
              <w:rPr>
                <w:rFonts w:eastAsia="Times New Roman" w:cs="Times New Roman"/>
                <w:sz w:val="20"/>
                <w:szCs w:val="20"/>
                <w:lang w:eastAsia="sk-SK"/>
              </w:rPr>
            </w:pPr>
            <w:r w:rsidRPr="002A161B">
              <w:rPr>
                <w:rFonts w:cs="Calibri"/>
                <w:color w:val="000000"/>
                <w:sz w:val="20"/>
                <w:szCs w:val="20"/>
              </w:rPr>
              <w:t>725 700</w:t>
            </w:r>
          </w:p>
        </w:tc>
        <w:tc>
          <w:tcPr>
            <w:tcW w:w="3116" w:type="dxa"/>
            <w:vAlign w:val="bottom"/>
          </w:tcPr>
          <w:p w14:paraId="6ED7F0FD" w14:textId="49B08098" w:rsidR="00E764AB" w:rsidRPr="002A161B" w:rsidRDefault="00F21A98" w:rsidP="006C0682">
            <w:pPr>
              <w:jc w:val="center"/>
              <w:rPr>
                <w:rFonts w:eastAsia="Times New Roman" w:cs="Times New Roman"/>
                <w:sz w:val="20"/>
                <w:szCs w:val="20"/>
                <w:lang w:eastAsia="sk-SK"/>
              </w:rPr>
            </w:pPr>
            <w:r w:rsidRPr="002A161B">
              <w:rPr>
                <w:rFonts w:cs="Calibri"/>
                <w:color w:val="000000"/>
                <w:sz w:val="20"/>
                <w:szCs w:val="20"/>
              </w:rPr>
              <w:t>13,</w:t>
            </w:r>
            <w:r w:rsidR="00E764AB" w:rsidRPr="002A161B">
              <w:rPr>
                <w:rFonts w:cs="Calibri"/>
                <w:color w:val="000000"/>
                <w:sz w:val="20"/>
                <w:szCs w:val="20"/>
              </w:rPr>
              <w:t>7</w:t>
            </w:r>
          </w:p>
        </w:tc>
      </w:tr>
      <w:tr w:rsidR="00E764AB" w:rsidRPr="00E764AB" w14:paraId="655B7722" w14:textId="77777777" w:rsidTr="006C0682">
        <w:trPr>
          <w:trHeight w:val="227"/>
        </w:trPr>
        <w:tc>
          <w:tcPr>
            <w:tcW w:w="3115" w:type="dxa"/>
            <w:vAlign w:val="center"/>
          </w:tcPr>
          <w:p w14:paraId="0EB71FE8" w14:textId="2FFEEC5C" w:rsidR="00E764AB" w:rsidRPr="002A161B" w:rsidRDefault="00E764AB" w:rsidP="00CA4572">
            <w:pPr>
              <w:jc w:val="both"/>
              <w:rPr>
                <w:rFonts w:eastAsia="Times New Roman" w:cs="Times New Roman"/>
                <w:sz w:val="20"/>
                <w:szCs w:val="20"/>
                <w:lang w:eastAsia="sk-SK"/>
              </w:rPr>
            </w:pPr>
            <w:r w:rsidRPr="002A161B">
              <w:rPr>
                <w:rFonts w:cs="Calibri"/>
                <w:color w:val="000000"/>
                <w:sz w:val="20"/>
                <w:szCs w:val="20"/>
              </w:rPr>
              <w:t xml:space="preserve">Ekonomická oblasť </w:t>
            </w:r>
          </w:p>
        </w:tc>
        <w:tc>
          <w:tcPr>
            <w:tcW w:w="3115" w:type="dxa"/>
            <w:vAlign w:val="bottom"/>
          </w:tcPr>
          <w:p w14:paraId="224FC1A7" w14:textId="5A121C47" w:rsidR="00E764AB" w:rsidRPr="002A161B" w:rsidRDefault="00E764AB" w:rsidP="006C0682">
            <w:pPr>
              <w:jc w:val="center"/>
              <w:rPr>
                <w:rFonts w:eastAsia="Times New Roman" w:cs="Times New Roman"/>
                <w:sz w:val="20"/>
                <w:szCs w:val="20"/>
                <w:lang w:eastAsia="sk-SK"/>
              </w:rPr>
            </w:pPr>
            <w:r w:rsidRPr="002A161B">
              <w:rPr>
                <w:rFonts w:cs="Calibri"/>
                <w:color w:val="000000"/>
                <w:sz w:val="20"/>
                <w:szCs w:val="20"/>
              </w:rPr>
              <w:t>384 639</w:t>
            </w:r>
          </w:p>
        </w:tc>
        <w:tc>
          <w:tcPr>
            <w:tcW w:w="3116" w:type="dxa"/>
            <w:vAlign w:val="bottom"/>
          </w:tcPr>
          <w:p w14:paraId="68C4EA40" w14:textId="6BE11AC7" w:rsidR="00E764AB" w:rsidRPr="002A161B" w:rsidRDefault="00F21A98" w:rsidP="006C0682">
            <w:pPr>
              <w:jc w:val="center"/>
              <w:rPr>
                <w:rFonts w:eastAsia="Times New Roman" w:cs="Times New Roman"/>
                <w:sz w:val="20"/>
                <w:szCs w:val="20"/>
                <w:lang w:eastAsia="sk-SK"/>
              </w:rPr>
            </w:pPr>
            <w:r w:rsidRPr="002A161B">
              <w:rPr>
                <w:rFonts w:cs="Calibri"/>
                <w:color w:val="000000"/>
                <w:sz w:val="20"/>
                <w:szCs w:val="20"/>
              </w:rPr>
              <w:t>7,</w:t>
            </w:r>
            <w:r w:rsidR="00E764AB" w:rsidRPr="002A161B">
              <w:rPr>
                <w:rFonts w:cs="Calibri"/>
                <w:color w:val="000000"/>
                <w:sz w:val="20"/>
                <w:szCs w:val="20"/>
              </w:rPr>
              <w:t>3</w:t>
            </w:r>
          </w:p>
        </w:tc>
      </w:tr>
      <w:tr w:rsidR="00E764AB" w:rsidRPr="00E764AB" w14:paraId="2798FEE7" w14:textId="77777777" w:rsidTr="006C0682">
        <w:trPr>
          <w:trHeight w:val="227"/>
        </w:trPr>
        <w:tc>
          <w:tcPr>
            <w:tcW w:w="3115" w:type="dxa"/>
            <w:vAlign w:val="center"/>
          </w:tcPr>
          <w:p w14:paraId="00F6440C" w14:textId="61BE4DBA" w:rsidR="00E764AB" w:rsidRPr="002A161B" w:rsidRDefault="00E764AB" w:rsidP="00CA4572">
            <w:pPr>
              <w:jc w:val="both"/>
              <w:rPr>
                <w:rFonts w:eastAsia="Times New Roman" w:cs="Times New Roman"/>
                <w:sz w:val="20"/>
                <w:szCs w:val="20"/>
                <w:lang w:eastAsia="sk-SK"/>
              </w:rPr>
            </w:pPr>
            <w:r w:rsidRPr="002A161B">
              <w:rPr>
                <w:rFonts w:cs="Calibri"/>
                <w:color w:val="000000"/>
                <w:sz w:val="20"/>
                <w:szCs w:val="20"/>
              </w:rPr>
              <w:t>Rekreácia, kultúra a náboženstvo</w:t>
            </w:r>
          </w:p>
        </w:tc>
        <w:tc>
          <w:tcPr>
            <w:tcW w:w="3115" w:type="dxa"/>
            <w:vAlign w:val="bottom"/>
          </w:tcPr>
          <w:p w14:paraId="029D3B08" w14:textId="6DCE531A" w:rsidR="00E764AB" w:rsidRPr="002A161B" w:rsidRDefault="00E764AB" w:rsidP="006C0682">
            <w:pPr>
              <w:jc w:val="center"/>
              <w:rPr>
                <w:rFonts w:eastAsia="Times New Roman" w:cs="Times New Roman"/>
                <w:sz w:val="20"/>
                <w:szCs w:val="20"/>
                <w:lang w:eastAsia="sk-SK"/>
              </w:rPr>
            </w:pPr>
            <w:r w:rsidRPr="002A161B">
              <w:rPr>
                <w:rFonts w:cs="Calibri"/>
                <w:color w:val="000000"/>
                <w:sz w:val="20"/>
                <w:szCs w:val="20"/>
              </w:rPr>
              <w:t>245 579</w:t>
            </w:r>
          </w:p>
        </w:tc>
        <w:tc>
          <w:tcPr>
            <w:tcW w:w="3116" w:type="dxa"/>
            <w:vAlign w:val="bottom"/>
          </w:tcPr>
          <w:p w14:paraId="64EE5DFF" w14:textId="19F2A58D" w:rsidR="00E764AB" w:rsidRPr="002A161B" w:rsidRDefault="00F21A98" w:rsidP="006C0682">
            <w:pPr>
              <w:jc w:val="center"/>
              <w:rPr>
                <w:rFonts w:eastAsia="Times New Roman" w:cs="Times New Roman"/>
                <w:sz w:val="20"/>
                <w:szCs w:val="20"/>
                <w:lang w:eastAsia="sk-SK"/>
              </w:rPr>
            </w:pPr>
            <w:r w:rsidRPr="002A161B">
              <w:rPr>
                <w:rFonts w:cs="Calibri"/>
                <w:color w:val="000000"/>
                <w:sz w:val="20"/>
                <w:szCs w:val="20"/>
              </w:rPr>
              <w:t>4,</w:t>
            </w:r>
            <w:r w:rsidR="00E764AB" w:rsidRPr="002A161B">
              <w:rPr>
                <w:rFonts w:cs="Calibri"/>
                <w:color w:val="000000"/>
                <w:sz w:val="20"/>
                <w:szCs w:val="20"/>
              </w:rPr>
              <w:t>7</w:t>
            </w:r>
          </w:p>
        </w:tc>
      </w:tr>
      <w:tr w:rsidR="00E764AB" w:rsidRPr="00E764AB" w14:paraId="0BD423F8" w14:textId="77777777" w:rsidTr="006C0682">
        <w:trPr>
          <w:trHeight w:val="227"/>
        </w:trPr>
        <w:tc>
          <w:tcPr>
            <w:tcW w:w="3115" w:type="dxa"/>
            <w:vAlign w:val="center"/>
          </w:tcPr>
          <w:p w14:paraId="3377A76E" w14:textId="5CB8BD46" w:rsidR="00E764AB" w:rsidRPr="002A161B" w:rsidRDefault="00E764AB" w:rsidP="00CA4572">
            <w:pPr>
              <w:jc w:val="both"/>
              <w:rPr>
                <w:rFonts w:eastAsia="Times New Roman" w:cs="Times New Roman"/>
                <w:sz w:val="20"/>
                <w:szCs w:val="20"/>
                <w:lang w:eastAsia="sk-SK"/>
              </w:rPr>
            </w:pPr>
            <w:r w:rsidRPr="002A161B">
              <w:rPr>
                <w:rFonts w:cs="Calibri"/>
                <w:color w:val="000000"/>
                <w:sz w:val="20"/>
                <w:szCs w:val="20"/>
              </w:rPr>
              <w:t>Bývanie a občianska vybavenosť</w:t>
            </w:r>
          </w:p>
        </w:tc>
        <w:tc>
          <w:tcPr>
            <w:tcW w:w="3115" w:type="dxa"/>
            <w:vAlign w:val="bottom"/>
          </w:tcPr>
          <w:p w14:paraId="105EF3B1" w14:textId="6822DE58" w:rsidR="00E764AB" w:rsidRPr="002A161B" w:rsidRDefault="00E764AB" w:rsidP="006C0682">
            <w:pPr>
              <w:jc w:val="center"/>
              <w:rPr>
                <w:rFonts w:eastAsia="Times New Roman" w:cs="Times New Roman"/>
                <w:sz w:val="20"/>
                <w:szCs w:val="20"/>
                <w:lang w:eastAsia="sk-SK"/>
              </w:rPr>
            </w:pPr>
            <w:r w:rsidRPr="002A161B">
              <w:rPr>
                <w:rFonts w:cs="Calibri"/>
                <w:color w:val="000000"/>
                <w:sz w:val="20"/>
                <w:szCs w:val="20"/>
              </w:rPr>
              <w:t>193 652</w:t>
            </w:r>
          </w:p>
        </w:tc>
        <w:tc>
          <w:tcPr>
            <w:tcW w:w="3116" w:type="dxa"/>
            <w:vAlign w:val="bottom"/>
          </w:tcPr>
          <w:p w14:paraId="25B780C7" w14:textId="1BE4C2B1" w:rsidR="00E764AB" w:rsidRPr="002A161B" w:rsidRDefault="00F21A98" w:rsidP="006C0682">
            <w:pPr>
              <w:jc w:val="center"/>
              <w:rPr>
                <w:rFonts w:eastAsia="Times New Roman" w:cs="Times New Roman"/>
                <w:sz w:val="20"/>
                <w:szCs w:val="20"/>
                <w:lang w:eastAsia="sk-SK"/>
              </w:rPr>
            </w:pPr>
            <w:r w:rsidRPr="002A161B">
              <w:rPr>
                <w:rFonts w:cs="Calibri"/>
                <w:color w:val="000000"/>
                <w:sz w:val="20"/>
                <w:szCs w:val="20"/>
              </w:rPr>
              <w:t>3,</w:t>
            </w:r>
            <w:r w:rsidR="00E764AB" w:rsidRPr="002A161B">
              <w:rPr>
                <w:rFonts w:cs="Calibri"/>
                <w:color w:val="000000"/>
                <w:sz w:val="20"/>
                <w:szCs w:val="20"/>
              </w:rPr>
              <w:t>7</w:t>
            </w:r>
          </w:p>
        </w:tc>
      </w:tr>
      <w:tr w:rsidR="00E764AB" w:rsidRPr="00E764AB" w14:paraId="1912513D" w14:textId="77777777" w:rsidTr="006C0682">
        <w:trPr>
          <w:trHeight w:val="227"/>
        </w:trPr>
        <w:tc>
          <w:tcPr>
            <w:tcW w:w="3115" w:type="dxa"/>
            <w:vAlign w:val="center"/>
          </w:tcPr>
          <w:p w14:paraId="6474941E" w14:textId="36420511" w:rsidR="00E764AB" w:rsidRPr="002A161B" w:rsidRDefault="00E764AB" w:rsidP="00CA4572">
            <w:pPr>
              <w:jc w:val="both"/>
              <w:rPr>
                <w:rFonts w:eastAsia="Times New Roman" w:cs="Times New Roman"/>
                <w:sz w:val="20"/>
                <w:szCs w:val="20"/>
                <w:lang w:eastAsia="sk-SK"/>
              </w:rPr>
            </w:pPr>
            <w:r w:rsidRPr="002A161B">
              <w:rPr>
                <w:rFonts w:cs="Calibri"/>
                <w:color w:val="000000"/>
                <w:sz w:val="20"/>
                <w:szCs w:val="20"/>
              </w:rPr>
              <w:t>Verejný poriadok a bezpečnosť</w:t>
            </w:r>
          </w:p>
        </w:tc>
        <w:tc>
          <w:tcPr>
            <w:tcW w:w="3115" w:type="dxa"/>
            <w:vAlign w:val="bottom"/>
          </w:tcPr>
          <w:p w14:paraId="6763377C" w14:textId="784B1B2E" w:rsidR="00E764AB" w:rsidRPr="002A161B" w:rsidRDefault="00E764AB" w:rsidP="006C0682">
            <w:pPr>
              <w:jc w:val="center"/>
              <w:rPr>
                <w:rFonts w:eastAsia="Times New Roman" w:cs="Times New Roman"/>
                <w:sz w:val="20"/>
                <w:szCs w:val="20"/>
                <w:lang w:eastAsia="sk-SK"/>
              </w:rPr>
            </w:pPr>
            <w:r w:rsidRPr="002A161B">
              <w:rPr>
                <w:rFonts w:cs="Calibri"/>
                <w:color w:val="000000"/>
                <w:sz w:val="20"/>
                <w:szCs w:val="20"/>
              </w:rPr>
              <w:t>115 645</w:t>
            </w:r>
          </w:p>
        </w:tc>
        <w:tc>
          <w:tcPr>
            <w:tcW w:w="3116" w:type="dxa"/>
            <w:vAlign w:val="bottom"/>
          </w:tcPr>
          <w:p w14:paraId="64548229" w14:textId="53D8FDE7" w:rsidR="00E764AB" w:rsidRPr="002A161B" w:rsidRDefault="00F21A98" w:rsidP="006C0682">
            <w:pPr>
              <w:jc w:val="center"/>
              <w:rPr>
                <w:rFonts w:eastAsia="Times New Roman" w:cs="Times New Roman"/>
                <w:sz w:val="20"/>
                <w:szCs w:val="20"/>
                <w:lang w:eastAsia="sk-SK"/>
              </w:rPr>
            </w:pPr>
            <w:r w:rsidRPr="002A161B">
              <w:rPr>
                <w:rFonts w:cs="Calibri"/>
                <w:color w:val="000000"/>
                <w:sz w:val="20"/>
                <w:szCs w:val="20"/>
              </w:rPr>
              <w:t>2,</w:t>
            </w:r>
            <w:r w:rsidR="00E764AB" w:rsidRPr="002A161B">
              <w:rPr>
                <w:rFonts w:cs="Calibri"/>
                <w:color w:val="000000"/>
                <w:sz w:val="20"/>
                <w:szCs w:val="20"/>
              </w:rPr>
              <w:t>2</w:t>
            </w:r>
          </w:p>
        </w:tc>
      </w:tr>
      <w:tr w:rsidR="00E764AB" w:rsidRPr="00E764AB" w14:paraId="79FB5DD7" w14:textId="77777777" w:rsidTr="006C0682">
        <w:trPr>
          <w:trHeight w:val="227"/>
        </w:trPr>
        <w:tc>
          <w:tcPr>
            <w:tcW w:w="3115" w:type="dxa"/>
            <w:vAlign w:val="center"/>
          </w:tcPr>
          <w:p w14:paraId="6EC34BAD" w14:textId="1DC92077" w:rsidR="00E764AB" w:rsidRPr="002A161B" w:rsidRDefault="00E764AB" w:rsidP="00CA4572">
            <w:pPr>
              <w:jc w:val="both"/>
              <w:rPr>
                <w:rFonts w:eastAsia="Times New Roman" w:cs="Times New Roman"/>
                <w:sz w:val="20"/>
                <w:szCs w:val="20"/>
                <w:lang w:eastAsia="sk-SK"/>
              </w:rPr>
            </w:pPr>
            <w:r w:rsidRPr="002A161B">
              <w:rPr>
                <w:rFonts w:cs="Calibri"/>
                <w:color w:val="000000"/>
                <w:sz w:val="20"/>
                <w:szCs w:val="20"/>
              </w:rPr>
              <w:t>Ochrana životného prostredia</w:t>
            </w:r>
          </w:p>
        </w:tc>
        <w:tc>
          <w:tcPr>
            <w:tcW w:w="3115" w:type="dxa"/>
            <w:vAlign w:val="bottom"/>
          </w:tcPr>
          <w:p w14:paraId="553B26BB" w14:textId="715C7BFD" w:rsidR="00E764AB" w:rsidRPr="002A161B" w:rsidRDefault="00E764AB" w:rsidP="006C0682">
            <w:pPr>
              <w:jc w:val="center"/>
              <w:rPr>
                <w:rFonts w:eastAsia="Times New Roman" w:cs="Times New Roman"/>
                <w:sz w:val="20"/>
                <w:szCs w:val="20"/>
                <w:lang w:eastAsia="sk-SK"/>
              </w:rPr>
            </w:pPr>
            <w:r w:rsidRPr="002A161B">
              <w:rPr>
                <w:rFonts w:cs="Calibri"/>
                <w:color w:val="000000"/>
                <w:sz w:val="20"/>
                <w:szCs w:val="20"/>
              </w:rPr>
              <w:t>95 875</w:t>
            </w:r>
          </w:p>
        </w:tc>
        <w:tc>
          <w:tcPr>
            <w:tcW w:w="3116" w:type="dxa"/>
            <w:vAlign w:val="bottom"/>
          </w:tcPr>
          <w:p w14:paraId="5949A993" w14:textId="5305DAF7" w:rsidR="00E764AB" w:rsidRPr="002A161B" w:rsidRDefault="00F21A98" w:rsidP="006C0682">
            <w:pPr>
              <w:jc w:val="center"/>
              <w:rPr>
                <w:rFonts w:eastAsia="Times New Roman" w:cs="Times New Roman"/>
                <w:sz w:val="20"/>
                <w:szCs w:val="20"/>
                <w:lang w:eastAsia="sk-SK"/>
              </w:rPr>
            </w:pPr>
            <w:r w:rsidRPr="002A161B">
              <w:rPr>
                <w:rFonts w:cs="Calibri"/>
                <w:color w:val="000000"/>
                <w:sz w:val="20"/>
                <w:szCs w:val="20"/>
              </w:rPr>
              <w:t>1,</w:t>
            </w:r>
            <w:r w:rsidR="00E764AB" w:rsidRPr="002A161B">
              <w:rPr>
                <w:rFonts w:cs="Calibri"/>
                <w:color w:val="000000"/>
                <w:sz w:val="20"/>
                <w:szCs w:val="20"/>
              </w:rPr>
              <w:t>8</w:t>
            </w:r>
          </w:p>
        </w:tc>
      </w:tr>
      <w:tr w:rsidR="00E764AB" w:rsidRPr="00E764AB" w14:paraId="1B644343" w14:textId="77777777" w:rsidTr="006C0682">
        <w:trPr>
          <w:trHeight w:val="227"/>
        </w:trPr>
        <w:tc>
          <w:tcPr>
            <w:tcW w:w="3115" w:type="dxa"/>
            <w:vAlign w:val="center"/>
          </w:tcPr>
          <w:p w14:paraId="2CC0ABFD" w14:textId="47EF2D0D" w:rsidR="00E764AB" w:rsidRPr="002A161B" w:rsidRDefault="00E764AB" w:rsidP="00CA4572">
            <w:pPr>
              <w:jc w:val="both"/>
              <w:rPr>
                <w:rFonts w:eastAsia="Times New Roman" w:cs="Times New Roman"/>
                <w:sz w:val="20"/>
                <w:szCs w:val="20"/>
                <w:lang w:eastAsia="sk-SK"/>
              </w:rPr>
            </w:pPr>
            <w:r w:rsidRPr="002A161B">
              <w:rPr>
                <w:rFonts w:cs="Calibri"/>
                <w:color w:val="000000"/>
                <w:sz w:val="20"/>
                <w:szCs w:val="20"/>
              </w:rPr>
              <w:t>Sociálne zabezpečenie</w:t>
            </w:r>
          </w:p>
        </w:tc>
        <w:tc>
          <w:tcPr>
            <w:tcW w:w="3115" w:type="dxa"/>
            <w:vAlign w:val="bottom"/>
          </w:tcPr>
          <w:p w14:paraId="7692C393" w14:textId="17E8C899" w:rsidR="00E764AB" w:rsidRPr="002A161B" w:rsidRDefault="00E764AB" w:rsidP="006C0682">
            <w:pPr>
              <w:jc w:val="center"/>
              <w:rPr>
                <w:rFonts w:eastAsia="Times New Roman" w:cs="Times New Roman"/>
                <w:sz w:val="20"/>
                <w:szCs w:val="20"/>
                <w:lang w:eastAsia="sk-SK"/>
              </w:rPr>
            </w:pPr>
            <w:r w:rsidRPr="002A161B">
              <w:rPr>
                <w:rFonts w:cs="Calibri"/>
                <w:color w:val="000000"/>
                <w:sz w:val="20"/>
                <w:szCs w:val="20"/>
              </w:rPr>
              <w:t>21 174</w:t>
            </w:r>
          </w:p>
        </w:tc>
        <w:tc>
          <w:tcPr>
            <w:tcW w:w="3116" w:type="dxa"/>
            <w:vAlign w:val="bottom"/>
          </w:tcPr>
          <w:p w14:paraId="7765E738" w14:textId="0CABEDCA" w:rsidR="00E764AB" w:rsidRPr="002A161B" w:rsidRDefault="00F21A98" w:rsidP="006C0682">
            <w:pPr>
              <w:jc w:val="center"/>
              <w:rPr>
                <w:rFonts w:eastAsia="Times New Roman" w:cs="Times New Roman"/>
                <w:sz w:val="20"/>
                <w:szCs w:val="20"/>
                <w:lang w:eastAsia="sk-SK"/>
              </w:rPr>
            </w:pPr>
            <w:r w:rsidRPr="002A161B">
              <w:rPr>
                <w:rFonts w:cs="Calibri"/>
                <w:color w:val="000000"/>
                <w:sz w:val="20"/>
                <w:szCs w:val="20"/>
              </w:rPr>
              <w:t>0,</w:t>
            </w:r>
            <w:r w:rsidR="00E764AB" w:rsidRPr="002A161B">
              <w:rPr>
                <w:rFonts w:cs="Calibri"/>
                <w:color w:val="000000"/>
                <w:sz w:val="20"/>
                <w:szCs w:val="20"/>
              </w:rPr>
              <w:t>4</w:t>
            </w:r>
          </w:p>
        </w:tc>
      </w:tr>
      <w:tr w:rsidR="00E764AB" w:rsidRPr="00E764AB" w14:paraId="7502AB6C" w14:textId="77777777" w:rsidTr="006C0682">
        <w:trPr>
          <w:trHeight w:val="227"/>
        </w:trPr>
        <w:tc>
          <w:tcPr>
            <w:tcW w:w="3115" w:type="dxa"/>
            <w:vAlign w:val="center"/>
          </w:tcPr>
          <w:p w14:paraId="707514D0" w14:textId="3DA031ED" w:rsidR="00E764AB" w:rsidRPr="002A161B" w:rsidRDefault="00E764AB" w:rsidP="00CA4572">
            <w:pPr>
              <w:jc w:val="both"/>
              <w:rPr>
                <w:rFonts w:eastAsia="Times New Roman" w:cs="Times New Roman"/>
                <w:sz w:val="20"/>
                <w:szCs w:val="20"/>
                <w:lang w:eastAsia="sk-SK"/>
              </w:rPr>
            </w:pPr>
            <w:r w:rsidRPr="002A161B">
              <w:rPr>
                <w:rFonts w:cs="Calibri"/>
                <w:color w:val="000000"/>
                <w:sz w:val="20"/>
                <w:szCs w:val="20"/>
              </w:rPr>
              <w:t xml:space="preserve">Zdravotníctvo </w:t>
            </w:r>
          </w:p>
        </w:tc>
        <w:tc>
          <w:tcPr>
            <w:tcW w:w="3115" w:type="dxa"/>
            <w:vAlign w:val="bottom"/>
          </w:tcPr>
          <w:p w14:paraId="56AC6799" w14:textId="19C6BC76" w:rsidR="00E764AB" w:rsidRPr="002A161B" w:rsidRDefault="00E764AB" w:rsidP="006C0682">
            <w:pPr>
              <w:jc w:val="center"/>
              <w:rPr>
                <w:rFonts w:eastAsia="Times New Roman" w:cs="Times New Roman"/>
                <w:sz w:val="20"/>
                <w:szCs w:val="20"/>
                <w:lang w:eastAsia="sk-SK"/>
              </w:rPr>
            </w:pPr>
            <w:r w:rsidRPr="002A161B">
              <w:rPr>
                <w:rFonts w:cs="Calibri"/>
                <w:color w:val="000000"/>
                <w:sz w:val="20"/>
                <w:szCs w:val="20"/>
              </w:rPr>
              <w:t>184</w:t>
            </w:r>
          </w:p>
        </w:tc>
        <w:tc>
          <w:tcPr>
            <w:tcW w:w="3116" w:type="dxa"/>
            <w:vAlign w:val="bottom"/>
          </w:tcPr>
          <w:p w14:paraId="2F0F321F" w14:textId="0F398EF7" w:rsidR="00E764AB" w:rsidRPr="002A161B" w:rsidRDefault="00F21A98" w:rsidP="006C0682">
            <w:pPr>
              <w:jc w:val="center"/>
              <w:rPr>
                <w:rFonts w:eastAsia="Times New Roman" w:cs="Times New Roman"/>
                <w:sz w:val="20"/>
                <w:szCs w:val="20"/>
                <w:lang w:eastAsia="sk-SK"/>
              </w:rPr>
            </w:pPr>
            <w:r w:rsidRPr="002A161B">
              <w:rPr>
                <w:rFonts w:cs="Calibri"/>
                <w:color w:val="000000"/>
                <w:sz w:val="20"/>
                <w:szCs w:val="20"/>
              </w:rPr>
              <w:t>0,</w:t>
            </w:r>
            <w:r w:rsidR="00E764AB" w:rsidRPr="002A161B">
              <w:rPr>
                <w:rFonts w:cs="Calibri"/>
                <w:color w:val="000000"/>
                <w:sz w:val="20"/>
                <w:szCs w:val="20"/>
              </w:rPr>
              <w:t>0</w:t>
            </w:r>
          </w:p>
        </w:tc>
      </w:tr>
      <w:tr w:rsidR="00E764AB" w:rsidRPr="00E764AB" w14:paraId="158A6843" w14:textId="77777777" w:rsidTr="006C0682">
        <w:trPr>
          <w:trHeight w:val="227"/>
        </w:trPr>
        <w:tc>
          <w:tcPr>
            <w:tcW w:w="3115" w:type="dxa"/>
            <w:vAlign w:val="center"/>
          </w:tcPr>
          <w:p w14:paraId="0277381D" w14:textId="45A821A5" w:rsidR="00E764AB" w:rsidRPr="002A161B" w:rsidRDefault="00E764AB" w:rsidP="00CA4572">
            <w:pPr>
              <w:jc w:val="both"/>
              <w:rPr>
                <w:rFonts w:eastAsia="Times New Roman" w:cs="Times New Roman"/>
                <w:sz w:val="20"/>
                <w:szCs w:val="20"/>
                <w:lang w:eastAsia="sk-SK"/>
              </w:rPr>
            </w:pPr>
            <w:r w:rsidRPr="002A161B">
              <w:rPr>
                <w:rFonts w:cs="Calibri"/>
                <w:color w:val="000000"/>
                <w:sz w:val="20"/>
                <w:szCs w:val="20"/>
              </w:rPr>
              <w:t>Obrana</w:t>
            </w:r>
          </w:p>
        </w:tc>
        <w:tc>
          <w:tcPr>
            <w:tcW w:w="3115" w:type="dxa"/>
            <w:vAlign w:val="bottom"/>
          </w:tcPr>
          <w:p w14:paraId="32B056F9" w14:textId="32F806F5" w:rsidR="00E764AB" w:rsidRPr="002A161B" w:rsidRDefault="00E764AB" w:rsidP="006C0682">
            <w:pPr>
              <w:jc w:val="center"/>
              <w:rPr>
                <w:rFonts w:eastAsia="Times New Roman" w:cs="Times New Roman"/>
                <w:sz w:val="20"/>
                <w:szCs w:val="20"/>
                <w:lang w:eastAsia="sk-SK"/>
              </w:rPr>
            </w:pPr>
            <w:r w:rsidRPr="002A161B">
              <w:rPr>
                <w:rFonts w:cs="Calibri"/>
                <w:color w:val="000000"/>
                <w:sz w:val="20"/>
                <w:szCs w:val="20"/>
              </w:rPr>
              <w:t>30</w:t>
            </w:r>
          </w:p>
        </w:tc>
        <w:tc>
          <w:tcPr>
            <w:tcW w:w="3116" w:type="dxa"/>
            <w:vAlign w:val="bottom"/>
          </w:tcPr>
          <w:p w14:paraId="32056F45" w14:textId="4511F0DC" w:rsidR="00E764AB" w:rsidRPr="002A161B" w:rsidRDefault="00F21A98" w:rsidP="006C0682">
            <w:pPr>
              <w:jc w:val="center"/>
              <w:rPr>
                <w:rFonts w:eastAsia="Times New Roman" w:cs="Times New Roman"/>
                <w:sz w:val="20"/>
                <w:szCs w:val="20"/>
                <w:lang w:eastAsia="sk-SK"/>
              </w:rPr>
            </w:pPr>
            <w:r w:rsidRPr="002A161B">
              <w:rPr>
                <w:rFonts w:cs="Calibri"/>
                <w:color w:val="000000"/>
                <w:sz w:val="20"/>
                <w:szCs w:val="20"/>
              </w:rPr>
              <w:t>0,</w:t>
            </w:r>
            <w:r w:rsidR="00E764AB" w:rsidRPr="002A161B">
              <w:rPr>
                <w:rFonts w:cs="Calibri"/>
                <w:color w:val="000000"/>
                <w:sz w:val="20"/>
                <w:szCs w:val="20"/>
              </w:rPr>
              <w:t>0</w:t>
            </w:r>
          </w:p>
        </w:tc>
      </w:tr>
    </w:tbl>
    <w:p w14:paraId="6A57A6B6" w14:textId="37B18AD1" w:rsidR="00E764AB" w:rsidRPr="00CA4572" w:rsidRDefault="00E764AB" w:rsidP="00CA4572">
      <w:pPr>
        <w:spacing w:after="120"/>
        <w:jc w:val="both"/>
        <w:rPr>
          <w:rFonts w:eastAsia="Times New Roman" w:cs="Times New Roman"/>
          <w:i/>
          <w:sz w:val="18"/>
          <w:szCs w:val="20"/>
          <w:lang w:eastAsia="sk-SK"/>
        </w:rPr>
      </w:pPr>
      <w:r w:rsidRPr="00CA4572">
        <w:rPr>
          <w:rFonts w:eastAsia="Times New Roman" w:cs="Times New Roman"/>
          <w:i/>
          <w:sz w:val="18"/>
          <w:szCs w:val="20"/>
          <w:lang w:eastAsia="sk-SK"/>
        </w:rPr>
        <w:t>Zdroj: Datacentrum,</w:t>
      </w:r>
      <w:r w:rsidRPr="00CA4572">
        <w:rPr>
          <w:sz w:val="20"/>
        </w:rPr>
        <w:t xml:space="preserve"> </w:t>
      </w:r>
      <w:r w:rsidRPr="00CA4572">
        <w:rPr>
          <w:rFonts w:eastAsia="Times New Roman" w:cs="Times New Roman"/>
          <w:i/>
          <w:sz w:val="18"/>
          <w:szCs w:val="20"/>
          <w:lang w:eastAsia="sk-SK"/>
        </w:rPr>
        <w:t>Finančné výkazy 1 – 12</w:t>
      </w:r>
      <w:r w:rsidR="00EE1799">
        <w:rPr>
          <w:rFonts w:eastAsia="Times New Roman" w:cs="Times New Roman"/>
          <w:i/>
          <w:sz w:val="18"/>
          <w:szCs w:val="20"/>
          <w:lang w:eastAsia="sk-SK"/>
        </w:rPr>
        <w:t>;</w:t>
      </w:r>
      <w:r w:rsidRPr="00CA4572">
        <w:rPr>
          <w:rFonts w:eastAsia="Times New Roman" w:cs="Times New Roman"/>
          <w:i/>
          <w:sz w:val="18"/>
          <w:szCs w:val="20"/>
          <w:lang w:eastAsia="sk-SK"/>
        </w:rPr>
        <w:t xml:space="preserve"> k 31.</w:t>
      </w:r>
      <w:r w:rsidR="00371F19">
        <w:rPr>
          <w:rFonts w:eastAsia="Times New Roman" w:cs="Times New Roman"/>
          <w:i/>
          <w:sz w:val="18"/>
          <w:szCs w:val="20"/>
          <w:lang w:eastAsia="sk-SK"/>
        </w:rPr>
        <w:t xml:space="preserve"> </w:t>
      </w:r>
      <w:r w:rsidRPr="00CA4572">
        <w:rPr>
          <w:rFonts w:eastAsia="Times New Roman" w:cs="Times New Roman"/>
          <w:i/>
          <w:sz w:val="18"/>
          <w:szCs w:val="20"/>
          <w:lang w:eastAsia="sk-SK"/>
        </w:rPr>
        <w:t>12.</w:t>
      </w:r>
      <w:r w:rsidR="00371F19">
        <w:rPr>
          <w:rFonts w:eastAsia="Times New Roman" w:cs="Times New Roman"/>
          <w:i/>
          <w:sz w:val="18"/>
          <w:szCs w:val="20"/>
          <w:lang w:eastAsia="sk-SK"/>
        </w:rPr>
        <w:t xml:space="preserve"> </w:t>
      </w:r>
      <w:r w:rsidR="00CB52FF">
        <w:rPr>
          <w:rFonts w:eastAsia="Times New Roman" w:cs="Times New Roman"/>
          <w:i/>
          <w:sz w:val="18"/>
          <w:szCs w:val="20"/>
          <w:lang w:eastAsia="sk-SK"/>
        </w:rPr>
        <w:t>2019</w:t>
      </w:r>
    </w:p>
    <w:tbl>
      <w:tblPr>
        <w:tblStyle w:val="Mriekatabuky"/>
        <w:tblW w:w="5000" w:type="pct"/>
        <w:shd w:val="clear" w:color="auto" w:fill="B8CCE4" w:themeFill="accent1" w:themeFillTint="66"/>
        <w:tblLook w:val="04A0" w:firstRow="1" w:lastRow="0" w:firstColumn="1" w:lastColumn="0" w:noHBand="0" w:noVBand="1"/>
      </w:tblPr>
      <w:tblGrid>
        <w:gridCol w:w="9346"/>
      </w:tblGrid>
      <w:tr w:rsidR="00D33563" w14:paraId="4353C014" w14:textId="77777777" w:rsidTr="00CB52FF">
        <w:trPr>
          <w:trHeight w:val="5660"/>
        </w:trPr>
        <w:tc>
          <w:tcPr>
            <w:tcW w:w="5000" w:type="pct"/>
            <w:shd w:val="clear" w:color="auto" w:fill="B8CCE4" w:themeFill="accent1" w:themeFillTint="66"/>
          </w:tcPr>
          <w:p w14:paraId="79A2AEB1" w14:textId="05F1C96D" w:rsidR="00D33563" w:rsidRPr="0015084F" w:rsidRDefault="00D33563" w:rsidP="00CA4572">
            <w:pPr>
              <w:jc w:val="both"/>
              <w:rPr>
                <w:rFonts w:eastAsia="Times New Roman" w:cs="Times New Roman"/>
                <w:sz w:val="20"/>
                <w:szCs w:val="20"/>
                <w:lang w:eastAsia="sk-SK"/>
              </w:rPr>
            </w:pPr>
            <w:r w:rsidRPr="002A4F9C">
              <w:rPr>
                <w:rFonts w:eastAsia="Times New Roman" w:cs="Times New Roman"/>
                <w:sz w:val="20"/>
                <w:szCs w:val="20"/>
                <w:lang w:eastAsia="sk-SK"/>
              </w:rPr>
              <w:t>NKÚ SR vykonal v roku 201</w:t>
            </w:r>
            <w:r>
              <w:rPr>
                <w:rFonts w:eastAsia="Times New Roman" w:cs="Times New Roman"/>
                <w:sz w:val="20"/>
                <w:szCs w:val="20"/>
                <w:lang w:eastAsia="sk-SK"/>
              </w:rPr>
              <w:t>9</w:t>
            </w:r>
            <w:r w:rsidRPr="002A4F9C">
              <w:rPr>
                <w:rFonts w:eastAsia="Times New Roman" w:cs="Times New Roman"/>
                <w:sz w:val="20"/>
                <w:szCs w:val="20"/>
                <w:lang w:eastAsia="sk-SK"/>
              </w:rPr>
              <w:t xml:space="preserve"> </w:t>
            </w:r>
            <w:r w:rsidR="0093516E">
              <w:rPr>
                <w:rFonts w:eastAsia="Times New Roman" w:cs="Times New Roman"/>
                <w:sz w:val="20"/>
                <w:szCs w:val="20"/>
                <w:lang w:eastAsia="sk-SK"/>
              </w:rPr>
              <w:t>viacero</w:t>
            </w:r>
            <w:r w:rsidRPr="002A4F9C">
              <w:rPr>
                <w:rFonts w:eastAsia="Times New Roman" w:cs="Times New Roman"/>
                <w:sz w:val="20"/>
                <w:szCs w:val="20"/>
                <w:lang w:eastAsia="sk-SK"/>
              </w:rPr>
              <w:t xml:space="preserve"> kontrol v miestnej samospráve</w:t>
            </w:r>
            <w:r w:rsidR="00CA4572">
              <w:rPr>
                <w:rFonts w:eastAsia="Times New Roman" w:cs="Times New Roman"/>
                <w:sz w:val="20"/>
                <w:szCs w:val="20"/>
                <w:lang w:eastAsia="sk-SK"/>
              </w:rPr>
              <w:t>, počas ktorých sa p</w:t>
            </w:r>
            <w:r>
              <w:rPr>
                <w:rFonts w:eastAsia="Times New Roman" w:cs="Times New Roman"/>
                <w:sz w:val="20"/>
                <w:szCs w:val="20"/>
                <w:lang w:eastAsia="sk-SK"/>
              </w:rPr>
              <w:t xml:space="preserve">odarilo identifikovať </w:t>
            </w:r>
            <w:r w:rsidR="0093516E">
              <w:rPr>
                <w:rFonts w:eastAsia="Times New Roman" w:cs="Times New Roman"/>
                <w:sz w:val="20"/>
                <w:szCs w:val="20"/>
                <w:lang w:eastAsia="sk-SK"/>
              </w:rPr>
              <w:t>niektoré</w:t>
            </w:r>
            <w:r>
              <w:rPr>
                <w:rFonts w:eastAsia="Times New Roman" w:cs="Times New Roman"/>
                <w:sz w:val="20"/>
                <w:szCs w:val="20"/>
                <w:lang w:eastAsia="sk-SK"/>
              </w:rPr>
              <w:t xml:space="preserve"> riz</w:t>
            </w:r>
            <w:r w:rsidR="0093516E">
              <w:rPr>
                <w:rFonts w:eastAsia="Times New Roman" w:cs="Times New Roman"/>
                <w:sz w:val="20"/>
                <w:szCs w:val="20"/>
                <w:lang w:eastAsia="sk-SK"/>
              </w:rPr>
              <w:t>i</w:t>
            </w:r>
            <w:r>
              <w:rPr>
                <w:rFonts w:eastAsia="Times New Roman" w:cs="Times New Roman"/>
                <w:sz w:val="20"/>
                <w:szCs w:val="20"/>
                <w:lang w:eastAsia="sk-SK"/>
              </w:rPr>
              <w:t>k</w:t>
            </w:r>
            <w:r w:rsidR="0093516E">
              <w:rPr>
                <w:rFonts w:eastAsia="Times New Roman" w:cs="Times New Roman"/>
                <w:sz w:val="20"/>
                <w:szCs w:val="20"/>
                <w:lang w:eastAsia="sk-SK"/>
              </w:rPr>
              <w:t>á</w:t>
            </w:r>
            <w:r>
              <w:rPr>
                <w:rFonts w:eastAsia="Times New Roman" w:cs="Times New Roman"/>
                <w:sz w:val="20"/>
                <w:szCs w:val="20"/>
                <w:lang w:eastAsia="sk-SK"/>
              </w:rPr>
              <w:t>.</w:t>
            </w:r>
            <w:r w:rsidR="00CA4572">
              <w:rPr>
                <w:rFonts w:eastAsia="Times New Roman" w:cs="Times New Roman"/>
                <w:sz w:val="20"/>
                <w:szCs w:val="20"/>
                <w:lang w:eastAsia="sk-SK"/>
              </w:rPr>
              <w:t xml:space="preserve"> </w:t>
            </w:r>
            <w:r w:rsidR="00CA4572" w:rsidRPr="00F21A98">
              <w:rPr>
                <w:rFonts w:eastAsia="Times New Roman" w:cs="Times New Roman"/>
                <w:b/>
                <w:sz w:val="20"/>
                <w:szCs w:val="20"/>
                <w:lang w:eastAsia="sk-SK"/>
              </w:rPr>
              <w:t>Kontrolou sa</w:t>
            </w:r>
            <w:r w:rsidRPr="00F21A98">
              <w:rPr>
                <w:rFonts w:eastAsia="Times New Roman" w:cs="Times New Roman"/>
                <w:b/>
                <w:sz w:val="20"/>
                <w:szCs w:val="20"/>
                <w:lang w:eastAsia="sk-SK"/>
              </w:rPr>
              <w:t xml:space="preserve"> zistil</w:t>
            </w:r>
            <w:r w:rsidR="00CA4572" w:rsidRPr="00F21A98">
              <w:rPr>
                <w:rFonts w:eastAsia="Times New Roman" w:cs="Times New Roman"/>
                <w:b/>
                <w:sz w:val="20"/>
                <w:szCs w:val="20"/>
                <w:lang w:eastAsia="sk-SK"/>
              </w:rPr>
              <w:t>o</w:t>
            </w:r>
            <w:r w:rsidRPr="00F21A98">
              <w:rPr>
                <w:rFonts w:eastAsia="Times New Roman" w:cs="Times New Roman"/>
                <w:b/>
                <w:sz w:val="20"/>
                <w:szCs w:val="20"/>
                <w:lang w:eastAsia="sk-SK"/>
              </w:rPr>
              <w:t>, že obce nevenujú dostatočnú pozornosť  svojím pohľadávkam, využívajú rôzne účtovné metódy a postupy aby tieto problémy oddialili.</w:t>
            </w:r>
            <w:r w:rsidRPr="004F62DB">
              <w:rPr>
                <w:rFonts w:eastAsia="Times New Roman" w:cs="Times New Roman"/>
                <w:sz w:val="20"/>
                <w:szCs w:val="20"/>
                <w:lang w:eastAsia="sk-SK"/>
              </w:rPr>
              <w:t xml:space="preserve"> Predmetné konanie má za následok nesprávne vykazovanie údajov v</w:t>
            </w:r>
            <w:r w:rsidR="0093516E">
              <w:rPr>
                <w:rFonts w:eastAsia="Times New Roman" w:cs="Times New Roman"/>
                <w:sz w:val="20"/>
                <w:szCs w:val="20"/>
                <w:lang w:eastAsia="sk-SK"/>
              </w:rPr>
              <w:t> </w:t>
            </w:r>
            <w:r w:rsidRPr="004F62DB">
              <w:rPr>
                <w:rFonts w:eastAsia="Times New Roman" w:cs="Times New Roman"/>
                <w:sz w:val="20"/>
                <w:szCs w:val="20"/>
                <w:lang w:eastAsia="sk-SK"/>
              </w:rPr>
              <w:t>účtovníctve</w:t>
            </w:r>
            <w:r w:rsidR="0093516E">
              <w:rPr>
                <w:rFonts w:eastAsia="Times New Roman" w:cs="Times New Roman"/>
                <w:sz w:val="20"/>
                <w:szCs w:val="20"/>
                <w:lang w:eastAsia="sk-SK"/>
              </w:rPr>
              <w:t>, no</w:t>
            </w:r>
            <w:r w:rsidRPr="004F62DB">
              <w:rPr>
                <w:rFonts w:eastAsia="Times New Roman" w:cs="Times New Roman"/>
                <w:sz w:val="20"/>
                <w:szCs w:val="20"/>
                <w:lang w:eastAsia="sk-SK"/>
              </w:rPr>
              <w:t xml:space="preserve"> okrem toho územnej samospráve vznikajú ďalšie náklady a výdavky súvisiace s vymáhaním dlhov</w:t>
            </w:r>
            <w:r w:rsidR="0093516E">
              <w:rPr>
                <w:rFonts w:eastAsia="Times New Roman" w:cs="Times New Roman"/>
                <w:sz w:val="20"/>
                <w:szCs w:val="20"/>
                <w:lang w:eastAsia="sk-SK"/>
              </w:rPr>
              <w:t>, preto</w:t>
            </w:r>
            <w:r w:rsidRPr="004F62DB">
              <w:rPr>
                <w:rFonts w:eastAsia="Times New Roman" w:cs="Times New Roman"/>
                <w:sz w:val="20"/>
                <w:szCs w:val="20"/>
                <w:lang w:eastAsia="sk-SK"/>
              </w:rPr>
              <w:t xml:space="preserve"> následne územná samospráva rieši výpadok týchto zdrojov hľadaním iných zdrojov, ktoré použije na ich krytie. Subjekt územnej samosprávy má v nezmennej hodnote zachovávať hodnotu svojho majetku, avšak použitím nesprávnych účtovných metód a postupov hodnotu svojho majetku znižuje. </w:t>
            </w:r>
            <w:r w:rsidRPr="00F21A98">
              <w:rPr>
                <w:rFonts w:eastAsia="Times New Roman" w:cs="Times New Roman"/>
                <w:b/>
                <w:sz w:val="20"/>
                <w:szCs w:val="20"/>
                <w:lang w:eastAsia="sk-SK"/>
              </w:rPr>
              <w:t xml:space="preserve">Okrem toho vzniká problém dodržiavania legislatívy pri predaji majetku alebo pri jeho prenájme, výpožičke. Hodnota získaná z predaja alebo z prenájmu nie je adekvátna a vo väčšine prípadov sa pri predaji alebo pri nájme zneužíva inštitút verejného záujmu. Subjekty územnej samosprávy rovnako nevenujú náležitú pozornosť svojmu vnútornému kontrolnému systému. </w:t>
            </w:r>
            <w:r w:rsidRPr="00F21A98">
              <w:rPr>
                <w:b/>
                <w:sz w:val="20"/>
                <w:szCs w:val="20"/>
              </w:rPr>
              <w:t>Subjekty územnej samosprávy podceňujú aj kontrolu, ktorú vykonávajú prostredníctvom dozorných rád v obchodných spoločnostiach, ktoré založili.</w:t>
            </w:r>
            <w:r w:rsidRPr="00ED32CD">
              <w:rPr>
                <w:sz w:val="20"/>
                <w:szCs w:val="20"/>
              </w:rPr>
              <w:t xml:space="preserve"> </w:t>
            </w:r>
            <w:r w:rsidRPr="00ED32CD">
              <w:rPr>
                <w:rFonts w:eastAsia="Times New Roman" w:cs="Times New Roman"/>
                <w:sz w:val="20"/>
                <w:szCs w:val="20"/>
                <w:lang w:eastAsia="sk-SK"/>
              </w:rPr>
              <w:t>Rizikom je aj neuplatňovanie svojich akcionárskych práv v obchodných spoločnostiach, v ktorých má subjekt samosprávy majetkové práva.</w:t>
            </w:r>
            <w:r>
              <w:rPr>
                <w:rFonts w:eastAsia="Times New Roman" w:cs="Times New Roman"/>
                <w:sz w:val="20"/>
                <w:szCs w:val="20"/>
                <w:lang w:eastAsia="sk-SK"/>
              </w:rPr>
              <w:t xml:space="preserve"> </w:t>
            </w:r>
            <w:r w:rsidRPr="0015084F">
              <w:rPr>
                <w:rFonts w:eastAsia="Times New Roman" w:cs="Times New Roman"/>
                <w:sz w:val="20"/>
                <w:szCs w:val="20"/>
                <w:lang w:eastAsia="sk-SK"/>
              </w:rPr>
              <w:t>Tieto, aj ďalšie neuvedené negatívne zistenia môž</w:t>
            </w:r>
            <w:r w:rsidR="00CB52FF">
              <w:rPr>
                <w:rFonts w:eastAsia="Times New Roman" w:cs="Times New Roman"/>
                <w:sz w:val="20"/>
                <w:szCs w:val="20"/>
                <w:lang w:eastAsia="sk-SK"/>
              </w:rPr>
              <w:t xml:space="preserve">u byť </w:t>
            </w:r>
            <w:r w:rsidR="00524DEC">
              <w:rPr>
                <w:rFonts w:eastAsia="Times New Roman" w:cs="Times New Roman"/>
                <w:sz w:val="20"/>
                <w:szCs w:val="20"/>
                <w:lang w:eastAsia="sk-SK"/>
              </w:rPr>
              <w:t>zapríčinené</w:t>
            </w:r>
            <w:r w:rsidR="00CB52FF">
              <w:rPr>
                <w:rFonts w:eastAsia="Times New Roman" w:cs="Times New Roman"/>
                <w:sz w:val="20"/>
                <w:szCs w:val="20"/>
                <w:lang w:eastAsia="sk-SK"/>
              </w:rPr>
              <w:t xml:space="preserve"> aj týmito javmi:</w:t>
            </w:r>
          </w:p>
          <w:p w14:paraId="7114B1B6" w14:textId="7B78FCB3" w:rsidR="00D33563" w:rsidRPr="00ED32CD" w:rsidRDefault="00D33563" w:rsidP="00F21A98">
            <w:pPr>
              <w:pStyle w:val="Odsekzoznamu"/>
              <w:numPr>
                <w:ilvl w:val="0"/>
                <w:numId w:val="19"/>
              </w:numPr>
              <w:spacing w:before="120" w:after="120"/>
              <w:jc w:val="both"/>
              <w:rPr>
                <w:rFonts w:eastAsia="Times New Roman" w:cs="Times New Roman"/>
                <w:sz w:val="20"/>
                <w:szCs w:val="20"/>
                <w:lang w:eastAsia="sk-SK"/>
              </w:rPr>
            </w:pPr>
            <w:r w:rsidRPr="00ED32CD">
              <w:rPr>
                <w:rFonts w:eastAsia="Times New Roman" w:cs="Times New Roman"/>
                <w:sz w:val="20"/>
                <w:szCs w:val="20"/>
                <w:lang w:eastAsia="sk-SK"/>
              </w:rPr>
              <w:t xml:space="preserve">častými legislatívnymi zmenami, bez zodpovedajúcej podpory štátu </w:t>
            </w:r>
          </w:p>
          <w:p w14:paraId="41F2853C" w14:textId="77777777" w:rsidR="00D33563" w:rsidRPr="00ED32CD" w:rsidRDefault="00D33563" w:rsidP="00F21A98">
            <w:pPr>
              <w:pStyle w:val="Odsekzoznamu"/>
              <w:numPr>
                <w:ilvl w:val="0"/>
                <w:numId w:val="19"/>
              </w:numPr>
              <w:spacing w:before="120" w:after="120"/>
              <w:jc w:val="both"/>
              <w:rPr>
                <w:rFonts w:eastAsia="Times New Roman" w:cs="Times New Roman"/>
                <w:sz w:val="20"/>
                <w:szCs w:val="20"/>
                <w:lang w:eastAsia="sk-SK"/>
              </w:rPr>
            </w:pPr>
            <w:r w:rsidRPr="00ED32CD">
              <w:rPr>
                <w:rFonts w:eastAsia="Times New Roman" w:cs="Times New Roman"/>
                <w:sz w:val="20"/>
                <w:szCs w:val="20"/>
                <w:lang w:eastAsia="sk-SK"/>
              </w:rPr>
              <w:t>nejasnými postup</w:t>
            </w:r>
            <w:r>
              <w:rPr>
                <w:rFonts w:eastAsia="Times New Roman" w:cs="Times New Roman"/>
                <w:sz w:val="20"/>
                <w:szCs w:val="20"/>
                <w:lang w:eastAsia="sk-SK"/>
              </w:rPr>
              <w:t>mi</w:t>
            </w:r>
            <w:r w:rsidRPr="00ED32CD">
              <w:rPr>
                <w:rFonts w:eastAsia="Times New Roman" w:cs="Times New Roman"/>
                <w:sz w:val="20"/>
                <w:szCs w:val="20"/>
                <w:lang w:eastAsia="sk-SK"/>
              </w:rPr>
              <w:t xml:space="preserve"> a usmernenia</w:t>
            </w:r>
            <w:r>
              <w:rPr>
                <w:rFonts w:eastAsia="Times New Roman" w:cs="Times New Roman"/>
                <w:sz w:val="20"/>
                <w:szCs w:val="20"/>
                <w:lang w:eastAsia="sk-SK"/>
              </w:rPr>
              <w:t>mi</w:t>
            </w:r>
            <w:r w:rsidRPr="00ED32CD">
              <w:rPr>
                <w:rFonts w:eastAsia="Times New Roman" w:cs="Times New Roman"/>
                <w:sz w:val="20"/>
                <w:szCs w:val="20"/>
                <w:lang w:eastAsia="sk-SK"/>
              </w:rPr>
              <w:t xml:space="preserve"> pri implementácii legislatívnych zmien alebo verejných politík</w:t>
            </w:r>
          </w:p>
          <w:p w14:paraId="0FEE1ADA" w14:textId="77777777" w:rsidR="00D33563" w:rsidRPr="00ED32CD" w:rsidRDefault="00D33563" w:rsidP="00F21A98">
            <w:pPr>
              <w:pStyle w:val="Odsekzoznamu"/>
              <w:numPr>
                <w:ilvl w:val="0"/>
                <w:numId w:val="19"/>
              </w:numPr>
              <w:spacing w:before="120" w:after="120"/>
              <w:jc w:val="both"/>
              <w:rPr>
                <w:rFonts w:eastAsia="Times New Roman" w:cs="Times New Roman"/>
                <w:sz w:val="20"/>
                <w:szCs w:val="20"/>
                <w:lang w:eastAsia="sk-SK"/>
              </w:rPr>
            </w:pPr>
            <w:r>
              <w:rPr>
                <w:rFonts w:eastAsia="Times New Roman" w:cs="Times New Roman"/>
                <w:sz w:val="20"/>
                <w:szCs w:val="20"/>
                <w:lang w:eastAsia="sk-SK"/>
              </w:rPr>
              <w:t>odporujúcimi</w:t>
            </w:r>
            <w:r w:rsidRPr="00ED32CD">
              <w:rPr>
                <w:rFonts w:eastAsia="Times New Roman" w:cs="Times New Roman"/>
                <w:sz w:val="20"/>
                <w:szCs w:val="20"/>
                <w:lang w:eastAsia="sk-SK"/>
              </w:rPr>
              <w:t xml:space="preserve"> usmernenia</w:t>
            </w:r>
            <w:r>
              <w:rPr>
                <w:rFonts w:eastAsia="Times New Roman" w:cs="Times New Roman"/>
                <w:sz w:val="20"/>
                <w:szCs w:val="20"/>
                <w:lang w:eastAsia="sk-SK"/>
              </w:rPr>
              <w:t>mi</w:t>
            </w:r>
            <w:r w:rsidRPr="00ED32CD">
              <w:rPr>
                <w:rFonts w:eastAsia="Times New Roman" w:cs="Times New Roman"/>
                <w:sz w:val="20"/>
                <w:szCs w:val="20"/>
                <w:lang w:eastAsia="sk-SK"/>
              </w:rPr>
              <w:t xml:space="preserve"> jednotlivých kapitol štátneho rozpočtu </w:t>
            </w:r>
          </w:p>
          <w:p w14:paraId="3C88DEAF" w14:textId="17824A0C" w:rsidR="00D33563" w:rsidRPr="00ED32CD" w:rsidRDefault="00D33563" w:rsidP="00F21A98">
            <w:pPr>
              <w:pStyle w:val="Odsekzoznamu"/>
              <w:numPr>
                <w:ilvl w:val="0"/>
                <w:numId w:val="19"/>
              </w:numPr>
              <w:spacing w:before="120" w:after="120"/>
              <w:jc w:val="both"/>
              <w:rPr>
                <w:rFonts w:eastAsia="Times New Roman" w:cs="Times New Roman"/>
                <w:sz w:val="20"/>
                <w:szCs w:val="20"/>
                <w:lang w:eastAsia="sk-SK"/>
              </w:rPr>
            </w:pPr>
            <w:r w:rsidRPr="00ED32CD">
              <w:rPr>
                <w:rFonts w:eastAsia="Times New Roman" w:cs="Times New Roman"/>
                <w:sz w:val="20"/>
                <w:szCs w:val="20"/>
                <w:lang w:eastAsia="sk-SK"/>
              </w:rPr>
              <w:t>presun</w:t>
            </w:r>
            <w:r>
              <w:rPr>
                <w:rFonts w:eastAsia="Times New Roman" w:cs="Times New Roman"/>
                <w:sz w:val="20"/>
                <w:szCs w:val="20"/>
                <w:lang w:eastAsia="sk-SK"/>
              </w:rPr>
              <w:t>om</w:t>
            </w:r>
            <w:r w:rsidRPr="00ED32CD">
              <w:rPr>
                <w:rFonts w:eastAsia="Times New Roman" w:cs="Times New Roman"/>
                <w:sz w:val="20"/>
                <w:szCs w:val="20"/>
                <w:lang w:eastAsia="sk-SK"/>
              </w:rPr>
              <w:t xml:space="preserve"> výkonu štátnej správy na územnú samosprávu bez adekvátnej štúdie a zhodnotenia </w:t>
            </w:r>
            <w:r w:rsidR="00524DEC">
              <w:rPr>
                <w:rFonts w:eastAsia="Times New Roman" w:cs="Times New Roman"/>
                <w:sz w:val="20"/>
                <w:szCs w:val="20"/>
                <w:lang w:eastAsia="sk-SK"/>
              </w:rPr>
              <w:t>vplyvu</w:t>
            </w:r>
            <w:r w:rsidRPr="00ED32CD">
              <w:rPr>
                <w:rFonts w:eastAsia="Times New Roman" w:cs="Times New Roman"/>
                <w:sz w:val="20"/>
                <w:szCs w:val="20"/>
                <w:lang w:eastAsia="sk-SK"/>
              </w:rPr>
              <w:t xml:space="preserve"> týchto rozhodnutí na územnú samosprávy a ich obyvateľov</w:t>
            </w:r>
          </w:p>
          <w:p w14:paraId="5E6244E0" w14:textId="08F45B0F" w:rsidR="00D33563" w:rsidRPr="00371F19" w:rsidRDefault="00D33563" w:rsidP="00F21A98">
            <w:pPr>
              <w:pStyle w:val="Odsekzoznamu"/>
              <w:numPr>
                <w:ilvl w:val="0"/>
                <w:numId w:val="19"/>
              </w:numPr>
              <w:spacing w:before="120" w:after="120"/>
              <w:jc w:val="both"/>
              <w:rPr>
                <w:rFonts w:eastAsia="Times New Roman" w:cs="Times New Roman"/>
                <w:sz w:val="20"/>
                <w:szCs w:val="20"/>
                <w:lang w:eastAsia="sk-SK"/>
              </w:rPr>
            </w:pPr>
            <w:r w:rsidRPr="00371F19">
              <w:rPr>
                <w:rFonts w:eastAsia="Times New Roman" w:cs="Times New Roman"/>
                <w:sz w:val="20"/>
                <w:szCs w:val="20"/>
                <w:lang w:eastAsia="sk-SK"/>
              </w:rPr>
              <w:t>schopnosťami územnej samosprávy akceptovať zmeny v</w:t>
            </w:r>
            <w:r w:rsidR="00371F19" w:rsidRPr="00371F19">
              <w:rPr>
                <w:rFonts w:eastAsia="Times New Roman" w:cs="Times New Roman"/>
                <w:sz w:val="20"/>
                <w:szCs w:val="20"/>
                <w:lang w:eastAsia="sk-SK"/>
              </w:rPr>
              <w:t> </w:t>
            </w:r>
            <w:r w:rsidRPr="00371F19">
              <w:rPr>
                <w:rFonts w:eastAsia="Times New Roman" w:cs="Times New Roman"/>
                <w:sz w:val="20"/>
                <w:szCs w:val="20"/>
                <w:lang w:eastAsia="sk-SK"/>
              </w:rPr>
              <w:t>spoločnosti</w:t>
            </w:r>
            <w:r w:rsidR="00371F19" w:rsidRPr="00371F19">
              <w:rPr>
                <w:rFonts w:eastAsia="Times New Roman" w:cs="Times New Roman"/>
                <w:sz w:val="20"/>
                <w:szCs w:val="20"/>
                <w:lang w:eastAsia="sk-SK"/>
              </w:rPr>
              <w:t>,</w:t>
            </w:r>
            <w:r w:rsidRPr="00371F19">
              <w:rPr>
                <w:rFonts w:eastAsia="Times New Roman" w:cs="Times New Roman"/>
                <w:sz w:val="20"/>
                <w:szCs w:val="20"/>
                <w:lang w:eastAsia="sk-SK"/>
              </w:rPr>
              <w:t xml:space="preserve"> správať sa zodpovedne a preberať zodpovednosť za svoje rozhodnutia</w:t>
            </w:r>
            <w:r w:rsidR="00371F19">
              <w:rPr>
                <w:rFonts w:eastAsia="Times New Roman" w:cs="Times New Roman"/>
                <w:sz w:val="20"/>
                <w:szCs w:val="20"/>
                <w:lang w:eastAsia="sk-SK"/>
              </w:rPr>
              <w:t>,</w:t>
            </w:r>
            <w:r w:rsidRPr="00371F19">
              <w:rPr>
                <w:rFonts w:eastAsia="Times New Roman" w:cs="Times New Roman"/>
                <w:sz w:val="20"/>
                <w:szCs w:val="20"/>
                <w:lang w:eastAsia="sk-SK"/>
              </w:rPr>
              <w:t xml:space="preserve"> konať v prospech rozvoja obce a ich občanov </w:t>
            </w:r>
            <w:r w:rsidR="00524DEC">
              <w:rPr>
                <w:rFonts w:eastAsia="Times New Roman" w:cs="Times New Roman"/>
                <w:sz w:val="20"/>
                <w:szCs w:val="20"/>
                <w:lang w:eastAsia="sk-SK"/>
              </w:rPr>
              <w:t>a nie</w:t>
            </w:r>
            <w:r w:rsidRPr="00371F19">
              <w:rPr>
                <w:rFonts w:eastAsia="Times New Roman" w:cs="Times New Roman"/>
                <w:sz w:val="20"/>
                <w:szCs w:val="20"/>
                <w:lang w:eastAsia="sk-SK"/>
              </w:rPr>
              <w:t xml:space="preserve"> uprednostňova</w:t>
            </w:r>
            <w:r w:rsidR="00524DEC">
              <w:rPr>
                <w:rFonts w:eastAsia="Times New Roman" w:cs="Times New Roman"/>
                <w:sz w:val="20"/>
                <w:szCs w:val="20"/>
                <w:lang w:eastAsia="sk-SK"/>
              </w:rPr>
              <w:t>ť</w:t>
            </w:r>
            <w:r w:rsidRPr="00371F19">
              <w:rPr>
                <w:rFonts w:eastAsia="Times New Roman" w:cs="Times New Roman"/>
                <w:sz w:val="20"/>
                <w:szCs w:val="20"/>
                <w:lang w:eastAsia="sk-SK"/>
              </w:rPr>
              <w:t xml:space="preserve"> svoj</w:t>
            </w:r>
            <w:r w:rsidR="00524DEC">
              <w:rPr>
                <w:rFonts w:eastAsia="Times New Roman" w:cs="Times New Roman"/>
                <w:sz w:val="20"/>
                <w:szCs w:val="20"/>
                <w:lang w:eastAsia="sk-SK"/>
              </w:rPr>
              <w:t>e</w:t>
            </w:r>
            <w:r w:rsidRPr="00371F19">
              <w:rPr>
                <w:rFonts w:eastAsia="Times New Roman" w:cs="Times New Roman"/>
                <w:sz w:val="20"/>
                <w:szCs w:val="20"/>
                <w:lang w:eastAsia="sk-SK"/>
              </w:rPr>
              <w:t xml:space="preserve"> osobn</w:t>
            </w:r>
            <w:r w:rsidR="00524DEC">
              <w:rPr>
                <w:rFonts w:eastAsia="Times New Roman" w:cs="Times New Roman"/>
                <w:sz w:val="20"/>
                <w:szCs w:val="20"/>
                <w:lang w:eastAsia="sk-SK"/>
              </w:rPr>
              <w:t>é</w:t>
            </w:r>
            <w:r w:rsidRPr="00371F19">
              <w:rPr>
                <w:rFonts w:eastAsia="Times New Roman" w:cs="Times New Roman"/>
                <w:sz w:val="20"/>
                <w:szCs w:val="20"/>
                <w:lang w:eastAsia="sk-SK"/>
              </w:rPr>
              <w:t xml:space="preserve"> záujm</w:t>
            </w:r>
            <w:r w:rsidR="00524DEC">
              <w:rPr>
                <w:rFonts w:eastAsia="Times New Roman" w:cs="Times New Roman"/>
                <w:sz w:val="20"/>
                <w:szCs w:val="20"/>
                <w:lang w:eastAsia="sk-SK"/>
              </w:rPr>
              <w:t>y</w:t>
            </w:r>
            <w:r w:rsidRPr="00371F19">
              <w:rPr>
                <w:rFonts w:eastAsia="Times New Roman" w:cs="Times New Roman"/>
                <w:sz w:val="20"/>
                <w:szCs w:val="20"/>
                <w:lang w:eastAsia="sk-SK"/>
              </w:rPr>
              <w:t xml:space="preserve"> </w:t>
            </w:r>
          </w:p>
          <w:p w14:paraId="7AF93132" w14:textId="77777777" w:rsidR="00D33563" w:rsidRPr="00ED32CD" w:rsidRDefault="00D33563" w:rsidP="00F21A98">
            <w:pPr>
              <w:pStyle w:val="Odsekzoznamu"/>
              <w:numPr>
                <w:ilvl w:val="0"/>
                <w:numId w:val="19"/>
              </w:numPr>
              <w:spacing w:before="120" w:after="120"/>
              <w:jc w:val="both"/>
              <w:rPr>
                <w:rFonts w:eastAsia="Times New Roman" w:cs="Times New Roman"/>
                <w:sz w:val="20"/>
                <w:szCs w:val="20"/>
                <w:lang w:eastAsia="sk-SK"/>
              </w:rPr>
            </w:pPr>
            <w:r w:rsidRPr="00ED32CD">
              <w:rPr>
                <w:rFonts w:eastAsia="Times New Roman" w:cs="Times New Roman"/>
                <w:sz w:val="20"/>
                <w:szCs w:val="20"/>
                <w:lang w:eastAsia="sk-SK"/>
              </w:rPr>
              <w:t>schop</w:t>
            </w:r>
            <w:r>
              <w:rPr>
                <w:rFonts w:eastAsia="Times New Roman" w:cs="Times New Roman"/>
                <w:sz w:val="20"/>
                <w:szCs w:val="20"/>
                <w:lang w:eastAsia="sk-SK"/>
              </w:rPr>
              <w:t>nosťami</w:t>
            </w:r>
            <w:r w:rsidRPr="00ED32CD">
              <w:rPr>
                <w:rFonts w:eastAsia="Times New Roman" w:cs="Times New Roman"/>
                <w:sz w:val="20"/>
                <w:szCs w:val="20"/>
                <w:lang w:eastAsia="sk-SK"/>
              </w:rPr>
              <w:t xml:space="preserve"> orgánov územnej samosprávy poskytovať služby svojím občanom</w:t>
            </w:r>
          </w:p>
          <w:p w14:paraId="44E1339D" w14:textId="77777777" w:rsidR="00D33563" w:rsidRPr="00ED32CD" w:rsidRDefault="00D33563" w:rsidP="00F21A98">
            <w:pPr>
              <w:pStyle w:val="Odsekzoznamu"/>
              <w:numPr>
                <w:ilvl w:val="0"/>
                <w:numId w:val="19"/>
              </w:numPr>
              <w:spacing w:before="120" w:after="120"/>
              <w:jc w:val="both"/>
              <w:rPr>
                <w:rFonts w:eastAsia="Times New Roman" w:cs="Times New Roman"/>
                <w:sz w:val="20"/>
                <w:szCs w:val="20"/>
                <w:lang w:eastAsia="sk-SK"/>
              </w:rPr>
            </w:pPr>
            <w:r w:rsidRPr="00ED32CD">
              <w:rPr>
                <w:rFonts w:eastAsia="Times New Roman" w:cs="Times New Roman"/>
                <w:sz w:val="20"/>
                <w:szCs w:val="20"/>
                <w:lang w:eastAsia="sk-SK"/>
              </w:rPr>
              <w:t>schopnos</w:t>
            </w:r>
            <w:r>
              <w:rPr>
                <w:rFonts w:eastAsia="Times New Roman" w:cs="Times New Roman"/>
                <w:sz w:val="20"/>
                <w:szCs w:val="20"/>
                <w:lang w:eastAsia="sk-SK"/>
              </w:rPr>
              <w:t>ťami</w:t>
            </w:r>
            <w:r w:rsidRPr="00ED32CD">
              <w:rPr>
                <w:rFonts w:eastAsia="Times New Roman" w:cs="Times New Roman"/>
                <w:sz w:val="20"/>
                <w:szCs w:val="20"/>
                <w:lang w:eastAsia="sk-SK"/>
              </w:rPr>
              <w:t xml:space="preserve"> územnej samosprávy byť dobrým zamestnávateľom</w:t>
            </w:r>
          </w:p>
          <w:p w14:paraId="0E85EFF8" w14:textId="3D575AD0" w:rsidR="00D33563" w:rsidRPr="00646D67" w:rsidRDefault="00D33563" w:rsidP="00F21A98">
            <w:pPr>
              <w:pStyle w:val="Odsekzoznamu"/>
              <w:numPr>
                <w:ilvl w:val="0"/>
                <w:numId w:val="19"/>
              </w:numPr>
              <w:spacing w:before="120" w:after="120"/>
              <w:jc w:val="both"/>
              <w:rPr>
                <w:rFonts w:eastAsia="Times New Roman" w:cs="Times New Roman"/>
                <w:sz w:val="20"/>
                <w:szCs w:val="20"/>
                <w:lang w:eastAsia="sk-SK"/>
              </w:rPr>
            </w:pPr>
            <w:r w:rsidRPr="00ED32CD">
              <w:rPr>
                <w:rFonts w:eastAsia="Times New Roman" w:cs="Times New Roman"/>
                <w:sz w:val="20"/>
                <w:szCs w:val="20"/>
                <w:lang w:eastAsia="sk-SK"/>
              </w:rPr>
              <w:t>schopnos</w:t>
            </w:r>
            <w:r>
              <w:rPr>
                <w:rFonts w:eastAsia="Times New Roman" w:cs="Times New Roman"/>
                <w:sz w:val="20"/>
                <w:szCs w:val="20"/>
                <w:lang w:eastAsia="sk-SK"/>
              </w:rPr>
              <w:t>ťami</w:t>
            </w:r>
            <w:r w:rsidRPr="00ED32CD">
              <w:rPr>
                <w:rFonts w:eastAsia="Times New Roman" w:cs="Times New Roman"/>
                <w:sz w:val="20"/>
                <w:szCs w:val="20"/>
                <w:lang w:eastAsia="sk-SK"/>
              </w:rPr>
              <w:t xml:space="preserve"> zamestnancov územnej samosprávy vzdelávať sa, zvyšovať svoju odbornosť a učiť sa nové veci</w:t>
            </w:r>
            <w:r w:rsidR="00F21A98">
              <w:rPr>
                <w:rFonts w:eastAsia="Times New Roman" w:cs="Times New Roman"/>
                <w:sz w:val="20"/>
                <w:szCs w:val="20"/>
                <w:lang w:eastAsia="sk-SK"/>
              </w:rPr>
              <w:t>.</w:t>
            </w:r>
          </w:p>
        </w:tc>
      </w:tr>
    </w:tbl>
    <w:p w14:paraId="24089367" w14:textId="244C1DCA" w:rsidR="00BB7209" w:rsidRDefault="00BB7209" w:rsidP="007534CE">
      <w:pPr>
        <w:pStyle w:val="Nadpis2"/>
        <w:numPr>
          <w:ilvl w:val="1"/>
          <w:numId w:val="23"/>
        </w:numPr>
      </w:pPr>
      <w:bookmarkStart w:id="67" w:name="_Toc480788341"/>
      <w:bookmarkStart w:id="68" w:name="_Toc481657176"/>
      <w:bookmarkStart w:id="69" w:name="_Toc10096304"/>
      <w:bookmarkStart w:id="70" w:name="_Toc43218090"/>
      <w:r w:rsidRPr="00757E44">
        <w:t>Hospodárenie VÚC</w:t>
      </w:r>
      <w:bookmarkEnd w:id="67"/>
      <w:bookmarkEnd w:id="68"/>
      <w:bookmarkEnd w:id="69"/>
      <w:bookmarkEnd w:id="70"/>
    </w:p>
    <w:p w14:paraId="63FDAA8C" w14:textId="77777777" w:rsidR="00525E30" w:rsidRDefault="00525E30" w:rsidP="00525E30">
      <w:pPr>
        <w:spacing w:before="120" w:after="120"/>
        <w:jc w:val="both"/>
        <w:rPr>
          <w:rFonts w:eastAsia="Times New Roman" w:cs="Times New Roman"/>
          <w:szCs w:val="24"/>
          <w:lang w:eastAsia="sk-SK"/>
        </w:rPr>
      </w:pPr>
      <w:r>
        <w:rPr>
          <w:rFonts w:eastAsia="Times New Roman" w:cs="Times New Roman"/>
          <w:szCs w:val="24"/>
          <w:lang w:eastAsia="sk-SK"/>
        </w:rPr>
        <w:t>Prímy VÚC boli oproti roku 2018 výrazne vyššie, na druhej strane VÚC výrazne navýšili aj výdavky</w:t>
      </w:r>
      <w:r w:rsidRPr="005A08CB">
        <w:rPr>
          <w:rFonts w:eastAsia="Times New Roman" w:cs="Times New Roman"/>
          <w:szCs w:val="24"/>
          <w:lang w:eastAsia="sk-SK"/>
        </w:rPr>
        <w:t>.</w:t>
      </w:r>
      <w:r>
        <w:rPr>
          <w:rFonts w:eastAsia="Times New Roman" w:cs="Times New Roman"/>
          <w:szCs w:val="24"/>
          <w:lang w:eastAsia="sk-SK"/>
        </w:rPr>
        <w:t xml:space="preserve"> Z tohto dôvodu bilančný zostatok nerástol výraznejšou mierou. Na bilančnom zostatku VÚC majú najväčší podiel finančné operácie, ktoré zahŕňajú prostriedky z predchádzajúcich rokov.</w:t>
      </w:r>
    </w:p>
    <w:p w14:paraId="0C4CC392" w14:textId="1D782B1E" w:rsidR="0084732D" w:rsidRPr="007B7098" w:rsidRDefault="0084732D" w:rsidP="00525E30">
      <w:pPr>
        <w:spacing w:before="120"/>
        <w:jc w:val="both"/>
        <w:rPr>
          <w:rFonts w:eastAsia="Times New Roman" w:cs="Times New Roman"/>
          <w:b/>
          <w:i/>
          <w:szCs w:val="24"/>
          <w:lang w:eastAsia="sk-SK"/>
        </w:rPr>
      </w:pPr>
      <w:r w:rsidRPr="007B7098">
        <w:rPr>
          <w:rFonts w:eastAsia="Times New Roman" w:cs="Times New Roman"/>
          <w:b/>
          <w:i/>
          <w:szCs w:val="24"/>
          <w:lang w:eastAsia="sk-SK"/>
        </w:rPr>
        <w:t xml:space="preserve">Porovnanie skutočného bilančného zostatku VÚC </w:t>
      </w:r>
      <w:r>
        <w:rPr>
          <w:rFonts w:eastAsia="Times New Roman" w:cs="Times New Roman"/>
          <w:b/>
          <w:i/>
          <w:szCs w:val="24"/>
          <w:lang w:eastAsia="sk-SK"/>
        </w:rPr>
        <w:t>na hotovostnej báze za roky 201</w:t>
      </w:r>
      <w:r w:rsidR="00371F19">
        <w:rPr>
          <w:rFonts w:eastAsia="Times New Roman" w:cs="Times New Roman"/>
          <w:b/>
          <w:i/>
          <w:szCs w:val="24"/>
          <w:lang w:eastAsia="sk-SK"/>
        </w:rPr>
        <w:t>7</w:t>
      </w:r>
      <w:r w:rsidRPr="007B7098">
        <w:rPr>
          <w:rFonts w:eastAsia="Times New Roman" w:cs="Times New Roman"/>
          <w:b/>
          <w:i/>
          <w:szCs w:val="24"/>
          <w:lang w:eastAsia="sk-SK"/>
        </w:rPr>
        <w:t xml:space="preserve"> až 201</w:t>
      </w:r>
      <w:r w:rsidR="00371F19">
        <w:rPr>
          <w:rFonts w:eastAsia="Times New Roman" w:cs="Times New Roman"/>
          <w:b/>
          <w:i/>
          <w:szCs w:val="24"/>
          <w:lang w:eastAsia="sk-SK"/>
        </w:rPr>
        <w:t>9</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1137"/>
        <w:gridCol w:w="1136"/>
        <w:gridCol w:w="1136"/>
        <w:gridCol w:w="1235"/>
        <w:gridCol w:w="1286"/>
      </w:tblGrid>
      <w:tr w:rsidR="0084732D" w:rsidRPr="005A08CB" w14:paraId="1E49C8F7" w14:textId="77777777" w:rsidTr="006C0682">
        <w:trPr>
          <w:trHeight w:val="227"/>
          <w:tblHeader/>
        </w:trPr>
        <w:tc>
          <w:tcPr>
            <w:tcW w:w="1772" w:type="pct"/>
            <w:shd w:val="clear" w:color="auto" w:fill="0070C0"/>
            <w:vAlign w:val="center"/>
            <w:hideMark/>
          </w:tcPr>
          <w:p w14:paraId="6C0F3FAA" w14:textId="6F31F2F2" w:rsidR="0084732D" w:rsidRPr="006C0682" w:rsidRDefault="0084732D" w:rsidP="002E55A3">
            <w:pPr>
              <w:jc w:val="center"/>
              <w:rPr>
                <w:rFonts w:eastAsia="Times New Roman" w:cs="Times New Roman"/>
                <w:b/>
                <w:color w:val="FFFFFF"/>
                <w:sz w:val="20"/>
                <w:szCs w:val="20"/>
              </w:rPr>
            </w:pPr>
            <w:r w:rsidRPr="002E55A3">
              <w:rPr>
                <w:rFonts w:eastAsia="Times New Roman" w:cs="Times New Roman"/>
                <w:b/>
                <w:color w:val="FFFFFF"/>
                <w:sz w:val="20"/>
                <w:szCs w:val="20"/>
              </w:rPr>
              <w:t>Názov ukazovateľa</w:t>
            </w:r>
            <w:r w:rsidR="0038774F" w:rsidRPr="006C0682">
              <w:rPr>
                <w:rFonts w:eastAsia="Times New Roman" w:cs="Times New Roman"/>
                <w:b/>
                <w:color w:val="FFFFFF"/>
                <w:sz w:val="20"/>
                <w:szCs w:val="20"/>
              </w:rPr>
              <w:t xml:space="preserve"> </w:t>
            </w:r>
            <w:r w:rsidRPr="006C0682">
              <w:rPr>
                <w:rFonts w:eastAsia="Times New Roman" w:cs="Times New Roman"/>
                <w:b/>
                <w:color w:val="FFFFFF"/>
                <w:sz w:val="20"/>
                <w:szCs w:val="20"/>
              </w:rPr>
              <w:t>(tis. eur)</w:t>
            </w:r>
          </w:p>
        </w:tc>
        <w:tc>
          <w:tcPr>
            <w:tcW w:w="618" w:type="pct"/>
            <w:shd w:val="clear" w:color="auto" w:fill="0070C0"/>
            <w:vAlign w:val="center"/>
          </w:tcPr>
          <w:p w14:paraId="200A407D" w14:textId="77777777" w:rsidR="0084732D" w:rsidRPr="002E55A3" w:rsidRDefault="0084732D" w:rsidP="00CA4572">
            <w:pPr>
              <w:jc w:val="center"/>
              <w:rPr>
                <w:rFonts w:eastAsia="Times New Roman" w:cs="Times New Roman"/>
                <w:b/>
                <w:color w:val="FFFFFF"/>
                <w:sz w:val="20"/>
                <w:szCs w:val="20"/>
              </w:rPr>
            </w:pPr>
            <w:r w:rsidRPr="002E55A3">
              <w:rPr>
                <w:rFonts w:eastAsia="Times New Roman" w:cs="Times New Roman"/>
                <w:b/>
                <w:color w:val="FFFFFF"/>
                <w:sz w:val="20"/>
                <w:szCs w:val="20"/>
              </w:rPr>
              <w:t>2017</w:t>
            </w:r>
          </w:p>
        </w:tc>
        <w:tc>
          <w:tcPr>
            <w:tcW w:w="618" w:type="pct"/>
            <w:shd w:val="clear" w:color="auto" w:fill="0070C0"/>
            <w:vAlign w:val="center"/>
          </w:tcPr>
          <w:p w14:paraId="4458CC42" w14:textId="77777777" w:rsidR="0084732D" w:rsidRPr="0038774F" w:rsidRDefault="0084732D" w:rsidP="00CA4572">
            <w:pPr>
              <w:jc w:val="center"/>
              <w:rPr>
                <w:rFonts w:eastAsia="Times New Roman" w:cs="Times New Roman"/>
                <w:b/>
                <w:color w:val="FFFFFF"/>
                <w:sz w:val="20"/>
                <w:szCs w:val="20"/>
              </w:rPr>
            </w:pPr>
            <w:r w:rsidRPr="0038774F">
              <w:rPr>
                <w:rFonts w:eastAsia="Times New Roman" w:cs="Times New Roman"/>
                <w:b/>
                <w:color w:val="FFFFFF"/>
                <w:sz w:val="20"/>
                <w:szCs w:val="20"/>
              </w:rPr>
              <w:t>2018</w:t>
            </w:r>
          </w:p>
        </w:tc>
        <w:tc>
          <w:tcPr>
            <w:tcW w:w="618" w:type="pct"/>
            <w:shd w:val="clear" w:color="auto" w:fill="0070C0"/>
            <w:vAlign w:val="center"/>
          </w:tcPr>
          <w:p w14:paraId="1DA0D972" w14:textId="77777777" w:rsidR="0084732D" w:rsidRPr="0038774F" w:rsidRDefault="0084732D" w:rsidP="00CA4572">
            <w:pPr>
              <w:jc w:val="center"/>
              <w:rPr>
                <w:rFonts w:eastAsia="Times New Roman" w:cs="Times New Roman"/>
                <w:b/>
                <w:color w:val="FFFFFF"/>
                <w:sz w:val="20"/>
                <w:szCs w:val="20"/>
              </w:rPr>
            </w:pPr>
            <w:r w:rsidRPr="0038774F">
              <w:rPr>
                <w:rFonts w:eastAsia="Times New Roman" w:cs="Times New Roman"/>
                <w:b/>
                <w:color w:val="FFFFFF"/>
                <w:sz w:val="20"/>
                <w:szCs w:val="20"/>
              </w:rPr>
              <w:t>2019</w:t>
            </w:r>
          </w:p>
        </w:tc>
        <w:tc>
          <w:tcPr>
            <w:tcW w:w="672" w:type="pct"/>
            <w:shd w:val="clear" w:color="auto" w:fill="0070C0"/>
            <w:vAlign w:val="center"/>
          </w:tcPr>
          <w:p w14:paraId="4A7DCD85" w14:textId="6F21097B" w:rsidR="0084732D" w:rsidRPr="0038774F" w:rsidRDefault="0072153C">
            <w:pPr>
              <w:jc w:val="center"/>
              <w:rPr>
                <w:rFonts w:eastAsia="Times New Roman" w:cs="Times New Roman"/>
                <w:b/>
                <w:color w:val="FFFFFF"/>
                <w:sz w:val="20"/>
                <w:szCs w:val="20"/>
              </w:rPr>
            </w:pPr>
            <w:r w:rsidRPr="0038774F">
              <w:rPr>
                <w:rFonts w:eastAsia="Times New Roman" w:cs="Times New Roman"/>
                <w:b/>
                <w:color w:val="FFFFFF"/>
                <w:sz w:val="20"/>
                <w:szCs w:val="20"/>
              </w:rPr>
              <w:t>Rozdiel</w:t>
            </w:r>
          </w:p>
        </w:tc>
        <w:tc>
          <w:tcPr>
            <w:tcW w:w="700" w:type="pct"/>
            <w:shd w:val="clear" w:color="auto" w:fill="0070C0"/>
            <w:vAlign w:val="center"/>
          </w:tcPr>
          <w:p w14:paraId="21C5047C" w14:textId="7A2FAC78" w:rsidR="0084732D" w:rsidRPr="0038774F" w:rsidRDefault="0084732D">
            <w:pPr>
              <w:jc w:val="center"/>
              <w:rPr>
                <w:rFonts w:eastAsia="Times New Roman" w:cs="Times New Roman"/>
                <w:b/>
                <w:color w:val="FFFFFF"/>
                <w:sz w:val="20"/>
                <w:szCs w:val="20"/>
              </w:rPr>
            </w:pPr>
            <w:r w:rsidRPr="0038774F">
              <w:rPr>
                <w:rFonts w:eastAsia="Times New Roman" w:cs="Times New Roman"/>
                <w:b/>
                <w:color w:val="FFFFFF"/>
                <w:sz w:val="20"/>
                <w:szCs w:val="20"/>
              </w:rPr>
              <w:t>Index (</w:t>
            </w:r>
            <w:r w:rsidR="0072153C" w:rsidRPr="0038774F">
              <w:rPr>
                <w:rFonts w:eastAsia="Times New Roman" w:cs="Times New Roman"/>
                <w:b/>
                <w:color w:val="FFFFFF"/>
                <w:sz w:val="20"/>
                <w:szCs w:val="20"/>
              </w:rPr>
              <w:t xml:space="preserve">v </w:t>
            </w:r>
            <w:r w:rsidRPr="0038774F">
              <w:rPr>
                <w:rFonts w:eastAsia="Times New Roman" w:cs="Times New Roman"/>
                <w:b/>
                <w:color w:val="FFFFFF"/>
                <w:sz w:val="20"/>
                <w:szCs w:val="20"/>
              </w:rPr>
              <w:t>%)</w:t>
            </w:r>
          </w:p>
        </w:tc>
      </w:tr>
      <w:tr w:rsidR="0038774F" w:rsidRPr="0038774F" w14:paraId="2449D2A3" w14:textId="77777777" w:rsidTr="00A57641">
        <w:trPr>
          <w:trHeight w:val="227"/>
        </w:trPr>
        <w:tc>
          <w:tcPr>
            <w:tcW w:w="1772" w:type="pct"/>
          </w:tcPr>
          <w:p w14:paraId="29E9E722" w14:textId="34E23889" w:rsidR="0038774F" w:rsidRPr="006C0682" w:rsidRDefault="0038774F" w:rsidP="006C0682">
            <w:pPr>
              <w:jc w:val="center"/>
              <w:rPr>
                <w:rFonts w:eastAsia="Times New Roman" w:cs="Times New Roman"/>
                <w:sz w:val="20"/>
                <w:szCs w:val="20"/>
              </w:rPr>
            </w:pPr>
            <w:r>
              <w:rPr>
                <w:rFonts w:eastAsia="Times New Roman" w:cs="Times New Roman"/>
                <w:sz w:val="20"/>
                <w:szCs w:val="20"/>
              </w:rPr>
              <w:t>a</w:t>
            </w:r>
          </w:p>
        </w:tc>
        <w:tc>
          <w:tcPr>
            <w:tcW w:w="618" w:type="pct"/>
          </w:tcPr>
          <w:p w14:paraId="0D54BE8C" w14:textId="7E987034" w:rsidR="0038774F" w:rsidRPr="002E55A3" w:rsidRDefault="0038774F" w:rsidP="006C0682">
            <w:pPr>
              <w:jc w:val="center"/>
              <w:rPr>
                <w:rFonts w:eastAsia="Times New Roman" w:cs="Times New Roman"/>
                <w:sz w:val="20"/>
                <w:szCs w:val="20"/>
              </w:rPr>
            </w:pPr>
            <w:r>
              <w:rPr>
                <w:rFonts w:eastAsia="Times New Roman" w:cs="Times New Roman"/>
                <w:sz w:val="20"/>
                <w:szCs w:val="20"/>
              </w:rPr>
              <w:t>1</w:t>
            </w:r>
          </w:p>
        </w:tc>
        <w:tc>
          <w:tcPr>
            <w:tcW w:w="618" w:type="pct"/>
          </w:tcPr>
          <w:p w14:paraId="071EC75F" w14:textId="3C72F771" w:rsidR="0038774F" w:rsidRPr="002E55A3" w:rsidRDefault="0038774F" w:rsidP="006C0682">
            <w:pPr>
              <w:jc w:val="center"/>
              <w:rPr>
                <w:rFonts w:eastAsia="Times New Roman" w:cs="Times New Roman"/>
                <w:sz w:val="20"/>
                <w:szCs w:val="20"/>
              </w:rPr>
            </w:pPr>
            <w:r>
              <w:rPr>
                <w:rFonts w:eastAsia="Times New Roman" w:cs="Times New Roman"/>
                <w:sz w:val="20"/>
                <w:szCs w:val="20"/>
              </w:rPr>
              <w:t>2</w:t>
            </w:r>
          </w:p>
        </w:tc>
        <w:tc>
          <w:tcPr>
            <w:tcW w:w="618" w:type="pct"/>
          </w:tcPr>
          <w:p w14:paraId="42D33811" w14:textId="45617CF2" w:rsidR="0038774F" w:rsidRPr="002E55A3" w:rsidRDefault="0038774F" w:rsidP="006C0682">
            <w:pPr>
              <w:jc w:val="center"/>
              <w:rPr>
                <w:rFonts w:eastAsia="Times New Roman" w:cs="Times New Roman"/>
                <w:sz w:val="20"/>
                <w:szCs w:val="20"/>
              </w:rPr>
            </w:pPr>
            <w:r>
              <w:rPr>
                <w:rFonts w:eastAsia="Times New Roman" w:cs="Times New Roman"/>
                <w:sz w:val="20"/>
                <w:szCs w:val="20"/>
              </w:rPr>
              <w:t>3</w:t>
            </w:r>
          </w:p>
        </w:tc>
        <w:tc>
          <w:tcPr>
            <w:tcW w:w="672" w:type="pct"/>
          </w:tcPr>
          <w:p w14:paraId="3C1AB2A0" w14:textId="3CA46407" w:rsidR="0038774F" w:rsidRPr="002E55A3" w:rsidRDefault="0038774F" w:rsidP="006C0682">
            <w:pPr>
              <w:jc w:val="center"/>
              <w:rPr>
                <w:rFonts w:eastAsia="Times New Roman" w:cs="Times New Roman"/>
                <w:sz w:val="20"/>
                <w:szCs w:val="20"/>
              </w:rPr>
            </w:pPr>
            <w:r>
              <w:rPr>
                <w:rFonts w:eastAsia="Times New Roman" w:cs="Times New Roman"/>
                <w:sz w:val="20"/>
                <w:szCs w:val="20"/>
              </w:rPr>
              <w:t>4 = 3 - 2</w:t>
            </w:r>
          </w:p>
        </w:tc>
        <w:tc>
          <w:tcPr>
            <w:tcW w:w="700" w:type="pct"/>
          </w:tcPr>
          <w:p w14:paraId="674384C8" w14:textId="2BA92570" w:rsidR="0038774F" w:rsidRPr="002E55A3" w:rsidRDefault="0038774F" w:rsidP="006C0682">
            <w:pPr>
              <w:jc w:val="center"/>
              <w:rPr>
                <w:rFonts w:eastAsia="Times New Roman" w:cs="Times New Roman"/>
                <w:sz w:val="20"/>
                <w:szCs w:val="20"/>
              </w:rPr>
            </w:pPr>
            <w:r>
              <w:rPr>
                <w:rFonts w:eastAsia="Times New Roman" w:cs="Times New Roman"/>
                <w:sz w:val="20"/>
                <w:szCs w:val="20"/>
              </w:rPr>
              <w:t>5 = 3 / 2</w:t>
            </w:r>
          </w:p>
        </w:tc>
      </w:tr>
      <w:tr w:rsidR="0084732D" w:rsidRPr="005A08CB" w14:paraId="7C541FA1" w14:textId="77777777" w:rsidTr="00A57641">
        <w:trPr>
          <w:trHeight w:val="227"/>
        </w:trPr>
        <w:tc>
          <w:tcPr>
            <w:tcW w:w="1772" w:type="pct"/>
          </w:tcPr>
          <w:p w14:paraId="0FAF5CE3" w14:textId="77777777" w:rsidR="0084732D" w:rsidRPr="005A08CB" w:rsidRDefault="0084732D" w:rsidP="00CA4572">
            <w:pPr>
              <w:jc w:val="both"/>
              <w:rPr>
                <w:rFonts w:eastAsia="Times New Roman" w:cs="Times New Roman"/>
                <w:b/>
                <w:sz w:val="20"/>
                <w:szCs w:val="20"/>
              </w:rPr>
            </w:pPr>
            <w:r w:rsidRPr="005A08CB">
              <w:rPr>
                <w:rFonts w:eastAsia="Times New Roman" w:cs="Times New Roman"/>
                <w:b/>
                <w:sz w:val="20"/>
                <w:szCs w:val="20"/>
              </w:rPr>
              <w:t>Bilančný zostatok VÚC</w:t>
            </w:r>
          </w:p>
        </w:tc>
        <w:tc>
          <w:tcPr>
            <w:tcW w:w="618" w:type="pct"/>
          </w:tcPr>
          <w:p w14:paraId="558B29EF" w14:textId="77777777" w:rsidR="0084732D" w:rsidRPr="005A08CB" w:rsidRDefault="0084732D" w:rsidP="00CA4572">
            <w:pPr>
              <w:jc w:val="right"/>
              <w:rPr>
                <w:rFonts w:eastAsia="Times New Roman" w:cs="Times New Roman"/>
                <w:sz w:val="20"/>
                <w:szCs w:val="20"/>
              </w:rPr>
            </w:pPr>
            <w:r w:rsidRPr="005A08CB">
              <w:rPr>
                <w:rFonts w:eastAsia="Times New Roman" w:cs="Times New Roman"/>
                <w:sz w:val="20"/>
                <w:szCs w:val="20"/>
              </w:rPr>
              <w:t>154 861</w:t>
            </w:r>
          </w:p>
        </w:tc>
        <w:tc>
          <w:tcPr>
            <w:tcW w:w="618" w:type="pct"/>
          </w:tcPr>
          <w:p w14:paraId="56D49BE0" w14:textId="77777777" w:rsidR="0084732D" w:rsidRPr="005A08CB" w:rsidRDefault="0084732D" w:rsidP="00CA4572">
            <w:pPr>
              <w:jc w:val="right"/>
              <w:rPr>
                <w:rFonts w:eastAsia="Times New Roman" w:cs="Times New Roman"/>
                <w:sz w:val="20"/>
                <w:szCs w:val="20"/>
              </w:rPr>
            </w:pPr>
            <w:r>
              <w:rPr>
                <w:rFonts w:eastAsia="Times New Roman" w:cs="Times New Roman"/>
                <w:sz w:val="20"/>
                <w:szCs w:val="20"/>
              </w:rPr>
              <w:t>210 680</w:t>
            </w:r>
          </w:p>
        </w:tc>
        <w:tc>
          <w:tcPr>
            <w:tcW w:w="618" w:type="pct"/>
          </w:tcPr>
          <w:p w14:paraId="356CC95A" w14:textId="77777777" w:rsidR="0084732D" w:rsidRPr="005A08CB" w:rsidRDefault="0084732D" w:rsidP="00CA4572">
            <w:pPr>
              <w:jc w:val="right"/>
              <w:rPr>
                <w:rFonts w:eastAsia="Times New Roman" w:cs="Times New Roman"/>
                <w:sz w:val="20"/>
                <w:szCs w:val="20"/>
              </w:rPr>
            </w:pPr>
            <w:r>
              <w:rPr>
                <w:rFonts w:eastAsia="Times New Roman" w:cs="Times New Roman"/>
                <w:sz w:val="20"/>
                <w:szCs w:val="20"/>
              </w:rPr>
              <w:t>229 284</w:t>
            </w:r>
          </w:p>
        </w:tc>
        <w:tc>
          <w:tcPr>
            <w:tcW w:w="672" w:type="pct"/>
          </w:tcPr>
          <w:p w14:paraId="29754788" w14:textId="77777777" w:rsidR="0084732D" w:rsidRPr="008749AD" w:rsidRDefault="0084732D" w:rsidP="00CA4572">
            <w:pPr>
              <w:jc w:val="right"/>
              <w:rPr>
                <w:rFonts w:eastAsia="Times New Roman" w:cs="Times New Roman"/>
                <w:sz w:val="20"/>
                <w:szCs w:val="20"/>
              </w:rPr>
            </w:pPr>
            <w:r>
              <w:rPr>
                <w:rFonts w:eastAsia="Times New Roman" w:cs="Times New Roman"/>
                <w:sz w:val="20"/>
                <w:szCs w:val="20"/>
              </w:rPr>
              <w:t>18</w:t>
            </w:r>
            <w:r w:rsidRPr="008749AD">
              <w:rPr>
                <w:rFonts w:eastAsia="Times New Roman" w:cs="Times New Roman"/>
                <w:sz w:val="20"/>
                <w:szCs w:val="20"/>
              </w:rPr>
              <w:t xml:space="preserve"> </w:t>
            </w:r>
            <w:r>
              <w:rPr>
                <w:rFonts w:eastAsia="Times New Roman" w:cs="Times New Roman"/>
                <w:sz w:val="20"/>
                <w:szCs w:val="20"/>
              </w:rPr>
              <w:t>604</w:t>
            </w:r>
          </w:p>
        </w:tc>
        <w:tc>
          <w:tcPr>
            <w:tcW w:w="700" w:type="pct"/>
          </w:tcPr>
          <w:p w14:paraId="1345EAF9" w14:textId="77777777" w:rsidR="0084732D" w:rsidRPr="008749AD" w:rsidRDefault="0084732D" w:rsidP="00CA4572">
            <w:pPr>
              <w:jc w:val="right"/>
              <w:rPr>
                <w:rFonts w:eastAsia="Times New Roman" w:cs="Times New Roman"/>
                <w:sz w:val="20"/>
                <w:szCs w:val="20"/>
              </w:rPr>
            </w:pPr>
            <w:r w:rsidRPr="00B50A6C">
              <w:rPr>
                <w:rFonts w:eastAsia="Times New Roman" w:cs="Times New Roman"/>
                <w:sz w:val="20"/>
                <w:szCs w:val="20"/>
              </w:rPr>
              <w:t>1</w:t>
            </w:r>
            <w:r>
              <w:rPr>
                <w:rFonts w:eastAsia="Times New Roman" w:cs="Times New Roman"/>
                <w:sz w:val="20"/>
                <w:szCs w:val="20"/>
              </w:rPr>
              <w:t>08</w:t>
            </w:r>
            <w:r w:rsidRPr="00B50A6C">
              <w:rPr>
                <w:rFonts w:eastAsia="Times New Roman" w:cs="Times New Roman"/>
                <w:sz w:val="20"/>
                <w:szCs w:val="20"/>
              </w:rPr>
              <w:t>,</w:t>
            </w:r>
            <w:r>
              <w:rPr>
                <w:rFonts w:eastAsia="Times New Roman" w:cs="Times New Roman"/>
                <w:sz w:val="20"/>
                <w:szCs w:val="20"/>
              </w:rPr>
              <w:t>8</w:t>
            </w:r>
          </w:p>
        </w:tc>
      </w:tr>
      <w:tr w:rsidR="0084732D" w:rsidRPr="005A08CB" w14:paraId="01D6C870" w14:textId="77777777" w:rsidTr="00A57641">
        <w:trPr>
          <w:trHeight w:val="227"/>
        </w:trPr>
        <w:tc>
          <w:tcPr>
            <w:tcW w:w="1772" w:type="pct"/>
          </w:tcPr>
          <w:p w14:paraId="424E6723" w14:textId="77777777" w:rsidR="0084732D" w:rsidRPr="005A08CB" w:rsidRDefault="0084732D" w:rsidP="00CA4572">
            <w:pPr>
              <w:jc w:val="both"/>
              <w:rPr>
                <w:rFonts w:eastAsia="Times New Roman" w:cs="Times New Roman"/>
                <w:sz w:val="20"/>
                <w:szCs w:val="20"/>
              </w:rPr>
            </w:pPr>
            <w:r w:rsidRPr="005A08CB">
              <w:rPr>
                <w:rFonts w:eastAsia="Times New Roman" w:cs="Times New Roman"/>
                <w:sz w:val="20"/>
                <w:szCs w:val="20"/>
              </w:rPr>
              <w:t>z toho:</w:t>
            </w:r>
          </w:p>
        </w:tc>
        <w:tc>
          <w:tcPr>
            <w:tcW w:w="618" w:type="pct"/>
          </w:tcPr>
          <w:p w14:paraId="54D78919" w14:textId="77777777" w:rsidR="0084732D" w:rsidRPr="005A08CB" w:rsidRDefault="0084732D" w:rsidP="00CA4572">
            <w:pPr>
              <w:jc w:val="right"/>
              <w:rPr>
                <w:rFonts w:eastAsia="Times New Roman" w:cs="Times New Roman"/>
                <w:sz w:val="20"/>
                <w:szCs w:val="20"/>
              </w:rPr>
            </w:pPr>
          </w:p>
        </w:tc>
        <w:tc>
          <w:tcPr>
            <w:tcW w:w="618" w:type="pct"/>
          </w:tcPr>
          <w:p w14:paraId="6BB366AF" w14:textId="77777777" w:rsidR="0084732D" w:rsidRPr="005A08CB" w:rsidRDefault="0084732D" w:rsidP="00CA4572">
            <w:pPr>
              <w:jc w:val="right"/>
              <w:rPr>
                <w:rFonts w:eastAsia="Times New Roman" w:cs="Times New Roman"/>
                <w:sz w:val="20"/>
                <w:szCs w:val="20"/>
              </w:rPr>
            </w:pPr>
          </w:p>
        </w:tc>
        <w:tc>
          <w:tcPr>
            <w:tcW w:w="618" w:type="pct"/>
          </w:tcPr>
          <w:p w14:paraId="5C774946" w14:textId="77777777" w:rsidR="0084732D" w:rsidRPr="005A08CB" w:rsidRDefault="0084732D" w:rsidP="00CA4572">
            <w:pPr>
              <w:jc w:val="right"/>
              <w:rPr>
                <w:rFonts w:eastAsia="Times New Roman" w:cs="Times New Roman"/>
                <w:sz w:val="20"/>
                <w:szCs w:val="20"/>
              </w:rPr>
            </w:pPr>
          </w:p>
        </w:tc>
        <w:tc>
          <w:tcPr>
            <w:tcW w:w="672" w:type="pct"/>
          </w:tcPr>
          <w:p w14:paraId="6742EC73" w14:textId="77777777" w:rsidR="0084732D" w:rsidRPr="008749AD" w:rsidRDefault="0084732D" w:rsidP="00CA4572">
            <w:pPr>
              <w:jc w:val="right"/>
              <w:rPr>
                <w:rFonts w:eastAsia="Times New Roman" w:cs="Times New Roman"/>
                <w:sz w:val="20"/>
                <w:szCs w:val="20"/>
              </w:rPr>
            </w:pPr>
          </w:p>
        </w:tc>
        <w:tc>
          <w:tcPr>
            <w:tcW w:w="700" w:type="pct"/>
          </w:tcPr>
          <w:p w14:paraId="0D75F8CF" w14:textId="77777777" w:rsidR="0084732D" w:rsidRPr="008749AD" w:rsidRDefault="0084732D" w:rsidP="00CA4572">
            <w:pPr>
              <w:jc w:val="right"/>
              <w:rPr>
                <w:rFonts w:eastAsia="Times New Roman" w:cs="Times New Roman"/>
                <w:sz w:val="20"/>
                <w:szCs w:val="20"/>
              </w:rPr>
            </w:pPr>
          </w:p>
        </w:tc>
      </w:tr>
      <w:tr w:rsidR="0084732D" w:rsidRPr="005A08CB" w14:paraId="089AA757" w14:textId="77777777" w:rsidTr="00A57641">
        <w:trPr>
          <w:trHeight w:val="227"/>
        </w:trPr>
        <w:tc>
          <w:tcPr>
            <w:tcW w:w="1772" w:type="pct"/>
            <w:vAlign w:val="bottom"/>
          </w:tcPr>
          <w:p w14:paraId="27D41CBF" w14:textId="77777777" w:rsidR="0084732D" w:rsidRPr="005A08CB" w:rsidRDefault="0084732D" w:rsidP="006C0682">
            <w:pPr>
              <w:ind w:firstLine="176"/>
              <w:contextualSpacing/>
              <w:jc w:val="both"/>
              <w:rPr>
                <w:rFonts w:eastAsia="Times New Roman" w:cs="Times New Roman"/>
                <w:sz w:val="20"/>
                <w:szCs w:val="20"/>
              </w:rPr>
            </w:pPr>
            <w:r w:rsidRPr="005A08CB">
              <w:rPr>
                <w:rFonts w:eastAsia="Times New Roman" w:cs="Times New Roman"/>
                <w:bCs/>
                <w:sz w:val="20"/>
                <w:szCs w:val="20"/>
              </w:rPr>
              <w:t>príjmy VÚC</w:t>
            </w:r>
          </w:p>
        </w:tc>
        <w:tc>
          <w:tcPr>
            <w:tcW w:w="618" w:type="pct"/>
          </w:tcPr>
          <w:p w14:paraId="0F5F9DBD" w14:textId="77777777" w:rsidR="0084732D" w:rsidRPr="005A08CB" w:rsidRDefault="0084732D" w:rsidP="00CA4572">
            <w:pPr>
              <w:jc w:val="right"/>
              <w:rPr>
                <w:rFonts w:eastAsia="Times New Roman" w:cs="Times New Roman"/>
                <w:sz w:val="20"/>
                <w:szCs w:val="20"/>
              </w:rPr>
            </w:pPr>
            <w:r w:rsidRPr="005A08CB">
              <w:rPr>
                <w:rFonts w:eastAsia="Times New Roman" w:cs="Times New Roman"/>
                <w:sz w:val="20"/>
                <w:szCs w:val="20"/>
              </w:rPr>
              <w:t>1 519 376</w:t>
            </w:r>
          </w:p>
        </w:tc>
        <w:tc>
          <w:tcPr>
            <w:tcW w:w="618" w:type="pct"/>
          </w:tcPr>
          <w:p w14:paraId="623317AD" w14:textId="77777777" w:rsidR="0084732D" w:rsidRPr="005A08CB" w:rsidRDefault="0084732D" w:rsidP="00CA4572">
            <w:pPr>
              <w:jc w:val="right"/>
              <w:rPr>
                <w:rFonts w:eastAsia="Times New Roman" w:cs="Times New Roman"/>
                <w:sz w:val="20"/>
                <w:szCs w:val="20"/>
              </w:rPr>
            </w:pPr>
            <w:r>
              <w:rPr>
                <w:rFonts w:eastAsia="Times New Roman" w:cs="Times New Roman"/>
                <w:sz w:val="20"/>
                <w:szCs w:val="20"/>
              </w:rPr>
              <w:t>1 585 465</w:t>
            </w:r>
          </w:p>
        </w:tc>
        <w:tc>
          <w:tcPr>
            <w:tcW w:w="618" w:type="pct"/>
          </w:tcPr>
          <w:p w14:paraId="5D2034A4" w14:textId="77777777" w:rsidR="0084732D" w:rsidRPr="005A08CB" w:rsidRDefault="0084732D" w:rsidP="00CA4572">
            <w:pPr>
              <w:jc w:val="right"/>
              <w:rPr>
                <w:rFonts w:eastAsia="Times New Roman" w:cs="Times New Roman"/>
                <w:sz w:val="20"/>
                <w:szCs w:val="20"/>
              </w:rPr>
            </w:pPr>
            <w:r w:rsidRPr="005A08CB">
              <w:rPr>
                <w:rFonts w:eastAsia="Times New Roman" w:cs="Times New Roman"/>
                <w:sz w:val="20"/>
                <w:szCs w:val="20"/>
              </w:rPr>
              <w:t>1 </w:t>
            </w:r>
            <w:r>
              <w:rPr>
                <w:rFonts w:eastAsia="Times New Roman" w:cs="Times New Roman"/>
                <w:sz w:val="20"/>
                <w:szCs w:val="20"/>
              </w:rPr>
              <w:t>822</w:t>
            </w:r>
            <w:r w:rsidRPr="005A08CB">
              <w:rPr>
                <w:rFonts w:eastAsia="Times New Roman" w:cs="Times New Roman"/>
                <w:sz w:val="20"/>
                <w:szCs w:val="20"/>
              </w:rPr>
              <w:t xml:space="preserve"> </w:t>
            </w:r>
            <w:r>
              <w:rPr>
                <w:rFonts w:eastAsia="Times New Roman" w:cs="Times New Roman"/>
                <w:sz w:val="20"/>
                <w:szCs w:val="20"/>
              </w:rPr>
              <w:t>790</w:t>
            </w:r>
          </w:p>
        </w:tc>
        <w:tc>
          <w:tcPr>
            <w:tcW w:w="672" w:type="pct"/>
          </w:tcPr>
          <w:p w14:paraId="37906DE4" w14:textId="77777777" w:rsidR="0084732D" w:rsidRPr="008749AD" w:rsidRDefault="0084732D" w:rsidP="00CA4572">
            <w:pPr>
              <w:jc w:val="right"/>
              <w:rPr>
                <w:rFonts w:eastAsia="Times New Roman" w:cs="Times New Roman"/>
                <w:sz w:val="20"/>
                <w:szCs w:val="20"/>
              </w:rPr>
            </w:pPr>
            <w:r>
              <w:rPr>
                <w:rFonts w:eastAsia="Times New Roman" w:cs="Times New Roman"/>
                <w:sz w:val="20"/>
                <w:szCs w:val="20"/>
              </w:rPr>
              <w:t>237</w:t>
            </w:r>
            <w:r w:rsidRPr="008749AD">
              <w:rPr>
                <w:rFonts w:eastAsia="Times New Roman" w:cs="Times New Roman"/>
                <w:sz w:val="20"/>
                <w:szCs w:val="20"/>
              </w:rPr>
              <w:t xml:space="preserve"> </w:t>
            </w:r>
            <w:r>
              <w:rPr>
                <w:rFonts w:eastAsia="Times New Roman" w:cs="Times New Roman"/>
                <w:sz w:val="20"/>
                <w:szCs w:val="20"/>
              </w:rPr>
              <w:t>325</w:t>
            </w:r>
          </w:p>
        </w:tc>
        <w:tc>
          <w:tcPr>
            <w:tcW w:w="700" w:type="pct"/>
          </w:tcPr>
          <w:p w14:paraId="3AD49666" w14:textId="77777777" w:rsidR="0084732D" w:rsidRPr="008749AD" w:rsidRDefault="0084732D" w:rsidP="00CA4572">
            <w:pPr>
              <w:jc w:val="right"/>
              <w:rPr>
                <w:rFonts w:eastAsia="Times New Roman" w:cs="Times New Roman"/>
                <w:sz w:val="20"/>
                <w:szCs w:val="20"/>
              </w:rPr>
            </w:pPr>
            <w:r w:rsidRPr="00B50A6C">
              <w:rPr>
                <w:rFonts w:eastAsia="Times New Roman" w:cs="Times New Roman"/>
                <w:sz w:val="20"/>
                <w:szCs w:val="20"/>
              </w:rPr>
              <w:t>1</w:t>
            </w:r>
            <w:r>
              <w:rPr>
                <w:rFonts w:eastAsia="Times New Roman" w:cs="Times New Roman"/>
                <w:sz w:val="20"/>
                <w:szCs w:val="20"/>
              </w:rPr>
              <w:t>15</w:t>
            </w:r>
            <w:r w:rsidRPr="00B50A6C">
              <w:rPr>
                <w:rFonts w:eastAsia="Times New Roman" w:cs="Times New Roman"/>
                <w:sz w:val="20"/>
                <w:szCs w:val="20"/>
              </w:rPr>
              <w:t>,</w:t>
            </w:r>
            <w:r>
              <w:rPr>
                <w:rFonts w:eastAsia="Times New Roman" w:cs="Times New Roman"/>
                <w:sz w:val="20"/>
                <w:szCs w:val="20"/>
              </w:rPr>
              <w:t>0</w:t>
            </w:r>
          </w:p>
        </w:tc>
      </w:tr>
      <w:tr w:rsidR="0084732D" w:rsidRPr="005A08CB" w14:paraId="1D0A2295" w14:textId="77777777" w:rsidTr="00A57641">
        <w:trPr>
          <w:trHeight w:val="227"/>
        </w:trPr>
        <w:tc>
          <w:tcPr>
            <w:tcW w:w="1772" w:type="pct"/>
            <w:vAlign w:val="bottom"/>
          </w:tcPr>
          <w:p w14:paraId="301277BE" w14:textId="77777777" w:rsidR="0084732D" w:rsidRPr="005A08CB" w:rsidRDefault="0084732D" w:rsidP="006C0682">
            <w:pPr>
              <w:ind w:firstLine="176"/>
              <w:contextualSpacing/>
              <w:jc w:val="both"/>
              <w:rPr>
                <w:rFonts w:eastAsia="Times New Roman" w:cs="Times New Roman"/>
                <w:sz w:val="20"/>
                <w:szCs w:val="20"/>
              </w:rPr>
            </w:pPr>
            <w:r w:rsidRPr="005A08CB">
              <w:rPr>
                <w:rFonts w:eastAsia="Times New Roman" w:cs="Times New Roman"/>
                <w:bCs/>
                <w:sz w:val="20"/>
                <w:szCs w:val="20"/>
              </w:rPr>
              <w:t>výdavky VÚC</w:t>
            </w:r>
          </w:p>
        </w:tc>
        <w:tc>
          <w:tcPr>
            <w:tcW w:w="618" w:type="pct"/>
          </w:tcPr>
          <w:p w14:paraId="4F888445" w14:textId="77777777" w:rsidR="0084732D" w:rsidRPr="005A08CB" w:rsidRDefault="0084732D" w:rsidP="00CA4572">
            <w:pPr>
              <w:jc w:val="right"/>
              <w:rPr>
                <w:rFonts w:eastAsia="Times New Roman" w:cs="Times New Roman"/>
                <w:sz w:val="20"/>
                <w:szCs w:val="20"/>
              </w:rPr>
            </w:pPr>
            <w:r w:rsidRPr="005A08CB">
              <w:rPr>
                <w:rFonts w:eastAsia="Times New Roman" w:cs="Times New Roman"/>
                <w:sz w:val="20"/>
                <w:szCs w:val="20"/>
              </w:rPr>
              <w:t>1 364 515</w:t>
            </w:r>
          </w:p>
        </w:tc>
        <w:tc>
          <w:tcPr>
            <w:tcW w:w="618" w:type="pct"/>
          </w:tcPr>
          <w:p w14:paraId="43473983" w14:textId="77777777" w:rsidR="0084732D" w:rsidRPr="005A08CB" w:rsidRDefault="0084732D" w:rsidP="00CA4572">
            <w:pPr>
              <w:jc w:val="right"/>
              <w:rPr>
                <w:rFonts w:eastAsia="Times New Roman" w:cs="Times New Roman"/>
                <w:sz w:val="20"/>
                <w:szCs w:val="20"/>
              </w:rPr>
            </w:pPr>
            <w:r>
              <w:rPr>
                <w:rFonts w:eastAsia="Times New Roman" w:cs="Times New Roman"/>
                <w:sz w:val="20"/>
                <w:szCs w:val="20"/>
              </w:rPr>
              <w:t>1 374 785</w:t>
            </w:r>
          </w:p>
        </w:tc>
        <w:tc>
          <w:tcPr>
            <w:tcW w:w="618" w:type="pct"/>
          </w:tcPr>
          <w:p w14:paraId="1E762664" w14:textId="77777777" w:rsidR="0084732D" w:rsidRPr="005A08CB" w:rsidRDefault="0084732D" w:rsidP="00CA4572">
            <w:pPr>
              <w:jc w:val="right"/>
              <w:rPr>
                <w:rFonts w:eastAsia="Times New Roman" w:cs="Times New Roman"/>
                <w:sz w:val="20"/>
                <w:szCs w:val="20"/>
              </w:rPr>
            </w:pPr>
            <w:r w:rsidRPr="005A08CB">
              <w:rPr>
                <w:rFonts w:eastAsia="Times New Roman" w:cs="Times New Roman"/>
                <w:sz w:val="20"/>
                <w:szCs w:val="20"/>
              </w:rPr>
              <w:t>1</w:t>
            </w:r>
            <w:r>
              <w:rPr>
                <w:rFonts w:eastAsia="Times New Roman" w:cs="Times New Roman"/>
                <w:sz w:val="20"/>
                <w:szCs w:val="20"/>
              </w:rPr>
              <w:t> 593 506</w:t>
            </w:r>
          </w:p>
        </w:tc>
        <w:tc>
          <w:tcPr>
            <w:tcW w:w="672" w:type="pct"/>
          </w:tcPr>
          <w:p w14:paraId="35AB8EF7" w14:textId="77777777" w:rsidR="0084732D" w:rsidRPr="008749AD" w:rsidRDefault="0084732D" w:rsidP="00CA4572">
            <w:pPr>
              <w:jc w:val="right"/>
              <w:rPr>
                <w:rFonts w:eastAsia="Times New Roman" w:cs="Times New Roman"/>
                <w:sz w:val="20"/>
                <w:szCs w:val="20"/>
              </w:rPr>
            </w:pPr>
            <w:r>
              <w:rPr>
                <w:rFonts w:eastAsia="Times New Roman" w:cs="Times New Roman"/>
                <w:sz w:val="20"/>
                <w:szCs w:val="20"/>
              </w:rPr>
              <w:t>218 721</w:t>
            </w:r>
          </w:p>
        </w:tc>
        <w:tc>
          <w:tcPr>
            <w:tcW w:w="700" w:type="pct"/>
          </w:tcPr>
          <w:p w14:paraId="11985BE5" w14:textId="77777777" w:rsidR="0084732D" w:rsidRPr="008749AD" w:rsidRDefault="0084732D" w:rsidP="00CA4572">
            <w:pPr>
              <w:jc w:val="right"/>
              <w:rPr>
                <w:rFonts w:eastAsia="Times New Roman" w:cs="Times New Roman"/>
                <w:sz w:val="20"/>
                <w:szCs w:val="20"/>
              </w:rPr>
            </w:pPr>
            <w:r w:rsidRPr="00B50A6C">
              <w:rPr>
                <w:rFonts w:eastAsia="Times New Roman" w:cs="Times New Roman"/>
                <w:sz w:val="20"/>
                <w:szCs w:val="20"/>
              </w:rPr>
              <w:t>1</w:t>
            </w:r>
            <w:r>
              <w:rPr>
                <w:rFonts w:eastAsia="Times New Roman" w:cs="Times New Roman"/>
                <w:sz w:val="20"/>
                <w:szCs w:val="20"/>
              </w:rPr>
              <w:t>15</w:t>
            </w:r>
            <w:r w:rsidRPr="00B50A6C">
              <w:rPr>
                <w:rFonts w:eastAsia="Times New Roman" w:cs="Times New Roman"/>
                <w:sz w:val="20"/>
                <w:szCs w:val="20"/>
              </w:rPr>
              <w:t>,</w:t>
            </w:r>
            <w:r>
              <w:rPr>
                <w:rFonts w:eastAsia="Times New Roman" w:cs="Times New Roman"/>
                <w:sz w:val="20"/>
                <w:szCs w:val="20"/>
              </w:rPr>
              <w:t>9</w:t>
            </w:r>
          </w:p>
        </w:tc>
      </w:tr>
    </w:tbl>
    <w:p w14:paraId="28DD5F0F" w14:textId="77777777" w:rsidR="0084732D" w:rsidRDefault="0084732D" w:rsidP="00CA4572">
      <w:pPr>
        <w:jc w:val="both"/>
        <w:rPr>
          <w:rFonts w:eastAsia="Times New Roman" w:cs="Times New Roman"/>
          <w:i/>
          <w:sz w:val="20"/>
          <w:szCs w:val="20"/>
          <w:lang w:eastAsia="sk-SK"/>
        </w:rPr>
      </w:pPr>
      <w:r w:rsidRPr="007B7098">
        <w:rPr>
          <w:rFonts w:eastAsia="Times New Roman" w:cs="Times New Roman"/>
          <w:i/>
          <w:sz w:val="20"/>
          <w:szCs w:val="20"/>
          <w:lang w:eastAsia="sk-SK"/>
        </w:rPr>
        <w:t>Zdroj: Štátna pokladnica</w:t>
      </w:r>
    </w:p>
    <w:p w14:paraId="2D816BF6" w14:textId="77777777" w:rsidR="00AC4666" w:rsidRDefault="00AC4666" w:rsidP="00AC4666">
      <w:pPr>
        <w:spacing w:before="120" w:after="120"/>
        <w:jc w:val="both"/>
        <w:rPr>
          <w:rFonts w:eastAsia="Times New Roman" w:cs="Times New Roman"/>
          <w:szCs w:val="24"/>
          <w:lang w:eastAsia="sk-SK"/>
        </w:rPr>
      </w:pPr>
    </w:p>
    <w:p w14:paraId="59178905" w14:textId="77777777" w:rsidR="008721D1" w:rsidRDefault="008721D1">
      <w:r>
        <w:rPr>
          <w:b/>
          <w:bCs/>
        </w:rPr>
        <w:br w:type="page"/>
      </w:r>
    </w:p>
    <w:p w14:paraId="7D60D0BA" w14:textId="74808B2F" w:rsidR="003E1FBB" w:rsidRDefault="006E6350" w:rsidP="003E1FBB">
      <w:pPr>
        <w:pStyle w:val="Nadpis1"/>
      </w:pPr>
      <w:bookmarkStart w:id="71" w:name="_Toc43218091"/>
      <w:r w:rsidRPr="0002327B">
        <w:lastRenderedPageBreak/>
        <w:t>Tabuľková</w:t>
      </w:r>
      <w:r>
        <w:t xml:space="preserve"> príloha</w:t>
      </w:r>
      <w:bookmarkEnd w:id="71"/>
    </w:p>
    <w:p w14:paraId="2E0D5672" w14:textId="47B994B7" w:rsidR="004F4CD7" w:rsidRPr="00220EB0" w:rsidRDefault="00CD2438" w:rsidP="003C2E0B">
      <w:pPr>
        <w:spacing w:before="120"/>
        <w:jc w:val="both"/>
        <w:rPr>
          <w:b/>
          <w:i/>
        </w:rPr>
      </w:pPr>
      <w:r w:rsidRPr="00220EB0">
        <w:rPr>
          <w:b/>
          <w:i/>
        </w:rPr>
        <w:t xml:space="preserve">Tabuľka 1: </w:t>
      </w:r>
      <w:r w:rsidR="004F4CD7" w:rsidRPr="00220EB0">
        <w:rPr>
          <w:b/>
          <w:i/>
        </w:rPr>
        <w:t>Makroekonomická prognóza rozpočtu VS na rok 2019 (VpMP z 12. 9. 2018)</w:t>
      </w:r>
    </w:p>
    <w:tbl>
      <w:tblPr>
        <w:tblStyle w:val="Mriekatabuky"/>
        <w:tblW w:w="5000" w:type="pct"/>
        <w:tblLook w:val="04A0" w:firstRow="1" w:lastRow="0" w:firstColumn="1" w:lastColumn="0" w:noHBand="0" w:noVBand="1"/>
      </w:tblPr>
      <w:tblGrid>
        <w:gridCol w:w="4405"/>
        <w:gridCol w:w="920"/>
        <w:gridCol w:w="1477"/>
        <w:gridCol w:w="1660"/>
        <w:gridCol w:w="884"/>
      </w:tblGrid>
      <w:tr w:rsidR="004F4CD7" w:rsidRPr="00CD2438" w14:paraId="62BD3FFD" w14:textId="77777777" w:rsidTr="00A57641">
        <w:trPr>
          <w:trHeight w:val="227"/>
          <w:tblHeader/>
        </w:trPr>
        <w:tc>
          <w:tcPr>
            <w:tcW w:w="2356" w:type="pct"/>
            <w:shd w:val="clear" w:color="auto" w:fill="0070C0"/>
            <w:vAlign w:val="center"/>
          </w:tcPr>
          <w:p w14:paraId="50BA2B28" w14:textId="77777777" w:rsidR="004F4CD7" w:rsidRPr="00CD2438" w:rsidRDefault="004F4CD7" w:rsidP="0070471B">
            <w:pPr>
              <w:pStyle w:val="Bezriadkovania"/>
              <w:jc w:val="center"/>
              <w:rPr>
                <w:b/>
                <w:color w:val="FFFFFF" w:themeColor="background1"/>
                <w:sz w:val="20"/>
                <w:szCs w:val="20"/>
              </w:rPr>
            </w:pPr>
            <w:r w:rsidRPr="00CD2438">
              <w:rPr>
                <w:b/>
                <w:color w:val="FFFFFF" w:themeColor="background1"/>
                <w:sz w:val="20"/>
                <w:szCs w:val="20"/>
              </w:rPr>
              <w:t>Ukazovateľ (rast v %, ak nie je uvedené inak)</w:t>
            </w:r>
          </w:p>
        </w:tc>
        <w:tc>
          <w:tcPr>
            <w:tcW w:w="492" w:type="pct"/>
            <w:shd w:val="clear" w:color="auto" w:fill="0070C0"/>
            <w:vAlign w:val="center"/>
          </w:tcPr>
          <w:p w14:paraId="11167769" w14:textId="77777777" w:rsidR="004F4CD7" w:rsidRPr="00CD2438" w:rsidRDefault="004F4CD7" w:rsidP="0070471B">
            <w:pPr>
              <w:pStyle w:val="Bezriadkovania"/>
              <w:jc w:val="center"/>
              <w:rPr>
                <w:b/>
                <w:color w:val="FFFFFF" w:themeColor="background1"/>
                <w:sz w:val="20"/>
                <w:szCs w:val="20"/>
              </w:rPr>
            </w:pPr>
            <w:r w:rsidRPr="00CD2438">
              <w:rPr>
                <w:b/>
                <w:color w:val="FFFFFF" w:themeColor="background1"/>
                <w:sz w:val="20"/>
                <w:szCs w:val="20"/>
              </w:rPr>
              <w:t>2018</w:t>
            </w:r>
          </w:p>
        </w:tc>
        <w:tc>
          <w:tcPr>
            <w:tcW w:w="790" w:type="pct"/>
            <w:shd w:val="clear" w:color="auto" w:fill="0070C0"/>
            <w:vAlign w:val="center"/>
          </w:tcPr>
          <w:p w14:paraId="25EFB915" w14:textId="77777777" w:rsidR="004F4CD7" w:rsidRPr="00CD2438" w:rsidRDefault="004F4CD7" w:rsidP="0070471B">
            <w:pPr>
              <w:pStyle w:val="Bezriadkovania"/>
              <w:jc w:val="center"/>
              <w:rPr>
                <w:b/>
                <w:color w:val="FFFFFF" w:themeColor="background1"/>
                <w:sz w:val="20"/>
                <w:szCs w:val="20"/>
              </w:rPr>
            </w:pPr>
            <w:r w:rsidRPr="00CD2438">
              <w:rPr>
                <w:b/>
                <w:color w:val="FFFFFF" w:themeColor="background1"/>
                <w:sz w:val="20"/>
                <w:szCs w:val="20"/>
              </w:rPr>
              <w:t>Prognóza 2019</w:t>
            </w:r>
          </w:p>
        </w:tc>
        <w:tc>
          <w:tcPr>
            <w:tcW w:w="888" w:type="pct"/>
            <w:shd w:val="clear" w:color="auto" w:fill="0070C0"/>
            <w:vAlign w:val="center"/>
          </w:tcPr>
          <w:p w14:paraId="789C2E78" w14:textId="77777777" w:rsidR="004F4CD7" w:rsidRPr="00CD2438" w:rsidRDefault="004F4CD7" w:rsidP="0070471B">
            <w:pPr>
              <w:pStyle w:val="Bezriadkovania"/>
              <w:jc w:val="center"/>
              <w:rPr>
                <w:b/>
                <w:color w:val="FFFFFF" w:themeColor="background1"/>
                <w:sz w:val="20"/>
                <w:szCs w:val="20"/>
              </w:rPr>
            </w:pPr>
            <w:r w:rsidRPr="00CD2438">
              <w:rPr>
                <w:b/>
                <w:color w:val="FFFFFF" w:themeColor="background1"/>
                <w:sz w:val="20"/>
                <w:szCs w:val="20"/>
              </w:rPr>
              <w:t>Skutočnosť 2019</w:t>
            </w:r>
          </w:p>
        </w:tc>
        <w:tc>
          <w:tcPr>
            <w:tcW w:w="473" w:type="pct"/>
            <w:shd w:val="clear" w:color="auto" w:fill="0070C0"/>
            <w:vAlign w:val="center"/>
          </w:tcPr>
          <w:p w14:paraId="1AAFBB9D" w14:textId="7E0E9F74" w:rsidR="004F4CD7" w:rsidRPr="00CD2438" w:rsidRDefault="004F4CD7" w:rsidP="0070471B">
            <w:pPr>
              <w:pStyle w:val="Bezriadkovania"/>
              <w:jc w:val="center"/>
              <w:rPr>
                <w:b/>
                <w:color w:val="FFFFFF" w:themeColor="background1"/>
                <w:sz w:val="20"/>
                <w:szCs w:val="20"/>
              </w:rPr>
            </w:pPr>
            <w:r w:rsidRPr="00CD2438">
              <w:rPr>
                <w:b/>
                <w:color w:val="FFFFFF" w:themeColor="background1"/>
                <w:sz w:val="20"/>
                <w:szCs w:val="20"/>
              </w:rPr>
              <w:t>Rozdiel</w:t>
            </w:r>
          </w:p>
        </w:tc>
      </w:tr>
      <w:tr w:rsidR="004F4CD7" w:rsidRPr="00CD2438" w14:paraId="3366B460" w14:textId="77777777" w:rsidTr="00A57641">
        <w:trPr>
          <w:tblHeader/>
        </w:trPr>
        <w:tc>
          <w:tcPr>
            <w:tcW w:w="2356" w:type="pct"/>
            <w:vAlign w:val="center"/>
          </w:tcPr>
          <w:p w14:paraId="114CB178" w14:textId="77777777" w:rsidR="004F4CD7" w:rsidRPr="00CD2438" w:rsidRDefault="004F4CD7" w:rsidP="0070471B">
            <w:pPr>
              <w:pStyle w:val="Bezriadkovania"/>
              <w:jc w:val="center"/>
              <w:rPr>
                <w:sz w:val="20"/>
                <w:szCs w:val="20"/>
              </w:rPr>
            </w:pPr>
            <w:r w:rsidRPr="00CD2438">
              <w:rPr>
                <w:sz w:val="20"/>
                <w:szCs w:val="20"/>
              </w:rPr>
              <w:t>a</w:t>
            </w:r>
          </w:p>
        </w:tc>
        <w:tc>
          <w:tcPr>
            <w:tcW w:w="492" w:type="pct"/>
            <w:vAlign w:val="center"/>
          </w:tcPr>
          <w:p w14:paraId="4640F2EE" w14:textId="77777777" w:rsidR="004F4CD7" w:rsidRPr="00CD2438" w:rsidRDefault="004F4CD7" w:rsidP="0070471B">
            <w:pPr>
              <w:pStyle w:val="Bezriadkovania"/>
              <w:jc w:val="center"/>
              <w:rPr>
                <w:sz w:val="20"/>
                <w:szCs w:val="20"/>
              </w:rPr>
            </w:pPr>
            <w:r w:rsidRPr="00CD2438">
              <w:rPr>
                <w:sz w:val="20"/>
                <w:szCs w:val="20"/>
              </w:rPr>
              <w:t>1</w:t>
            </w:r>
          </w:p>
        </w:tc>
        <w:tc>
          <w:tcPr>
            <w:tcW w:w="790" w:type="pct"/>
            <w:vAlign w:val="center"/>
          </w:tcPr>
          <w:p w14:paraId="44B45FFD" w14:textId="77777777" w:rsidR="004F4CD7" w:rsidRPr="00CD2438" w:rsidRDefault="004F4CD7" w:rsidP="0070471B">
            <w:pPr>
              <w:pStyle w:val="Bezriadkovania"/>
              <w:jc w:val="center"/>
              <w:rPr>
                <w:sz w:val="20"/>
                <w:szCs w:val="20"/>
              </w:rPr>
            </w:pPr>
            <w:r w:rsidRPr="00CD2438">
              <w:rPr>
                <w:sz w:val="20"/>
                <w:szCs w:val="20"/>
              </w:rPr>
              <w:t>2</w:t>
            </w:r>
          </w:p>
        </w:tc>
        <w:tc>
          <w:tcPr>
            <w:tcW w:w="888" w:type="pct"/>
            <w:vAlign w:val="center"/>
          </w:tcPr>
          <w:p w14:paraId="56D34A58" w14:textId="77777777" w:rsidR="004F4CD7" w:rsidRPr="00CD2438" w:rsidRDefault="004F4CD7" w:rsidP="0070471B">
            <w:pPr>
              <w:pStyle w:val="Bezriadkovania"/>
              <w:jc w:val="center"/>
              <w:rPr>
                <w:sz w:val="20"/>
                <w:szCs w:val="20"/>
              </w:rPr>
            </w:pPr>
            <w:r w:rsidRPr="00CD2438">
              <w:rPr>
                <w:sz w:val="20"/>
                <w:szCs w:val="20"/>
              </w:rPr>
              <w:t>3</w:t>
            </w:r>
          </w:p>
        </w:tc>
        <w:tc>
          <w:tcPr>
            <w:tcW w:w="473" w:type="pct"/>
            <w:vAlign w:val="center"/>
          </w:tcPr>
          <w:p w14:paraId="02D7FF38" w14:textId="77777777" w:rsidR="004F4CD7" w:rsidRPr="00CD2438" w:rsidRDefault="004F4CD7" w:rsidP="0070471B">
            <w:pPr>
              <w:pStyle w:val="Bezriadkovania"/>
              <w:jc w:val="center"/>
              <w:rPr>
                <w:sz w:val="20"/>
                <w:szCs w:val="20"/>
              </w:rPr>
            </w:pPr>
            <w:r w:rsidRPr="00CD2438">
              <w:rPr>
                <w:sz w:val="20"/>
                <w:szCs w:val="20"/>
              </w:rPr>
              <w:t>4 = 3 - 2</w:t>
            </w:r>
          </w:p>
        </w:tc>
      </w:tr>
      <w:tr w:rsidR="004F4CD7" w:rsidRPr="00CD2438" w14:paraId="17F009A5" w14:textId="77777777" w:rsidTr="00A57641">
        <w:tc>
          <w:tcPr>
            <w:tcW w:w="2356" w:type="pct"/>
            <w:vAlign w:val="center"/>
          </w:tcPr>
          <w:p w14:paraId="0622A717" w14:textId="77777777" w:rsidR="004F4CD7" w:rsidRPr="00CD2438" w:rsidRDefault="004F4CD7" w:rsidP="0070471B">
            <w:pPr>
              <w:pStyle w:val="Bezriadkovania"/>
              <w:rPr>
                <w:b/>
                <w:sz w:val="20"/>
                <w:szCs w:val="20"/>
              </w:rPr>
            </w:pPr>
            <w:r w:rsidRPr="00CD2438">
              <w:rPr>
                <w:b/>
                <w:sz w:val="20"/>
                <w:szCs w:val="20"/>
              </w:rPr>
              <w:t>Hrubý domáci produkt</w:t>
            </w:r>
          </w:p>
        </w:tc>
        <w:tc>
          <w:tcPr>
            <w:tcW w:w="492" w:type="pct"/>
            <w:vAlign w:val="center"/>
          </w:tcPr>
          <w:p w14:paraId="7A70CA29" w14:textId="77777777" w:rsidR="004F4CD7" w:rsidRPr="00CD2438" w:rsidRDefault="004F4CD7" w:rsidP="0070471B">
            <w:pPr>
              <w:pStyle w:val="Bezriadkovania"/>
              <w:jc w:val="center"/>
              <w:rPr>
                <w:sz w:val="20"/>
                <w:szCs w:val="20"/>
              </w:rPr>
            </w:pPr>
          </w:p>
        </w:tc>
        <w:tc>
          <w:tcPr>
            <w:tcW w:w="790" w:type="pct"/>
            <w:vAlign w:val="center"/>
          </w:tcPr>
          <w:p w14:paraId="5408788F" w14:textId="77777777" w:rsidR="004F4CD7" w:rsidRPr="00CD2438" w:rsidRDefault="004F4CD7" w:rsidP="0070471B">
            <w:pPr>
              <w:pStyle w:val="Bezriadkovania"/>
              <w:jc w:val="center"/>
              <w:rPr>
                <w:sz w:val="20"/>
                <w:szCs w:val="20"/>
              </w:rPr>
            </w:pPr>
          </w:p>
        </w:tc>
        <w:tc>
          <w:tcPr>
            <w:tcW w:w="888" w:type="pct"/>
            <w:vAlign w:val="center"/>
          </w:tcPr>
          <w:p w14:paraId="6405F4EB" w14:textId="77777777" w:rsidR="004F4CD7" w:rsidRPr="00CD2438" w:rsidRDefault="004F4CD7" w:rsidP="0070471B">
            <w:pPr>
              <w:pStyle w:val="Bezriadkovania"/>
              <w:jc w:val="center"/>
              <w:rPr>
                <w:sz w:val="20"/>
                <w:szCs w:val="20"/>
              </w:rPr>
            </w:pPr>
          </w:p>
        </w:tc>
        <w:tc>
          <w:tcPr>
            <w:tcW w:w="473" w:type="pct"/>
            <w:vAlign w:val="center"/>
          </w:tcPr>
          <w:p w14:paraId="5391B595" w14:textId="77777777" w:rsidR="004F4CD7" w:rsidRPr="00CD2438" w:rsidRDefault="004F4CD7" w:rsidP="0070471B">
            <w:pPr>
              <w:pStyle w:val="Bezriadkovania"/>
              <w:jc w:val="center"/>
              <w:rPr>
                <w:sz w:val="20"/>
                <w:szCs w:val="20"/>
              </w:rPr>
            </w:pPr>
          </w:p>
        </w:tc>
      </w:tr>
      <w:tr w:rsidR="004F4CD7" w:rsidRPr="00CD2438" w14:paraId="676A65A7" w14:textId="77777777" w:rsidTr="00A57641">
        <w:tc>
          <w:tcPr>
            <w:tcW w:w="2356" w:type="pct"/>
            <w:vAlign w:val="center"/>
          </w:tcPr>
          <w:p w14:paraId="6EAEC3B9" w14:textId="77777777" w:rsidR="004F4CD7" w:rsidRPr="00CD2438" w:rsidRDefault="004F4CD7" w:rsidP="0070471B">
            <w:pPr>
              <w:pStyle w:val="Bezriadkovania"/>
              <w:ind w:firstLine="176"/>
              <w:rPr>
                <w:sz w:val="20"/>
                <w:szCs w:val="20"/>
              </w:rPr>
            </w:pPr>
            <w:r w:rsidRPr="00CD2438">
              <w:rPr>
                <w:sz w:val="20"/>
                <w:szCs w:val="20"/>
              </w:rPr>
              <w:t>HDP, s.c. (YoY zmena)</w:t>
            </w:r>
          </w:p>
        </w:tc>
        <w:tc>
          <w:tcPr>
            <w:tcW w:w="492" w:type="pct"/>
            <w:vAlign w:val="center"/>
          </w:tcPr>
          <w:p w14:paraId="419786AB" w14:textId="77777777" w:rsidR="004F4CD7" w:rsidRPr="00CD2438" w:rsidRDefault="004F4CD7" w:rsidP="0070471B">
            <w:pPr>
              <w:pStyle w:val="Bezriadkovania"/>
              <w:jc w:val="center"/>
              <w:rPr>
                <w:sz w:val="20"/>
                <w:szCs w:val="20"/>
              </w:rPr>
            </w:pPr>
            <w:r w:rsidRPr="00CD2438">
              <w:rPr>
                <w:sz w:val="20"/>
                <w:szCs w:val="20"/>
              </w:rPr>
              <w:t>4,03</w:t>
            </w:r>
          </w:p>
        </w:tc>
        <w:tc>
          <w:tcPr>
            <w:tcW w:w="790" w:type="pct"/>
            <w:vAlign w:val="center"/>
          </w:tcPr>
          <w:p w14:paraId="6D162EB4" w14:textId="77777777" w:rsidR="004F4CD7" w:rsidRPr="00CD2438" w:rsidRDefault="004F4CD7" w:rsidP="0070471B">
            <w:pPr>
              <w:pStyle w:val="Bezriadkovania"/>
              <w:jc w:val="center"/>
              <w:rPr>
                <w:sz w:val="20"/>
                <w:szCs w:val="20"/>
              </w:rPr>
            </w:pPr>
            <w:r w:rsidRPr="00CD2438">
              <w:rPr>
                <w:sz w:val="20"/>
                <w:szCs w:val="20"/>
              </w:rPr>
              <w:t>4,50</w:t>
            </w:r>
          </w:p>
        </w:tc>
        <w:tc>
          <w:tcPr>
            <w:tcW w:w="888" w:type="pct"/>
            <w:vAlign w:val="center"/>
          </w:tcPr>
          <w:p w14:paraId="070A8E67" w14:textId="77777777" w:rsidR="004F4CD7" w:rsidRPr="00CD2438" w:rsidRDefault="004F4CD7" w:rsidP="0070471B">
            <w:pPr>
              <w:pStyle w:val="Bezriadkovania"/>
              <w:jc w:val="center"/>
              <w:rPr>
                <w:sz w:val="20"/>
                <w:szCs w:val="20"/>
              </w:rPr>
            </w:pPr>
            <w:r w:rsidRPr="00CD2438">
              <w:rPr>
                <w:sz w:val="20"/>
                <w:szCs w:val="20"/>
              </w:rPr>
              <w:t>2,28</w:t>
            </w:r>
          </w:p>
        </w:tc>
        <w:tc>
          <w:tcPr>
            <w:tcW w:w="473" w:type="pct"/>
            <w:vAlign w:val="center"/>
          </w:tcPr>
          <w:p w14:paraId="3B05C52F" w14:textId="77777777" w:rsidR="004F4CD7" w:rsidRPr="00CD2438" w:rsidRDefault="004F4CD7" w:rsidP="0070471B">
            <w:pPr>
              <w:pStyle w:val="Bezriadkovania"/>
              <w:jc w:val="center"/>
              <w:rPr>
                <w:sz w:val="20"/>
                <w:szCs w:val="20"/>
              </w:rPr>
            </w:pPr>
            <w:r w:rsidRPr="00CD2438">
              <w:rPr>
                <w:sz w:val="20"/>
                <w:szCs w:val="20"/>
              </w:rPr>
              <w:t>-2,22</w:t>
            </w:r>
          </w:p>
        </w:tc>
      </w:tr>
      <w:tr w:rsidR="004F4CD7" w:rsidRPr="00CD2438" w14:paraId="2B01CA95" w14:textId="77777777" w:rsidTr="00A57641">
        <w:tc>
          <w:tcPr>
            <w:tcW w:w="2356" w:type="pct"/>
            <w:vAlign w:val="center"/>
          </w:tcPr>
          <w:p w14:paraId="77CA9FBE" w14:textId="77777777" w:rsidR="004F4CD7" w:rsidRPr="00CD2438" w:rsidRDefault="004F4CD7" w:rsidP="0070471B">
            <w:pPr>
              <w:pStyle w:val="Bezriadkovania"/>
              <w:ind w:firstLine="176"/>
              <w:rPr>
                <w:sz w:val="20"/>
                <w:szCs w:val="20"/>
              </w:rPr>
            </w:pPr>
            <w:r w:rsidRPr="00CD2438">
              <w:rPr>
                <w:sz w:val="20"/>
                <w:szCs w:val="20"/>
              </w:rPr>
              <w:t>HDP, b.c. (mld. eur)</w:t>
            </w:r>
          </w:p>
        </w:tc>
        <w:tc>
          <w:tcPr>
            <w:tcW w:w="492" w:type="pct"/>
            <w:vAlign w:val="center"/>
          </w:tcPr>
          <w:p w14:paraId="335F2154" w14:textId="77777777" w:rsidR="004F4CD7" w:rsidRPr="00CD2438" w:rsidRDefault="004F4CD7" w:rsidP="0070471B">
            <w:pPr>
              <w:pStyle w:val="Bezriadkovania"/>
              <w:jc w:val="center"/>
              <w:rPr>
                <w:sz w:val="20"/>
                <w:szCs w:val="20"/>
              </w:rPr>
            </w:pPr>
            <w:r w:rsidRPr="00CD2438">
              <w:rPr>
                <w:sz w:val="20"/>
                <w:szCs w:val="20"/>
              </w:rPr>
              <w:t>89,72</w:t>
            </w:r>
          </w:p>
        </w:tc>
        <w:tc>
          <w:tcPr>
            <w:tcW w:w="790" w:type="pct"/>
            <w:vAlign w:val="center"/>
          </w:tcPr>
          <w:p w14:paraId="638E5D2B" w14:textId="77777777" w:rsidR="004F4CD7" w:rsidRPr="00CD2438" w:rsidRDefault="004F4CD7" w:rsidP="0070471B">
            <w:pPr>
              <w:pStyle w:val="Bezriadkovania"/>
              <w:jc w:val="center"/>
              <w:rPr>
                <w:sz w:val="20"/>
                <w:szCs w:val="20"/>
              </w:rPr>
            </w:pPr>
            <w:r w:rsidRPr="00CD2438">
              <w:rPr>
                <w:sz w:val="20"/>
                <w:szCs w:val="20"/>
              </w:rPr>
              <w:t>96,89</w:t>
            </w:r>
          </w:p>
        </w:tc>
        <w:tc>
          <w:tcPr>
            <w:tcW w:w="888" w:type="pct"/>
            <w:vAlign w:val="center"/>
          </w:tcPr>
          <w:p w14:paraId="679929AA" w14:textId="77777777" w:rsidR="004F4CD7" w:rsidRPr="00CD2438" w:rsidRDefault="004F4CD7" w:rsidP="0070471B">
            <w:pPr>
              <w:pStyle w:val="Bezriadkovania"/>
              <w:jc w:val="center"/>
              <w:rPr>
                <w:sz w:val="20"/>
                <w:szCs w:val="20"/>
              </w:rPr>
            </w:pPr>
            <w:r w:rsidRPr="00CD2438">
              <w:rPr>
                <w:sz w:val="20"/>
                <w:szCs w:val="20"/>
              </w:rPr>
              <w:t>94,18</w:t>
            </w:r>
          </w:p>
        </w:tc>
        <w:tc>
          <w:tcPr>
            <w:tcW w:w="473" w:type="pct"/>
            <w:vAlign w:val="center"/>
          </w:tcPr>
          <w:p w14:paraId="79E03FF0" w14:textId="77777777" w:rsidR="004F4CD7" w:rsidRPr="00CD2438" w:rsidRDefault="004F4CD7" w:rsidP="0070471B">
            <w:pPr>
              <w:pStyle w:val="Bezriadkovania"/>
              <w:jc w:val="center"/>
              <w:rPr>
                <w:sz w:val="20"/>
                <w:szCs w:val="20"/>
              </w:rPr>
            </w:pPr>
            <w:r w:rsidRPr="00CD2438">
              <w:rPr>
                <w:sz w:val="20"/>
                <w:szCs w:val="20"/>
              </w:rPr>
              <w:t>-2,71</w:t>
            </w:r>
          </w:p>
        </w:tc>
      </w:tr>
      <w:tr w:rsidR="004F4CD7" w:rsidRPr="00CD2438" w14:paraId="092B45B8" w14:textId="77777777" w:rsidTr="00A57641">
        <w:tc>
          <w:tcPr>
            <w:tcW w:w="2356" w:type="pct"/>
            <w:vAlign w:val="center"/>
          </w:tcPr>
          <w:p w14:paraId="7EC57B49" w14:textId="77777777" w:rsidR="004F4CD7" w:rsidRPr="00CD2438" w:rsidRDefault="004F4CD7" w:rsidP="0070471B">
            <w:pPr>
              <w:pStyle w:val="Bezriadkovania"/>
              <w:ind w:firstLine="176"/>
              <w:rPr>
                <w:sz w:val="20"/>
                <w:szCs w:val="20"/>
              </w:rPr>
            </w:pPr>
            <w:r w:rsidRPr="00CD2438">
              <w:rPr>
                <w:sz w:val="20"/>
                <w:szCs w:val="20"/>
              </w:rPr>
              <w:t>Súkromná spotreba</w:t>
            </w:r>
          </w:p>
        </w:tc>
        <w:tc>
          <w:tcPr>
            <w:tcW w:w="492" w:type="pct"/>
            <w:vAlign w:val="center"/>
          </w:tcPr>
          <w:p w14:paraId="79179275" w14:textId="77777777" w:rsidR="004F4CD7" w:rsidRPr="00CD2438" w:rsidRDefault="004F4CD7" w:rsidP="0070471B">
            <w:pPr>
              <w:pStyle w:val="Bezriadkovania"/>
              <w:jc w:val="center"/>
              <w:rPr>
                <w:sz w:val="20"/>
                <w:szCs w:val="20"/>
              </w:rPr>
            </w:pPr>
            <w:r w:rsidRPr="00CD2438">
              <w:rPr>
                <w:sz w:val="20"/>
                <w:szCs w:val="20"/>
              </w:rPr>
              <w:t>3,87</w:t>
            </w:r>
          </w:p>
        </w:tc>
        <w:tc>
          <w:tcPr>
            <w:tcW w:w="790" w:type="pct"/>
            <w:vAlign w:val="center"/>
          </w:tcPr>
          <w:p w14:paraId="185A84EC" w14:textId="77777777" w:rsidR="004F4CD7" w:rsidRPr="00CD2438" w:rsidRDefault="004F4CD7" w:rsidP="0070471B">
            <w:pPr>
              <w:pStyle w:val="Bezriadkovania"/>
              <w:jc w:val="center"/>
              <w:rPr>
                <w:sz w:val="20"/>
                <w:szCs w:val="20"/>
              </w:rPr>
            </w:pPr>
            <w:r w:rsidRPr="00CD2438">
              <w:rPr>
                <w:sz w:val="20"/>
                <w:szCs w:val="20"/>
              </w:rPr>
              <w:t>3,24</w:t>
            </w:r>
          </w:p>
        </w:tc>
        <w:tc>
          <w:tcPr>
            <w:tcW w:w="888" w:type="pct"/>
            <w:vAlign w:val="center"/>
          </w:tcPr>
          <w:p w14:paraId="63AA134B" w14:textId="77777777" w:rsidR="004F4CD7" w:rsidRPr="00CD2438" w:rsidRDefault="004F4CD7" w:rsidP="0070471B">
            <w:pPr>
              <w:pStyle w:val="Bezriadkovania"/>
              <w:jc w:val="center"/>
              <w:rPr>
                <w:sz w:val="20"/>
                <w:szCs w:val="20"/>
              </w:rPr>
            </w:pPr>
            <w:r w:rsidRPr="00CD2438">
              <w:rPr>
                <w:sz w:val="20"/>
                <w:szCs w:val="20"/>
              </w:rPr>
              <w:t>2,17</w:t>
            </w:r>
          </w:p>
        </w:tc>
        <w:tc>
          <w:tcPr>
            <w:tcW w:w="473" w:type="pct"/>
            <w:vAlign w:val="center"/>
          </w:tcPr>
          <w:p w14:paraId="0EB321FB" w14:textId="77777777" w:rsidR="004F4CD7" w:rsidRPr="00CD2438" w:rsidRDefault="004F4CD7" w:rsidP="0070471B">
            <w:pPr>
              <w:pStyle w:val="Bezriadkovania"/>
              <w:jc w:val="center"/>
              <w:rPr>
                <w:sz w:val="20"/>
                <w:szCs w:val="20"/>
              </w:rPr>
            </w:pPr>
            <w:r w:rsidRPr="00CD2438">
              <w:rPr>
                <w:sz w:val="20"/>
                <w:szCs w:val="20"/>
              </w:rPr>
              <w:t>-1,07</w:t>
            </w:r>
          </w:p>
        </w:tc>
      </w:tr>
      <w:tr w:rsidR="004F4CD7" w:rsidRPr="00CD2438" w14:paraId="4E5C5D60" w14:textId="77777777" w:rsidTr="00A57641">
        <w:trPr>
          <w:trHeight w:val="255"/>
        </w:trPr>
        <w:tc>
          <w:tcPr>
            <w:tcW w:w="2356" w:type="pct"/>
            <w:vAlign w:val="center"/>
          </w:tcPr>
          <w:p w14:paraId="5C1E6BC6" w14:textId="77777777" w:rsidR="004F4CD7" w:rsidRPr="00CD2438" w:rsidRDefault="004F4CD7" w:rsidP="0070471B">
            <w:pPr>
              <w:pStyle w:val="Bezriadkovania"/>
              <w:ind w:firstLine="176"/>
              <w:rPr>
                <w:sz w:val="20"/>
                <w:szCs w:val="20"/>
              </w:rPr>
            </w:pPr>
            <w:r w:rsidRPr="00CD2438">
              <w:rPr>
                <w:sz w:val="20"/>
                <w:szCs w:val="20"/>
              </w:rPr>
              <w:t>Súkromná spotreba, b.c.</w:t>
            </w:r>
          </w:p>
        </w:tc>
        <w:tc>
          <w:tcPr>
            <w:tcW w:w="492" w:type="pct"/>
            <w:vAlign w:val="center"/>
          </w:tcPr>
          <w:p w14:paraId="16197328" w14:textId="77777777" w:rsidR="004F4CD7" w:rsidRPr="00CD2438" w:rsidRDefault="004F4CD7" w:rsidP="0070471B">
            <w:pPr>
              <w:pStyle w:val="Bezriadkovania"/>
              <w:jc w:val="center"/>
              <w:rPr>
                <w:sz w:val="20"/>
                <w:szCs w:val="20"/>
              </w:rPr>
            </w:pPr>
            <w:r w:rsidRPr="00CD2438">
              <w:rPr>
                <w:sz w:val="20"/>
                <w:szCs w:val="20"/>
              </w:rPr>
              <w:t>6,27</w:t>
            </w:r>
          </w:p>
        </w:tc>
        <w:tc>
          <w:tcPr>
            <w:tcW w:w="790" w:type="pct"/>
            <w:vAlign w:val="center"/>
          </w:tcPr>
          <w:p w14:paraId="69639268" w14:textId="77777777" w:rsidR="004F4CD7" w:rsidRPr="00CD2438" w:rsidRDefault="004F4CD7" w:rsidP="0070471B">
            <w:pPr>
              <w:pStyle w:val="Bezriadkovania"/>
              <w:jc w:val="center"/>
              <w:rPr>
                <w:sz w:val="20"/>
                <w:szCs w:val="20"/>
              </w:rPr>
            </w:pPr>
            <w:r w:rsidRPr="00CD2438">
              <w:rPr>
                <w:sz w:val="20"/>
                <w:szCs w:val="20"/>
              </w:rPr>
              <w:t>5,82</w:t>
            </w:r>
          </w:p>
        </w:tc>
        <w:tc>
          <w:tcPr>
            <w:tcW w:w="888" w:type="pct"/>
            <w:vAlign w:val="center"/>
          </w:tcPr>
          <w:p w14:paraId="2BF4878F" w14:textId="77777777" w:rsidR="004F4CD7" w:rsidRPr="00CD2438" w:rsidRDefault="004F4CD7" w:rsidP="0070471B">
            <w:pPr>
              <w:pStyle w:val="Bezriadkovania"/>
              <w:jc w:val="center"/>
              <w:rPr>
                <w:sz w:val="20"/>
                <w:szCs w:val="20"/>
              </w:rPr>
            </w:pPr>
            <w:r w:rsidRPr="00CD2438">
              <w:rPr>
                <w:sz w:val="20"/>
                <w:szCs w:val="20"/>
              </w:rPr>
              <w:t>4,97</w:t>
            </w:r>
          </w:p>
        </w:tc>
        <w:tc>
          <w:tcPr>
            <w:tcW w:w="473" w:type="pct"/>
            <w:vAlign w:val="center"/>
          </w:tcPr>
          <w:p w14:paraId="5F014261" w14:textId="77777777" w:rsidR="004F4CD7" w:rsidRPr="00CD2438" w:rsidRDefault="004F4CD7" w:rsidP="0070471B">
            <w:pPr>
              <w:pStyle w:val="Bezriadkovania"/>
              <w:jc w:val="center"/>
              <w:rPr>
                <w:sz w:val="20"/>
                <w:szCs w:val="20"/>
              </w:rPr>
            </w:pPr>
            <w:r w:rsidRPr="00CD2438">
              <w:rPr>
                <w:sz w:val="20"/>
                <w:szCs w:val="20"/>
              </w:rPr>
              <w:t>-0,85</w:t>
            </w:r>
          </w:p>
        </w:tc>
      </w:tr>
      <w:tr w:rsidR="004F4CD7" w:rsidRPr="00CD2438" w14:paraId="162F5FD2" w14:textId="77777777" w:rsidTr="00A57641">
        <w:tc>
          <w:tcPr>
            <w:tcW w:w="2356" w:type="pct"/>
            <w:vAlign w:val="center"/>
          </w:tcPr>
          <w:p w14:paraId="4877196C" w14:textId="77777777" w:rsidR="004F4CD7" w:rsidRPr="00CD2438" w:rsidRDefault="004F4CD7" w:rsidP="0070471B">
            <w:pPr>
              <w:pStyle w:val="Bezriadkovania"/>
              <w:ind w:firstLine="176"/>
              <w:rPr>
                <w:sz w:val="20"/>
                <w:szCs w:val="20"/>
              </w:rPr>
            </w:pPr>
            <w:r w:rsidRPr="00CD2438">
              <w:rPr>
                <w:sz w:val="20"/>
                <w:szCs w:val="20"/>
              </w:rPr>
              <w:t>Vládna spotreba</w:t>
            </w:r>
          </w:p>
        </w:tc>
        <w:tc>
          <w:tcPr>
            <w:tcW w:w="492" w:type="pct"/>
            <w:vAlign w:val="center"/>
          </w:tcPr>
          <w:p w14:paraId="1C170D24" w14:textId="77777777" w:rsidR="004F4CD7" w:rsidRPr="00CD2438" w:rsidRDefault="004F4CD7" w:rsidP="0070471B">
            <w:pPr>
              <w:pStyle w:val="Bezriadkovania"/>
              <w:jc w:val="center"/>
              <w:rPr>
                <w:sz w:val="20"/>
                <w:szCs w:val="20"/>
              </w:rPr>
            </w:pPr>
            <w:r w:rsidRPr="00CD2438">
              <w:rPr>
                <w:sz w:val="20"/>
                <w:szCs w:val="20"/>
              </w:rPr>
              <w:t>0,23</w:t>
            </w:r>
          </w:p>
        </w:tc>
        <w:tc>
          <w:tcPr>
            <w:tcW w:w="790" w:type="pct"/>
            <w:vAlign w:val="center"/>
          </w:tcPr>
          <w:p w14:paraId="3B5FEDCD" w14:textId="77777777" w:rsidR="004F4CD7" w:rsidRPr="00CD2438" w:rsidRDefault="004F4CD7" w:rsidP="0070471B">
            <w:pPr>
              <w:pStyle w:val="Bezriadkovania"/>
              <w:jc w:val="center"/>
              <w:rPr>
                <w:sz w:val="20"/>
                <w:szCs w:val="20"/>
              </w:rPr>
            </w:pPr>
            <w:r w:rsidRPr="00CD2438">
              <w:rPr>
                <w:sz w:val="20"/>
                <w:szCs w:val="20"/>
              </w:rPr>
              <w:t>1,49</w:t>
            </w:r>
          </w:p>
        </w:tc>
        <w:tc>
          <w:tcPr>
            <w:tcW w:w="888" w:type="pct"/>
            <w:vAlign w:val="center"/>
          </w:tcPr>
          <w:p w14:paraId="6A32B580" w14:textId="77777777" w:rsidR="004F4CD7" w:rsidRPr="00CD2438" w:rsidRDefault="004F4CD7" w:rsidP="0070471B">
            <w:pPr>
              <w:pStyle w:val="Bezriadkovania"/>
              <w:jc w:val="center"/>
              <w:rPr>
                <w:sz w:val="20"/>
                <w:szCs w:val="20"/>
              </w:rPr>
            </w:pPr>
            <w:r w:rsidRPr="00CD2438">
              <w:rPr>
                <w:sz w:val="20"/>
                <w:szCs w:val="20"/>
              </w:rPr>
              <w:t>3,78</w:t>
            </w:r>
          </w:p>
        </w:tc>
        <w:tc>
          <w:tcPr>
            <w:tcW w:w="473" w:type="pct"/>
            <w:vAlign w:val="center"/>
          </w:tcPr>
          <w:p w14:paraId="3669DC26" w14:textId="77777777" w:rsidR="004F4CD7" w:rsidRPr="00CD2438" w:rsidRDefault="004F4CD7" w:rsidP="0070471B">
            <w:pPr>
              <w:pStyle w:val="Bezriadkovania"/>
              <w:jc w:val="center"/>
              <w:rPr>
                <w:sz w:val="20"/>
                <w:szCs w:val="20"/>
              </w:rPr>
            </w:pPr>
            <w:r w:rsidRPr="00CD2438">
              <w:rPr>
                <w:sz w:val="20"/>
                <w:szCs w:val="20"/>
              </w:rPr>
              <w:t>2,29</w:t>
            </w:r>
          </w:p>
        </w:tc>
      </w:tr>
      <w:tr w:rsidR="004F4CD7" w:rsidRPr="00CD2438" w14:paraId="289E163E" w14:textId="77777777" w:rsidTr="00A57641">
        <w:tc>
          <w:tcPr>
            <w:tcW w:w="2356" w:type="pct"/>
            <w:vAlign w:val="center"/>
          </w:tcPr>
          <w:p w14:paraId="327BAFBD" w14:textId="77777777" w:rsidR="004F4CD7" w:rsidRPr="00CD2438" w:rsidRDefault="004F4CD7" w:rsidP="0070471B">
            <w:pPr>
              <w:pStyle w:val="Bezriadkovania"/>
              <w:ind w:firstLine="176"/>
              <w:rPr>
                <w:sz w:val="20"/>
                <w:szCs w:val="20"/>
              </w:rPr>
            </w:pPr>
            <w:r w:rsidRPr="00CD2438">
              <w:rPr>
                <w:sz w:val="20"/>
                <w:szCs w:val="20"/>
              </w:rPr>
              <w:t>Fixné investície</w:t>
            </w:r>
          </w:p>
        </w:tc>
        <w:tc>
          <w:tcPr>
            <w:tcW w:w="492" w:type="pct"/>
            <w:vAlign w:val="center"/>
          </w:tcPr>
          <w:p w14:paraId="4E11C531" w14:textId="77777777" w:rsidR="004F4CD7" w:rsidRPr="00CD2438" w:rsidRDefault="004F4CD7" w:rsidP="0070471B">
            <w:pPr>
              <w:pStyle w:val="Bezriadkovania"/>
              <w:jc w:val="center"/>
              <w:rPr>
                <w:sz w:val="20"/>
                <w:szCs w:val="20"/>
              </w:rPr>
            </w:pPr>
            <w:r w:rsidRPr="00CD2438">
              <w:rPr>
                <w:sz w:val="20"/>
                <w:szCs w:val="20"/>
              </w:rPr>
              <w:t>3,67</w:t>
            </w:r>
          </w:p>
        </w:tc>
        <w:tc>
          <w:tcPr>
            <w:tcW w:w="790" w:type="pct"/>
            <w:vAlign w:val="center"/>
          </w:tcPr>
          <w:p w14:paraId="1AC6D958" w14:textId="77777777" w:rsidR="004F4CD7" w:rsidRPr="00CD2438" w:rsidRDefault="004F4CD7" w:rsidP="0070471B">
            <w:pPr>
              <w:pStyle w:val="Bezriadkovania"/>
              <w:jc w:val="center"/>
              <w:rPr>
                <w:sz w:val="20"/>
                <w:szCs w:val="20"/>
              </w:rPr>
            </w:pPr>
            <w:r w:rsidRPr="00CD2438">
              <w:rPr>
                <w:sz w:val="20"/>
                <w:szCs w:val="20"/>
              </w:rPr>
              <w:t>3,09</w:t>
            </w:r>
          </w:p>
        </w:tc>
        <w:tc>
          <w:tcPr>
            <w:tcW w:w="888" w:type="pct"/>
            <w:vAlign w:val="center"/>
          </w:tcPr>
          <w:p w14:paraId="598CD810" w14:textId="77777777" w:rsidR="004F4CD7" w:rsidRPr="00CD2438" w:rsidRDefault="004F4CD7" w:rsidP="0070471B">
            <w:pPr>
              <w:pStyle w:val="Bezriadkovania"/>
              <w:jc w:val="center"/>
              <w:rPr>
                <w:sz w:val="20"/>
                <w:szCs w:val="20"/>
              </w:rPr>
            </w:pPr>
            <w:r w:rsidRPr="00CD2438">
              <w:rPr>
                <w:sz w:val="20"/>
                <w:szCs w:val="20"/>
              </w:rPr>
              <w:t>4,42</w:t>
            </w:r>
          </w:p>
        </w:tc>
        <w:tc>
          <w:tcPr>
            <w:tcW w:w="473" w:type="pct"/>
            <w:vAlign w:val="center"/>
          </w:tcPr>
          <w:p w14:paraId="0B49C884" w14:textId="77777777" w:rsidR="004F4CD7" w:rsidRPr="00CD2438" w:rsidRDefault="004F4CD7" w:rsidP="0070471B">
            <w:pPr>
              <w:pStyle w:val="Bezriadkovania"/>
              <w:jc w:val="center"/>
              <w:rPr>
                <w:sz w:val="20"/>
                <w:szCs w:val="20"/>
              </w:rPr>
            </w:pPr>
            <w:r w:rsidRPr="00CD2438">
              <w:rPr>
                <w:sz w:val="20"/>
                <w:szCs w:val="20"/>
              </w:rPr>
              <w:t>1,33</w:t>
            </w:r>
          </w:p>
        </w:tc>
      </w:tr>
      <w:tr w:rsidR="004F4CD7" w:rsidRPr="00CD2438" w14:paraId="11EFC2CE" w14:textId="77777777" w:rsidTr="00A57641">
        <w:tc>
          <w:tcPr>
            <w:tcW w:w="2356" w:type="pct"/>
            <w:vAlign w:val="center"/>
          </w:tcPr>
          <w:p w14:paraId="53C81B65" w14:textId="77777777" w:rsidR="004F4CD7" w:rsidRPr="00CD2438" w:rsidRDefault="004F4CD7" w:rsidP="0070471B">
            <w:pPr>
              <w:pStyle w:val="Bezriadkovania"/>
              <w:ind w:firstLine="176"/>
              <w:rPr>
                <w:sz w:val="20"/>
                <w:szCs w:val="20"/>
              </w:rPr>
            </w:pPr>
            <w:r w:rsidRPr="00CD2438">
              <w:rPr>
                <w:sz w:val="20"/>
                <w:szCs w:val="20"/>
              </w:rPr>
              <w:t>Export tovarov a služieb</w:t>
            </w:r>
          </w:p>
        </w:tc>
        <w:tc>
          <w:tcPr>
            <w:tcW w:w="492" w:type="pct"/>
            <w:vAlign w:val="center"/>
          </w:tcPr>
          <w:p w14:paraId="3ECFC77C" w14:textId="77777777" w:rsidR="004F4CD7" w:rsidRPr="00CD2438" w:rsidRDefault="004F4CD7" w:rsidP="0070471B">
            <w:pPr>
              <w:pStyle w:val="Bezriadkovania"/>
              <w:jc w:val="center"/>
              <w:rPr>
                <w:sz w:val="20"/>
                <w:szCs w:val="20"/>
              </w:rPr>
            </w:pPr>
            <w:r w:rsidRPr="00CD2438">
              <w:rPr>
                <w:sz w:val="20"/>
                <w:szCs w:val="20"/>
              </w:rPr>
              <w:t>5,37</w:t>
            </w:r>
          </w:p>
        </w:tc>
        <w:tc>
          <w:tcPr>
            <w:tcW w:w="790" w:type="pct"/>
            <w:vAlign w:val="center"/>
          </w:tcPr>
          <w:p w14:paraId="4424B910" w14:textId="77777777" w:rsidR="004F4CD7" w:rsidRPr="00CD2438" w:rsidRDefault="004F4CD7" w:rsidP="0070471B">
            <w:pPr>
              <w:pStyle w:val="Bezriadkovania"/>
              <w:jc w:val="center"/>
              <w:rPr>
                <w:sz w:val="20"/>
                <w:szCs w:val="20"/>
              </w:rPr>
            </w:pPr>
            <w:r w:rsidRPr="00CD2438">
              <w:rPr>
                <w:sz w:val="20"/>
                <w:szCs w:val="20"/>
              </w:rPr>
              <w:t>7,94</w:t>
            </w:r>
          </w:p>
        </w:tc>
        <w:tc>
          <w:tcPr>
            <w:tcW w:w="888" w:type="pct"/>
            <w:vAlign w:val="center"/>
          </w:tcPr>
          <w:p w14:paraId="4FDC6C8F" w14:textId="77777777" w:rsidR="004F4CD7" w:rsidRPr="00CD2438" w:rsidRDefault="004F4CD7" w:rsidP="0070471B">
            <w:pPr>
              <w:pStyle w:val="Bezriadkovania"/>
              <w:jc w:val="center"/>
              <w:rPr>
                <w:sz w:val="20"/>
                <w:szCs w:val="20"/>
              </w:rPr>
            </w:pPr>
            <w:r w:rsidRPr="00CD2438">
              <w:rPr>
                <w:sz w:val="20"/>
                <w:szCs w:val="20"/>
              </w:rPr>
              <w:t>1,72</w:t>
            </w:r>
          </w:p>
        </w:tc>
        <w:tc>
          <w:tcPr>
            <w:tcW w:w="473" w:type="pct"/>
            <w:vAlign w:val="center"/>
          </w:tcPr>
          <w:p w14:paraId="563D8A4E" w14:textId="77777777" w:rsidR="004F4CD7" w:rsidRPr="00CD2438" w:rsidRDefault="004F4CD7" w:rsidP="0070471B">
            <w:pPr>
              <w:pStyle w:val="Bezriadkovania"/>
              <w:jc w:val="center"/>
              <w:rPr>
                <w:sz w:val="20"/>
                <w:szCs w:val="20"/>
              </w:rPr>
            </w:pPr>
            <w:r w:rsidRPr="00CD2438">
              <w:rPr>
                <w:sz w:val="20"/>
                <w:szCs w:val="20"/>
              </w:rPr>
              <w:t>-6,22</w:t>
            </w:r>
          </w:p>
        </w:tc>
      </w:tr>
      <w:tr w:rsidR="004F4CD7" w:rsidRPr="00CD2438" w14:paraId="29FB174A" w14:textId="77777777" w:rsidTr="00A57641">
        <w:tc>
          <w:tcPr>
            <w:tcW w:w="2356" w:type="pct"/>
            <w:vAlign w:val="center"/>
          </w:tcPr>
          <w:p w14:paraId="361124F7" w14:textId="77777777" w:rsidR="004F4CD7" w:rsidRPr="00CD2438" w:rsidRDefault="004F4CD7" w:rsidP="0070471B">
            <w:pPr>
              <w:pStyle w:val="Bezriadkovania"/>
              <w:ind w:firstLine="176"/>
              <w:rPr>
                <w:sz w:val="20"/>
                <w:szCs w:val="20"/>
              </w:rPr>
            </w:pPr>
            <w:r w:rsidRPr="00CD2438">
              <w:rPr>
                <w:sz w:val="20"/>
                <w:szCs w:val="20"/>
              </w:rPr>
              <w:t>Import tovarov a služieb</w:t>
            </w:r>
          </w:p>
        </w:tc>
        <w:tc>
          <w:tcPr>
            <w:tcW w:w="492" w:type="pct"/>
            <w:vAlign w:val="center"/>
          </w:tcPr>
          <w:p w14:paraId="4AC3E030" w14:textId="77777777" w:rsidR="004F4CD7" w:rsidRPr="00CD2438" w:rsidRDefault="004F4CD7" w:rsidP="0070471B">
            <w:pPr>
              <w:pStyle w:val="Bezriadkovania"/>
              <w:jc w:val="center"/>
              <w:rPr>
                <w:sz w:val="20"/>
                <w:szCs w:val="20"/>
              </w:rPr>
            </w:pPr>
            <w:r w:rsidRPr="00CD2438">
              <w:rPr>
                <w:sz w:val="20"/>
                <w:szCs w:val="20"/>
              </w:rPr>
              <w:t>4,96</w:t>
            </w:r>
          </w:p>
        </w:tc>
        <w:tc>
          <w:tcPr>
            <w:tcW w:w="790" w:type="pct"/>
            <w:vAlign w:val="center"/>
          </w:tcPr>
          <w:p w14:paraId="577C5DB7" w14:textId="77777777" w:rsidR="004F4CD7" w:rsidRPr="00CD2438" w:rsidRDefault="004F4CD7" w:rsidP="0070471B">
            <w:pPr>
              <w:pStyle w:val="Bezriadkovania"/>
              <w:jc w:val="center"/>
              <w:rPr>
                <w:sz w:val="20"/>
                <w:szCs w:val="20"/>
              </w:rPr>
            </w:pPr>
            <w:r w:rsidRPr="00CD2438">
              <w:rPr>
                <w:sz w:val="20"/>
                <w:szCs w:val="20"/>
              </w:rPr>
              <w:t>6,78</w:t>
            </w:r>
          </w:p>
        </w:tc>
        <w:tc>
          <w:tcPr>
            <w:tcW w:w="888" w:type="pct"/>
            <w:vAlign w:val="center"/>
          </w:tcPr>
          <w:p w14:paraId="59240BDF" w14:textId="77777777" w:rsidR="004F4CD7" w:rsidRPr="00CD2438" w:rsidRDefault="004F4CD7" w:rsidP="0070471B">
            <w:pPr>
              <w:pStyle w:val="Bezriadkovania"/>
              <w:jc w:val="center"/>
              <w:rPr>
                <w:sz w:val="20"/>
                <w:szCs w:val="20"/>
              </w:rPr>
            </w:pPr>
            <w:r w:rsidRPr="00CD2438">
              <w:rPr>
                <w:sz w:val="20"/>
                <w:szCs w:val="20"/>
              </w:rPr>
              <w:t>2,58</w:t>
            </w:r>
          </w:p>
        </w:tc>
        <w:tc>
          <w:tcPr>
            <w:tcW w:w="473" w:type="pct"/>
            <w:vAlign w:val="center"/>
          </w:tcPr>
          <w:p w14:paraId="56E85469" w14:textId="77777777" w:rsidR="004F4CD7" w:rsidRPr="00CD2438" w:rsidRDefault="004F4CD7" w:rsidP="0070471B">
            <w:pPr>
              <w:pStyle w:val="Bezriadkovania"/>
              <w:jc w:val="center"/>
              <w:rPr>
                <w:sz w:val="20"/>
                <w:szCs w:val="20"/>
              </w:rPr>
            </w:pPr>
            <w:r w:rsidRPr="00CD2438">
              <w:rPr>
                <w:sz w:val="20"/>
                <w:szCs w:val="20"/>
              </w:rPr>
              <w:t>-4,20</w:t>
            </w:r>
          </w:p>
        </w:tc>
      </w:tr>
      <w:tr w:rsidR="004F4CD7" w:rsidRPr="00CD2438" w14:paraId="4B764C4B" w14:textId="77777777" w:rsidTr="00A57641">
        <w:tc>
          <w:tcPr>
            <w:tcW w:w="2356" w:type="pct"/>
            <w:vAlign w:val="center"/>
          </w:tcPr>
          <w:p w14:paraId="20B92EE0" w14:textId="77777777" w:rsidR="004F4CD7" w:rsidRPr="00CD2438" w:rsidRDefault="004F4CD7" w:rsidP="0070471B">
            <w:pPr>
              <w:pStyle w:val="Bezriadkovania"/>
              <w:rPr>
                <w:b/>
                <w:sz w:val="20"/>
                <w:szCs w:val="20"/>
              </w:rPr>
            </w:pPr>
            <w:r w:rsidRPr="00CD2438">
              <w:rPr>
                <w:b/>
                <w:sz w:val="20"/>
                <w:szCs w:val="20"/>
              </w:rPr>
              <w:t>Trh práce</w:t>
            </w:r>
          </w:p>
        </w:tc>
        <w:tc>
          <w:tcPr>
            <w:tcW w:w="492" w:type="pct"/>
            <w:vAlign w:val="center"/>
          </w:tcPr>
          <w:p w14:paraId="7B481BAB" w14:textId="77777777" w:rsidR="004F4CD7" w:rsidRPr="00CD2438" w:rsidRDefault="004F4CD7" w:rsidP="0070471B">
            <w:pPr>
              <w:pStyle w:val="Bezriadkovania"/>
              <w:jc w:val="center"/>
              <w:rPr>
                <w:sz w:val="20"/>
                <w:szCs w:val="20"/>
              </w:rPr>
            </w:pPr>
          </w:p>
        </w:tc>
        <w:tc>
          <w:tcPr>
            <w:tcW w:w="790" w:type="pct"/>
            <w:vAlign w:val="center"/>
          </w:tcPr>
          <w:p w14:paraId="185A563A" w14:textId="77777777" w:rsidR="004F4CD7" w:rsidRPr="00CD2438" w:rsidRDefault="004F4CD7" w:rsidP="0070471B">
            <w:pPr>
              <w:pStyle w:val="Bezriadkovania"/>
              <w:jc w:val="center"/>
              <w:rPr>
                <w:sz w:val="20"/>
                <w:szCs w:val="20"/>
              </w:rPr>
            </w:pPr>
          </w:p>
        </w:tc>
        <w:tc>
          <w:tcPr>
            <w:tcW w:w="888" w:type="pct"/>
            <w:vAlign w:val="center"/>
          </w:tcPr>
          <w:p w14:paraId="5CAAA026" w14:textId="77777777" w:rsidR="004F4CD7" w:rsidRPr="00CD2438" w:rsidRDefault="004F4CD7" w:rsidP="0070471B">
            <w:pPr>
              <w:pStyle w:val="Bezriadkovania"/>
              <w:jc w:val="center"/>
              <w:rPr>
                <w:sz w:val="20"/>
                <w:szCs w:val="20"/>
              </w:rPr>
            </w:pPr>
          </w:p>
        </w:tc>
        <w:tc>
          <w:tcPr>
            <w:tcW w:w="473" w:type="pct"/>
            <w:vAlign w:val="center"/>
          </w:tcPr>
          <w:p w14:paraId="18CEAAAC" w14:textId="77777777" w:rsidR="004F4CD7" w:rsidRPr="00CD2438" w:rsidRDefault="004F4CD7" w:rsidP="0070471B">
            <w:pPr>
              <w:pStyle w:val="Bezriadkovania"/>
              <w:jc w:val="center"/>
              <w:rPr>
                <w:sz w:val="20"/>
                <w:szCs w:val="20"/>
              </w:rPr>
            </w:pPr>
          </w:p>
        </w:tc>
      </w:tr>
      <w:tr w:rsidR="004F4CD7" w:rsidRPr="00CD2438" w14:paraId="199344E4" w14:textId="77777777" w:rsidTr="00A57641">
        <w:tc>
          <w:tcPr>
            <w:tcW w:w="2356" w:type="pct"/>
            <w:vAlign w:val="center"/>
          </w:tcPr>
          <w:p w14:paraId="1459C1D9" w14:textId="77777777" w:rsidR="004F4CD7" w:rsidRPr="00CD2438" w:rsidRDefault="004F4CD7" w:rsidP="0070471B">
            <w:pPr>
              <w:pStyle w:val="Bezriadkovania"/>
              <w:ind w:firstLine="176"/>
              <w:rPr>
                <w:sz w:val="20"/>
                <w:szCs w:val="20"/>
              </w:rPr>
            </w:pPr>
            <w:r w:rsidRPr="00CD2438">
              <w:rPr>
                <w:sz w:val="20"/>
                <w:szCs w:val="20"/>
              </w:rPr>
              <w:t>Zamestnanosť (štatistické výkazníctvo)</w:t>
            </w:r>
          </w:p>
        </w:tc>
        <w:tc>
          <w:tcPr>
            <w:tcW w:w="492" w:type="pct"/>
            <w:vAlign w:val="center"/>
          </w:tcPr>
          <w:p w14:paraId="526E6B30" w14:textId="77777777" w:rsidR="004F4CD7" w:rsidRPr="00CD2438" w:rsidRDefault="004F4CD7" w:rsidP="0070471B">
            <w:pPr>
              <w:pStyle w:val="Bezriadkovania"/>
              <w:jc w:val="center"/>
              <w:rPr>
                <w:sz w:val="20"/>
                <w:szCs w:val="20"/>
              </w:rPr>
            </w:pPr>
            <w:r w:rsidRPr="00CD2438">
              <w:rPr>
                <w:sz w:val="20"/>
                <w:szCs w:val="20"/>
              </w:rPr>
              <w:t>1,87</w:t>
            </w:r>
          </w:p>
        </w:tc>
        <w:tc>
          <w:tcPr>
            <w:tcW w:w="790" w:type="pct"/>
            <w:vAlign w:val="center"/>
          </w:tcPr>
          <w:p w14:paraId="7112E39B" w14:textId="77777777" w:rsidR="004F4CD7" w:rsidRPr="00CD2438" w:rsidRDefault="004F4CD7" w:rsidP="0070471B">
            <w:pPr>
              <w:pStyle w:val="Bezriadkovania"/>
              <w:jc w:val="center"/>
              <w:rPr>
                <w:sz w:val="20"/>
                <w:szCs w:val="20"/>
              </w:rPr>
            </w:pPr>
            <w:r w:rsidRPr="00CD2438">
              <w:rPr>
                <w:sz w:val="20"/>
                <w:szCs w:val="20"/>
              </w:rPr>
              <w:t>1,14</w:t>
            </w:r>
          </w:p>
        </w:tc>
        <w:tc>
          <w:tcPr>
            <w:tcW w:w="888" w:type="pct"/>
            <w:vAlign w:val="center"/>
          </w:tcPr>
          <w:p w14:paraId="7CB2A2F9" w14:textId="77777777" w:rsidR="004F4CD7" w:rsidRPr="00CD2438" w:rsidRDefault="004F4CD7" w:rsidP="0070471B">
            <w:pPr>
              <w:pStyle w:val="Bezriadkovania"/>
              <w:jc w:val="center"/>
              <w:rPr>
                <w:sz w:val="20"/>
                <w:szCs w:val="20"/>
              </w:rPr>
            </w:pPr>
            <w:r w:rsidRPr="00CD2438">
              <w:rPr>
                <w:sz w:val="20"/>
                <w:szCs w:val="20"/>
              </w:rPr>
              <w:t>1,25</w:t>
            </w:r>
          </w:p>
        </w:tc>
        <w:tc>
          <w:tcPr>
            <w:tcW w:w="473" w:type="pct"/>
            <w:vAlign w:val="center"/>
          </w:tcPr>
          <w:p w14:paraId="6C23196C" w14:textId="77777777" w:rsidR="004F4CD7" w:rsidRPr="00CD2438" w:rsidRDefault="004F4CD7" w:rsidP="0070471B">
            <w:pPr>
              <w:pStyle w:val="Bezriadkovania"/>
              <w:jc w:val="center"/>
              <w:rPr>
                <w:sz w:val="20"/>
                <w:szCs w:val="20"/>
              </w:rPr>
            </w:pPr>
            <w:r w:rsidRPr="00CD2438">
              <w:rPr>
                <w:sz w:val="20"/>
                <w:szCs w:val="20"/>
              </w:rPr>
              <w:t>0,11</w:t>
            </w:r>
          </w:p>
        </w:tc>
      </w:tr>
      <w:tr w:rsidR="004F4CD7" w:rsidRPr="00CD2438" w14:paraId="3A28E4E8" w14:textId="77777777" w:rsidTr="00A57641">
        <w:tc>
          <w:tcPr>
            <w:tcW w:w="2356" w:type="pct"/>
            <w:vAlign w:val="center"/>
          </w:tcPr>
          <w:p w14:paraId="41C68DA9" w14:textId="77777777" w:rsidR="004F4CD7" w:rsidRPr="00CD2438" w:rsidRDefault="004F4CD7" w:rsidP="0070471B">
            <w:pPr>
              <w:pStyle w:val="Bezriadkovania"/>
              <w:ind w:firstLine="176"/>
              <w:rPr>
                <w:sz w:val="20"/>
                <w:szCs w:val="20"/>
              </w:rPr>
            </w:pPr>
            <w:r w:rsidRPr="00CD2438">
              <w:rPr>
                <w:sz w:val="20"/>
                <w:szCs w:val="20"/>
              </w:rPr>
              <w:t>Mzdy, nominálne</w:t>
            </w:r>
          </w:p>
        </w:tc>
        <w:tc>
          <w:tcPr>
            <w:tcW w:w="492" w:type="pct"/>
            <w:vAlign w:val="center"/>
          </w:tcPr>
          <w:p w14:paraId="79355406" w14:textId="77777777" w:rsidR="004F4CD7" w:rsidRPr="00CD2438" w:rsidRDefault="004F4CD7" w:rsidP="0070471B">
            <w:pPr>
              <w:pStyle w:val="Bezriadkovania"/>
              <w:jc w:val="center"/>
              <w:rPr>
                <w:sz w:val="20"/>
                <w:szCs w:val="20"/>
              </w:rPr>
            </w:pPr>
            <w:r w:rsidRPr="00CD2438">
              <w:rPr>
                <w:sz w:val="20"/>
                <w:szCs w:val="20"/>
              </w:rPr>
              <w:t>6,18</w:t>
            </w:r>
          </w:p>
        </w:tc>
        <w:tc>
          <w:tcPr>
            <w:tcW w:w="790" w:type="pct"/>
            <w:vAlign w:val="center"/>
          </w:tcPr>
          <w:p w14:paraId="0DE55CE6" w14:textId="77777777" w:rsidR="004F4CD7" w:rsidRPr="00CD2438" w:rsidRDefault="004F4CD7" w:rsidP="0070471B">
            <w:pPr>
              <w:pStyle w:val="Bezriadkovania"/>
              <w:jc w:val="center"/>
              <w:rPr>
                <w:sz w:val="20"/>
                <w:szCs w:val="20"/>
              </w:rPr>
            </w:pPr>
            <w:r w:rsidRPr="00CD2438">
              <w:rPr>
                <w:sz w:val="20"/>
                <w:szCs w:val="20"/>
              </w:rPr>
              <w:t>6,32</w:t>
            </w:r>
          </w:p>
        </w:tc>
        <w:tc>
          <w:tcPr>
            <w:tcW w:w="888" w:type="pct"/>
            <w:vAlign w:val="center"/>
          </w:tcPr>
          <w:p w14:paraId="33299AA1" w14:textId="77777777" w:rsidR="004F4CD7" w:rsidRPr="00CD2438" w:rsidRDefault="004F4CD7" w:rsidP="0070471B">
            <w:pPr>
              <w:pStyle w:val="Bezriadkovania"/>
              <w:jc w:val="center"/>
              <w:rPr>
                <w:sz w:val="20"/>
                <w:szCs w:val="20"/>
              </w:rPr>
            </w:pPr>
            <w:r w:rsidRPr="00CD2438">
              <w:rPr>
                <w:sz w:val="20"/>
                <w:szCs w:val="20"/>
              </w:rPr>
              <w:t>7,80</w:t>
            </w:r>
          </w:p>
        </w:tc>
        <w:tc>
          <w:tcPr>
            <w:tcW w:w="473" w:type="pct"/>
            <w:vAlign w:val="center"/>
          </w:tcPr>
          <w:p w14:paraId="5E1DD95E" w14:textId="77777777" w:rsidR="004F4CD7" w:rsidRPr="00CD2438" w:rsidRDefault="004F4CD7" w:rsidP="0070471B">
            <w:pPr>
              <w:pStyle w:val="Bezriadkovania"/>
              <w:jc w:val="center"/>
              <w:rPr>
                <w:sz w:val="20"/>
                <w:szCs w:val="20"/>
              </w:rPr>
            </w:pPr>
            <w:r w:rsidRPr="00CD2438">
              <w:rPr>
                <w:sz w:val="20"/>
                <w:szCs w:val="20"/>
              </w:rPr>
              <w:t>1,48</w:t>
            </w:r>
          </w:p>
        </w:tc>
      </w:tr>
      <w:tr w:rsidR="004F4CD7" w:rsidRPr="00CD2438" w14:paraId="3DD496C0" w14:textId="77777777" w:rsidTr="00A57641">
        <w:tc>
          <w:tcPr>
            <w:tcW w:w="2356" w:type="pct"/>
            <w:vAlign w:val="center"/>
          </w:tcPr>
          <w:p w14:paraId="4DE2787D" w14:textId="77777777" w:rsidR="004F4CD7" w:rsidRPr="00CD2438" w:rsidRDefault="004F4CD7" w:rsidP="0070471B">
            <w:pPr>
              <w:pStyle w:val="Bezriadkovania"/>
              <w:ind w:firstLine="176"/>
              <w:rPr>
                <w:sz w:val="20"/>
                <w:szCs w:val="20"/>
              </w:rPr>
            </w:pPr>
            <w:r w:rsidRPr="00CD2438">
              <w:rPr>
                <w:sz w:val="20"/>
                <w:szCs w:val="20"/>
              </w:rPr>
              <w:t>Mzdy, reálne</w:t>
            </w:r>
          </w:p>
        </w:tc>
        <w:tc>
          <w:tcPr>
            <w:tcW w:w="492" w:type="pct"/>
            <w:vAlign w:val="center"/>
          </w:tcPr>
          <w:p w14:paraId="043535F2" w14:textId="77777777" w:rsidR="004F4CD7" w:rsidRPr="00CD2438" w:rsidRDefault="004F4CD7" w:rsidP="0070471B">
            <w:pPr>
              <w:pStyle w:val="Bezriadkovania"/>
              <w:jc w:val="center"/>
              <w:rPr>
                <w:sz w:val="20"/>
                <w:szCs w:val="20"/>
              </w:rPr>
            </w:pPr>
            <w:r w:rsidRPr="00CD2438">
              <w:rPr>
                <w:sz w:val="20"/>
                <w:szCs w:val="20"/>
              </w:rPr>
              <w:t>3,60</w:t>
            </w:r>
          </w:p>
        </w:tc>
        <w:tc>
          <w:tcPr>
            <w:tcW w:w="790" w:type="pct"/>
            <w:vAlign w:val="center"/>
          </w:tcPr>
          <w:p w14:paraId="086332EC" w14:textId="77777777" w:rsidR="004F4CD7" w:rsidRPr="00CD2438" w:rsidRDefault="004F4CD7" w:rsidP="0070471B">
            <w:pPr>
              <w:pStyle w:val="Bezriadkovania"/>
              <w:jc w:val="center"/>
              <w:rPr>
                <w:sz w:val="20"/>
                <w:szCs w:val="20"/>
              </w:rPr>
            </w:pPr>
            <w:r w:rsidRPr="00CD2438">
              <w:rPr>
                <w:sz w:val="20"/>
                <w:szCs w:val="20"/>
              </w:rPr>
              <w:t>3,73</w:t>
            </w:r>
          </w:p>
        </w:tc>
        <w:tc>
          <w:tcPr>
            <w:tcW w:w="888" w:type="pct"/>
            <w:vAlign w:val="center"/>
          </w:tcPr>
          <w:p w14:paraId="60A54F70" w14:textId="77777777" w:rsidR="004F4CD7" w:rsidRPr="00CD2438" w:rsidRDefault="004F4CD7" w:rsidP="0070471B">
            <w:pPr>
              <w:pStyle w:val="Bezriadkovania"/>
              <w:jc w:val="center"/>
              <w:rPr>
                <w:sz w:val="20"/>
                <w:szCs w:val="20"/>
              </w:rPr>
            </w:pPr>
            <w:r w:rsidRPr="00CD2438">
              <w:rPr>
                <w:sz w:val="20"/>
                <w:szCs w:val="20"/>
              </w:rPr>
              <w:t>4,99</w:t>
            </w:r>
          </w:p>
        </w:tc>
        <w:tc>
          <w:tcPr>
            <w:tcW w:w="473" w:type="pct"/>
            <w:vAlign w:val="center"/>
          </w:tcPr>
          <w:p w14:paraId="40E5755F" w14:textId="77777777" w:rsidR="004F4CD7" w:rsidRPr="00CD2438" w:rsidRDefault="004F4CD7" w:rsidP="0070471B">
            <w:pPr>
              <w:pStyle w:val="Bezriadkovania"/>
              <w:jc w:val="center"/>
              <w:rPr>
                <w:sz w:val="20"/>
                <w:szCs w:val="20"/>
              </w:rPr>
            </w:pPr>
            <w:r w:rsidRPr="00CD2438">
              <w:rPr>
                <w:sz w:val="20"/>
                <w:szCs w:val="20"/>
              </w:rPr>
              <w:t>1,26</w:t>
            </w:r>
          </w:p>
        </w:tc>
      </w:tr>
      <w:tr w:rsidR="004F4CD7" w:rsidRPr="00CD2438" w14:paraId="71ADCEBE" w14:textId="77777777" w:rsidTr="00A57641">
        <w:tc>
          <w:tcPr>
            <w:tcW w:w="2356" w:type="pct"/>
            <w:vAlign w:val="center"/>
          </w:tcPr>
          <w:p w14:paraId="1FA82A67" w14:textId="77777777" w:rsidR="004F4CD7" w:rsidRPr="00CD2438" w:rsidRDefault="004F4CD7" w:rsidP="0070471B">
            <w:pPr>
              <w:pStyle w:val="Bezriadkovania"/>
              <w:ind w:firstLine="176"/>
              <w:rPr>
                <w:sz w:val="20"/>
                <w:szCs w:val="20"/>
              </w:rPr>
            </w:pPr>
            <w:r w:rsidRPr="00CD2438">
              <w:rPr>
                <w:sz w:val="20"/>
                <w:szCs w:val="20"/>
              </w:rPr>
              <w:t>Miera nezamestnanosti (VZPS)</w:t>
            </w:r>
          </w:p>
        </w:tc>
        <w:tc>
          <w:tcPr>
            <w:tcW w:w="492" w:type="pct"/>
            <w:vAlign w:val="center"/>
          </w:tcPr>
          <w:p w14:paraId="116F856A" w14:textId="77777777" w:rsidR="004F4CD7" w:rsidRPr="00CD2438" w:rsidRDefault="004F4CD7" w:rsidP="0070471B">
            <w:pPr>
              <w:pStyle w:val="Bezriadkovania"/>
              <w:jc w:val="center"/>
              <w:rPr>
                <w:sz w:val="20"/>
                <w:szCs w:val="20"/>
              </w:rPr>
            </w:pPr>
            <w:r w:rsidRPr="00CD2438">
              <w:rPr>
                <w:sz w:val="20"/>
                <w:szCs w:val="20"/>
              </w:rPr>
              <w:t>6,54</w:t>
            </w:r>
          </w:p>
        </w:tc>
        <w:tc>
          <w:tcPr>
            <w:tcW w:w="790" w:type="pct"/>
            <w:vAlign w:val="center"/>
          </w:tcPr>
          <w:p w14:paraId="7E5DFEBB" w14:textId="77777777" w:rsidR="004F4CD7" w:rsidRPr="00CD2438" w:rsidRDefault="004F4CD7" w:rsidP="0070471B">
            <w:pPr>
              <w:pStyle w:val="Bezriadkovania"/>
              <w:jc w:val="center"/>
              <w:rPr>
                <w:sz w:val="20"/>
                <w:szCs w:val="20"/>
              </w:rPr>
            </w:pPr>
            <w:r w:rsidRPr="00CD2438">
              <w:rPr>
                <w:sz w:val="20"/>
                <w:szCs w:val="20"/>
              </w:rPr>
              <w:t>6,37</w:t>
            </w:r>
          </w:p>
        </w:tc>
        <w:tc>
          <w:tcPr>
            <w:tcW w:w="888" w:type="pct"/>
            <w:vAlign w:val="center"/>
          </w:tcPr>
          <w:p w14:paraId="77025A38" w14:textId="77777777" w:rsidR="004F4CD7" w:rsidRPr="00CD2438" w:rsidRDefault="004F4CD7" w:rsidP="0070471B">
            <w:pPr>
              <w:pStyle w:val="Bezriadkovania"/>
              <w:jc w:val="center"/>
              <w:rPr>
                <w:sz w:val="20"/>
                <w:szCs w:val="20"/>
              </w:rPr>
            </w:pPr>
            <w:r w:rsidRPr="00CD2438">
              <w:rPr>
                <w:sz w:val="20"/>
                <w:szCs w:val="20"/>
              </w:rPr>
              <w:t>5,75</w:t>
            </w:r>
          </w:p>
        </w:tc>
        <w:tc>
          <w:tcPr>
            <w:tcW w:w="473" w:type="pct"/>
            <w:vAlign w:val="center"/>
          </w:tcPr>
          <w:p w14:paraId="304C1426" w14:textId="77777777" w:rsidR="004F4CD7" w:rsidRPr="00CD2438" w:rsidRDefault="004F4CD7" w:rsidP="0070471B">
            <w:pPr>
              <w:pStyle w:val="Bezriadkovania"/>
              <w:jc w:val="center"/>
              <w:rPr>
                <w:sz w:val="20"/>
                <w:szCs w:val="20"/>
              </w:rPr>
            </w:pPr>
            <w:r w:rsidRPr="00CD2438">
              <w:rPr>
                <w:sz w:val="20"/>
                <w:szCs w:val="20"/>
              </w:rPr>
              <w:t>-0,62</w:t>
            </w:r>
          </w:p>
        </w:tc>
      </w:tr>
      <w:tr w:rsidR="004F4CD7" w:rsidRPr="00CD2438" w14:paraId="23840C3F" w14:textId="77777777" w:rsidTr="00A57641">
        <w:tc>
          <w:tcPr>
            <w:tcW w:w="2356" w:type="pct"/>
            <w:vAlign w:val="center"/>
          </w:tcPr>
          <w:p w14:paraId="33E1402B" w14:textId="77777777" w:rsidR="004F4CD7" w:rsidRPr="00CD2438" w:rsidRDefault="004F4CD7" w:rsidP="0070471B">
            <w:pPr>
              <w:pStyle w:val="Bezriadkovania"/>
              <w:ind w:firstLine="176"/>
              <w:rPr>
                <w:sz w:val="20"/>
                <w:szCs w:val="20"/>
              </w:rPr>
            </w:pPr>
            <w:r w:rsidRPr="00CD2438">
              <w:rPr>
                <w:sz w:val="20"/>
                <w:szCs w:val="20"/>
              </w:rPr>
              <w:t>Celková zamestnanosť (tis. osôb)</w:t>
            </w:r>
          </w:p>
        </w:tc>
        <w:tc>
          <w:tcPr>
            <w:tcW w:w="492" w:type="pct"/>
            <w:vAlign w:val="center"/>
          </w:tcPr>
          <w:p w14:paraId="63676FE2" w14:textId="77777777" w:rsidR="004F4CD7" w:rsidRPr="00CD2438" w:rsidRDefault="004F4CD7" w:rsidP="0070471B">
            <w:pPr>
              <w:pStyle w:val="Bezriadkovania"/>
              <w:jc w:val="center"/>
              <w:rPr>
                <w:sz w:val="20"/>
                <w:szCs w:val="20"/>
              </w:rPr>
            </w:pPr>
            <w:r w:rsidRPr="00CD2438">
              <w:rPr>
                <w:sz w:val="20"/>
                <w:szCs w:val="20"/>
              </w:rPr>
              <w:t>2 566,73</w:t>
            </w:r>
          </w:p>
        </w:tc>
        <w:tc>
          <w:tcPr>
            <w:tcW w:w="790" w:type="pct"/>
            <w:vAlign w:val="center"/>
          </w:tcPr>
          <w:p w14:paraId="123C2F22" w14:textId="77777777" w:rsidR="004F4CD7" w:rsidRPr="00CD2438" w:rsidRDefault="004F4CD7" w:rsidP="0070471B">
            <w:pPr>
              <w:pStyle w:val="Bezriadkovania"/>
              <w:jc w:val="center"/>
              <w:rPr>
                <w:sz w:val="20"/>
                <w:szCs w:val="20"/>
              </w:rPr>
            </w:pPr>
            <w:r w:rsidRPr="00CD2438">
              <w:rPr>
                <w:sz w:val="20"/>
                <w:szCs w:val="20"/>
              </w:rPr>
              <w:t>2 570,35</w:t>
            </w:r>
          </w:p>
        </w:tc>
        <w:tc>
          <w:tcPr>
            <w:tcW w:w="888" w:type="pct"/>
            <w:vAlign w:val="center"/>
          </w:tcPr>
          <w:p w14:paraId="29E8F2C3" w14:textId="77777777" w:rsidR="004F4CD7" w:rsidRPr="00CD2438" w:rsidRDefault="004F4CD7" w:rsidP="0070471B">
            <w:pPr>
              <w:pStyle w:val="Bezriadkovania"/>
              <w:jc w:val="center"/>
              <w:rPr>
                <w:sz w:val="20"/>
                <w:szCs w:val="20"/>
              </w:rPr>
            </w:pPr>
            <w:r w:rsidRPr="00CD2438">
              <w:rPr>
                <w:sz w:val="20"/>
                <w:szCs w:val="20"/>
              </w:rPr>
              <w:t>2 583,64</w:t>
            </w:r>
          </w:p>
        </w:tc>
        <w:tc>
          <w:tcPr>
            <w:tcW w:w="473" w:type="pct"/>
            <w:vAlign w:val="center"/>
          </w:tcPr>
          <w:p w14:paraId="68B5DA49" w14:textId="77777777" w:rsidR="004F4CD7" w:rsidRPr="00CD2438" w:rsidRDefault="004F4CD7" w:rsidP="0070471B">
            <w:pPr>
              <w:pStyle w:val="Bezriadkovania"/>
              <w:jc w:val="center"/>
              <w:rPr>
                <w:sz w:val="20"/>
                <w:szCs w:val="20"/>
              </w:rPr>
            </w:pPr>
            <w:r w:rsidRPr="00CD2438">
              <w:rPr>
                <w:sz w:val="20"/>
                <w:szCs w:val="20"/>
              </w:rPr>
              <w:t>13,29</w:t>
            </w:r>
          </w:p>
        </w:tc>
      </w:tr>
      <w:tr w:rsidR="004F4CD7" w:rsidRPr="00CD2438" w14:paraId="39BC8DFA" w14:textId="77777777" w:rsidTr="00A57641">
        <w:tc>
          <w:tcPr>
            <w:tcW w:w="2356" w:type="pct"/>
            <w:vAlign w:val="center"/>
          </w:tcPr>
          <w:p w14:paraId="1BD68BAE" w14:textId="77777777" w:rsidR="004F4CD7" w:rsidRPr="00CD2438" w:rsidRDefault="004F4CD7" w:rsidP="0070471B">
            <w:pPr>
              <w:pStyle w:val="Bezriadkovania"/>
              <w:rPr>
                <w:b/>
                <w:sz w:val="20"/>
                <w:szCs w:val="20"/>
              </w:rPr>
            </w:pPr>
            <w:r w:rsidRPr="00CD2438">
              <w:rPr>
                <w:b/>
                <w:sz w:val="20"/>
                <w:szCs w:val="20"/>
              </w:rPr>
              <w:t>Inflácia</w:t>
            </w:r>
          </w:p>
        </w:tc>
        <w:tc>
          <w:tcPr>
            <w:tcW w:w="492" w:type="pct"/>
            <w:vAlign w:val="center"/>
          </w:tcPr>
          <w:p w14:paraId="10B94DEF" w14:textId="77777777" w:rsidR="004F4CD7" w:rsidRPr="00CD2438" w:rsidRDefault="004F4CD7" w:rsidP="0070471B">
            <w:pPr>
              <w:pStyle w:val="Bezriadkovania"/>
              <w:jc w:val="center"/>
              <w:rPr>
                <w:sz w:val="20"/>
                <w:szCs w:val="20"/>
              </w:rPr>
            </w:pPr>
          </w:p>
        </w:tc>
        <w:tc>
          <w:tcPr>
            <w:tcW w:w="790" w:type="pct"/>
            <w:vAlign w:val="center"/>
          </w:tcPr>
          <w:p w14:paraId="2FEF7463" w14:textId="77777777" w:rsidR="004F4CD7" w:rsidRPr="00CD2438" w:rsidRDefault="004F4CD7" w:rsidP="0070471B">
            <w:pPr>
              <w:pStyle w:val="Bezriadkovania"/>
              <w:jc w:val="center"/>
              <w:rPr>
                <w:sz w:val="20"/>
                <w:szCs w:val="20"/>
              </w:rPr>
            </w:pPr>
          </w:p>
        </w:tc>
        <w:tc>
          <w:tcPr>
            <w:tcW w:w="888" w:type="pct"/>
            <w:vAlign w:val="center"/>
          </w:tcPr>
          <w:p w14:paraId="1050B40A" w14:textId="77777777" w:rsidR="004F4CD7" w:rsidRPr="00CD2438" w:rsidRDefault="004F4CD7" w:rsidP="0070471B">
            <w:pPr>
              <w:pStyle w:val="Bezriadkovania"/>
              <w:jc w:val="center"/>
              <w:rPr>
                <w:sz w:val="20"/>
                <w:szCs w:val="20"/>
              </w:rPr>
            </w:pPr>
          </w:p>
        </w:tc>
        <w:tc>
          <w:tcPr>
            <w:tcW w:w="473" w:type="pct"/>
            <w:vAlign w:val="center"/>
          </w:tcPr>
          <w:p w14:paraId="03178E59" w14:textId="77777777" w:rsidR="004F4CD7" w:rsidRPr="00CD2438" w:rsidRDefault="004F4CD7" w:rsidP="0070471B">
            <w:pPr>
              <w:pStyle w:val="Bezriadkovania"/>
              <w:jc w:val="center"/>
              <w:rPr>
                <w:sz w:val="20"/>
                <w:szCs w:val="20"/>
              </w:rPr>
            </w:pPr>
          </w:p>
        </w:tc>
      </w:tr>
      <w:tr w:rsidR="004F4CD7" w:rsidRPr="00CD2438" w14:paraId="113974FC" w14:textId="77777777" w:rsidTr="00A57641">
        <w:tc>
          <w:tcPr>
            <w:tcW w:w="2356" w:type="pct"/>
            <w:vAlign w:val="center"/>
          </w:tcPr>
          <w:p w14:paraId="119F78A8" w14:textId="77777777" w:rsidR="004F4CD7" w:rsidRPr="00CD2438" w:rsidRDefault="004F4CD7" w:rsidP="0070471B">
            <w:pPr>
              <w:pStyle w:val="Bezriadkovania"/>
              <w:ind w:firstLine="176"/>
              <w:rPr>
                <w:sz w:val="20"/>
                <w:szCs w:val="20"/>
              </w:rPr>
            </w:pPr>
            <w:r w:rsidRPr="00CD2438">
              <w:rPr>
                <w:sz w:val="20"/>
                <w:szCs w:val="20"/>
              </w:rPr>
              <w:t>Index spotrebiteľských cien (CPI)</w:t>
            </w:r>
          </w:p>
        </w:tc>
        <w:tc>
          <w:tcPr>
            <w:tcW w:w="492" w:type="pct"/>
            <w:vAlign w:val="center"/>
          </w:tcPr>
          <w:p w14:paraId="2DE47E6E" w14:textId="77777777" w:rsidR="004F4CD7" w:rsidRPr="00CD2438" w:rsidRDefault="004F4CD7" w:rsidP="0070471B">
            <w:pPr>
              <w:pStyle w:val="Bezriadkovania"/>
              <w:jc w:val="center"/>
              <w:rPr>
                <w:sz w:val="20"/>
                <w:szCs w:val="20"/>
              </w:rPr>
            </w:pPr>
            <w:r w:rsidRPr="00CD2438">
              <w:rPr>
                <w:sz w:val="20"/>
                <w:szCs w:val="20"/>
              </w:rPr>
              <w:t>2,49</w:t>
            </w:r>
          </w:p>
        </w:tc>
        <w:tc>
          <w:tcPr>
            <w:tcW w:w="790" w:type="pct"/>
            <w:vAlign w:val="center"/>
          </w:tcPr>
          <w:p w14:paraId="31D2FAAF" w14:textId="77777777" w:rsidR="004F4CD7" w:rsidRPr="00CD2438" w:rsidRDefault="004F4CD7" w:rsidP="0070471B">
            <w:pPr>
              <w:pStyle w:val="Bezriadkovania"/>
              <w:jc w:val="center"/>
              <w:rPr>
                <w:sz w:val="20"/>
                <w:szCs w:val="20"/>
              </w:rPr>
            </w:pPr>
            <w:r w:rsidRPr="00CD2438">
              <w:rPr>
                <w:sz w:val="20"/>
                <w:szCs w:val="20"/>
              </w:rPr>
              <w:t>2,50</w:t>
            </w:r>
          </w:p>
        </w:tc>
        <w:tc>
          <w:tcPr>
            <w:tcW w:w="888" w:type="pct"/>
            <w:vAlign w:val="center"/>
          </w:tcPr>
          <w:p w14:paraId="05E7D24F" w14:textId="77777777" w:rsidR="004F4CD7" w:rsidRPr="00CD2438" w:rsidRDefault="004F4CD7" w:rsidP="0070471B">
            <w:pPr>
              <w:pStyle w:val="Bezriadkovania"/>
              <w:jc w:val="center"/>
              <w:rPr>
                <w:sz w:val="20"/>
                <w:szCs w:val="20"/>
              </w:rPr>
            </w:pPr>
            <w:r w:rsidRPr="00CD2438">
              <w:rPr>
                <w:sz w:val="20"/>
                <w:szCs w:val="20"/>
              </w:rPr>
              <w:t>2,68</w:t>
            </w:r>
          </w:p>
        </w:tc>
        <w:tc>
          <w:tcPr>
            <w:tcW w:w="473" w:type="pct"/>
            <w:vAlign w:val="center"/>
          </w:tcPr>
          <w:p w14:paraId="297BE629" w14:textId="77777777" w:rsidR="004F4CD7" w:rsidRPr="00CD2438" w:rsidRDefault="004F4CD7" w:rsidP="0070471B">
            <w:pPr>
              <w:pStyle w:val="Bezriadkovania"/>
              <w:jc w:val="center"/>
              <w:rPr>
                <w:sz w:val="20"/>
                <w:szCs w:val="20"/>
              </w:rPr>
            </w:pPr>
            <w:r w:rsidRPr="00CD2438">
              <w:rPr>
                <w:sz w:val="20"/>
                <w:szCs w:val="20"/>
              </w:rPr>
              <w:t>0,18</w:t>
            </w:r>
          </w:p>
        </w:tc>
      </w:tr>
      <w:tr w:rsidR="004F4CD7" w:rsidRPr="00CD2438" w14:paraId="100AFF89" w14:textId="77777777" w:rsidTr="00A57641">
        <w:tc>
          <w:tcPr>
            <w:tcW w:w="2356" w:type="pct"/>
            <w:vAlign w:val="center"/>
          </w:tcPr>
          <w:p w14:paraId="6449A2F7" w14:textId="77777777" w:rsidR="004F4CD7" w:rsidRPr="00CD2438" w:rsidRDefault="004F4CD7" w:rsidP="0070471B">
            <w:pPr>
              <w:pStyle w:val="Bezriadkovania"/>
              <w:ind w:firstLine="176"/>
              <w:rPr>
                <w:sz w:val="20"/>
                <w:szCs w:val="20"/>
              </w:rPr>
            </w:pPr>
            <w:r w:rsidRPr="00CD2438">
              <w:rPr>
                <w:sz w:val="20"/>
                <w:szCs w:val="20"/>
              </w:rPr>
              <w:t>Harmonizovaný index spotrebiteľských cien (HICP)</w:t>
            </w:r>
          </w:p>
        </w:tc>
        <w:tc>
          <w:tcPr>
            <w:tcW w:w="492" w:type="pct"/>
            <w:vAlign w:val="center"/>
          </w:tcPr>
          <w:p w14:paraId="77FDB924" w14:textId="77777777" w:rsidR="004F4CD7" w:rsidRPr="00CD2438" w:rsidRDefault="004F4CD7" w:rsidP="0070471B">
            <w:pPr>
              <w:pStyle w:val="Bezriadkovania"/>
              <w:jc w:val="center"/>
              <w:rPr>
                <w:sz w:val="20"/>
                <w:szCs w:val="20"/>
              </w:rPr>
            </w:pPr>
            <w:r w:rsidRPr="00CD2438">
              <w:rPr>
                <w:sz w:val="20"/>
                <w:szCs w:val="20"/>
              </w:rPr>
              <w:t>2,53</w:t>
            </w:r>
          </w:p>
        </w:tc>
        <w:tc>
          <w:tcPr>
            <w:tcW w:w="790" w:type="pct"/>
            <w:vAlign w:val="center"/>
          </w:tcPr>
          <w:p w14:paraId="5BB48AFE" w14:textId="77777777" w:rsidR="004F4CD7" w:rsidRPr="00CD2438" w:rsidRDefault="004F4CD7" w:rsidP="0070471B">
            <w:pPr>
              <w:pStyle w:val="Bezriadkovania"/>
              <w:jc w:val="center"/>
              <w:rPr>
                <w:sz w:val="20"/>
                <w:szCs w:val="20"/>
              </w:rPr>
            </w:pPr>
            <w:r w:rsidRPr="00CD2438">
              <w:rPr>
                <w:sz w:val="20"/>
                <w:szCs w:val="20"/>
              </w:rPr>
              <w:t>2,50</w:t>
            </w:r>
          </w:p>
        </w:tc>
        <w:tc>
          <w:tcPr>
            <w:tcW w:w="888" w:type="pct"/>
            <w:vAlign w:val="center"/>
          </w:tcPr>
          <w:p w14:paraId="38452849" w14:textId="77777777" w:rsidR="004F4CD7" w:rsidRPr="00CD2438" w:rsidRDefault="004F4CD7" w:rsidP="0070471B">
            <w:pPr>
              <w:pStyle w:val="Bezriadkovania"/>
              <w:jc w:val="center"/>
              <w:rPr>
                <w:sz w:val="20"/>
                <w:szCs w:val="20"/>
              </w:rPr>
            </w:pPr>
            <w:r w:rsidRPr="00CD2438">
              <w:rPr>
                <w:sz w:val="20"/>
                <w:szCs w:val="20"/>
              </w:rPr>
              <w:t>2,77</w:t>
            </w:r>
          </w:p>
        </w:tc>
        <w:tc>
          <w:tcPr>
            <w:tcW w:w="473" w:type="pct"/>
            <w:vAlign w:val="center"/>
          </w:tcPr>
          <w:p w14:paraId="50275594" w14:textId="77777777" w:rsidR="004F4CD7" w:rsidRPr="00CD2438" w:rsidRDefault="004F4CD7" w:rsidP="0070471B">
            <w:pPr>
              <w:pStyle w:val="Bezriadkovania"/>
              <w:jc w:val="center"/>
              <w:rPr>
                <w:sz w:val="20"/>
                <w:szCs w:val="20"/>
              </w:rPr>
            </w:pPr>
            <w:r w:rsidRPr="00CD2438">
              <w:rPr>
                <w:sz w:val="20"/>
                <w:szCs w:val="20"/>
              </w:rPr>
              <w:t>0,27</w:t>
            </w:r>
          </w:p>
        </w:tc>
      </w:tr>
    </w:tbl>
    <w:p w14:paraId="10F9EC69" w14:textId="70A59340" w:rsidR="004F4CD7" w:rsidRPr="00376728" w:rsidRDefault="004F4CD7" w:rsidP="004F4CD7">
      <w:pPr>
        <w:pStyle w:val="Bezriadkovania"/>
        <w:spacing w:after="120"/>
        <w:jc w:val="both"/>
        <w:rPr>
          <w:i/>
          <w:sz w:val="18"/>
        </w:rPr>
      </w:pPr>
      <w:r w:rsidRPr="00376728">
        <w:rPr>
          <w:i/>
          <w:sz w:val="18"/>
        </w:rPr>
        <w:t xml:space="preserve">Zdroj: </w:t>
      </w:r>
      <w:r w:rsidR="003C2E0B">
        <w:rPr>
          <w:i/>
          <w:sz w:val="18"/>
        </w:rPr>
        <w:t xml:space="preserve">Návrh </w:t>
      </w:r>
      <w:r w:rsidRPr="00376728">
        <w:rPr>
          <w:i/>
          <w:sz w:val="18"/>
        </w:rPr>
        <w:t>ŠZÚ</w:t>
      </w:r>
      <w:r w:rsidR="003C2E0B">
        <w:rPr>
          <w:i/>
          <w:sz w:val="18"/>
        </w:rPr>
        <w:t xml:space="preserve"> za rok 2019</w:t>
      </w:r>
      <w:r w:rsidRPr="00376728">
        <w:rPr>
          <w:i/>
          <w:sz w:val="18"/>
        </w:rPr>
        <w:t>, Prognóza VpMP MF SR zo septembra 2018, ŠÚ SR</w:t>
      </w:r>
    </w:p>
    <w:p w14:paraId="249411F9" w14:textId="4EF30A53" w:rsidR="006E6350" w:rsidRPr="00220EB0" w:rsidRDefault="003C2E0B" w:rsidP="003C2E0B">
      <w:pPr>
        <w:rPr>
          <w:b/>
          <w:i/>
        </w:rPr>
      </w:pPr>
      <w:r w:rsidRPr="00220EB0">
        <w:rPr>
          <w:b/>
          <w:i/>
        </w:rPr>
        <w:t>Tabuľka 2</w:t>
      </w:r>
      <w:r w:rsidR="005B7EA6" w:rsidRPr="00220EB0">
        <w:rPr>
          <w:b/>
          <w:i/>
        </w:rPr>
        <w:t>:</w:t>
      </w:r>
      <w:r w:rsidR="003E1FBB" w:rsidRPr="00220EB0">
        <w:rPr>
          <w:b/>
          <w:i/>
        </w:rPr>
        <w:t xml:space="preserve"> Štruktúra salda subjektov verejnej správy za roky 201</w:t>
      </w:r>
      <w:r w:rsidRPr="00220EB0">
        <w:rPr>
          <w:b/>
          <w:i/>
        </w:rPr>
        <w:t>7</w:t>
      </w:r>
      <w:r w:rsidR="003E1FBB" w:rsidRPr="00220EB0">
        <w:rPr>
          <w:b/>
          <w:i/>
        </w:rPr>
        <w:t xml:space="preserve"> až 201</w:t>
      </w:r>
      <w:r w:rsidRPr="00220EB0">
        <w:rPr>
          <w:b/>
          <w:i/>
        </w:rPr>
        <w:t>9</w:t>
      </w:r>
      <w:r w:rsidR="003E1FBB" w:rsidRPr="00220EB0">
        <w:rPr>
          <w:b/>
          <w:i/>
        </w:rPr>
        <w:t xml:space="preserve"> (na akruálnej báze)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1"/>
        <w:gridCol w:w="1049"/>
        <w:gridCol w:w="1050"/>
        <w:gridCol w:w="1049"/>
        <w:gridCol w:w="1050"/>
        <w:gridCol w:w="1047"/>
      </w:tblGrid>
      <w:tr w:rsidR="00995AB9" w:rsidRPr="003C2E0B" w14:paraId="682AC4D7" w14:textId="77777777" w:rsidTr="003C2E0B">
        <w:trPr>
          <w:trHeight w:val="227"/>
          <w:tblHeader/>
        </w:trPr>
        <w:tc>
          <w:tcPr>
            <w:tcW w:w="2194" w:type="pct"/>
            <w:vMerge w:val="restart"/>
            <w:shd w:val="clear" w:color="auto" w:fill="0070C0"/>
            <w:noWrap/>
            <w:vAlign w:val="center"/>
          </w:tcPr>
          <w:p w14:paraId="73C120BE" w14:textId="77777777" w:rsidR="00995AB9" w:rsidRPr="003C2E0B" w:rsidRDefault="00995AB9" w:rsidP="00A940B3">
            <w:pPr>
              <w:pStyle w:val="Bezriadkovania"/>
              <w:rPr>
                <w:b/>
                <w:color w:val="FFFFFF" w:themeColor="background1"/>
                <w:sz w:val="20"/>
                <w:szCs w:val="20"/>
              </w:rPr>
            </w:pPr>
            <w:r w:rsidRPr="003C2E0B">
              <w:rPr>
                <w:b/>
                <w:color w:val="FFFFFF" w:themeColor="background1"/>
                <w:sz w:val="20"/>
                <w:szCs w:val="20"/>
              </w:rPr>
              <w:t> Subjekt verejnej správy (v tis. eur)</w:t>
            </w:r>
          </w:p>
        </w:tc>
        <w:tc>
          <w:tcPr>
            <w:tcW w:w="1684" w:type="pct"/>
            <w:gridSpan w:val="3"/>
            <w:shd w:val="clear" w:color="auto" w:fill="0070C0"/>
            <w:noWrap/>
            <w:vAlign w:val="center"/>
          </w:tcPr>
          <w:p w14:paraId="53120645" w14:textId="77777777" w:rsidR="00995AB9" w:rsidRPr="003C2E0B" w:rsidRDefault="00995AB9" w:rsidP="00A940B3">
            <w:pPr>
              <w:pStyle w:val="Bezriadkovania"/>
              <w:jc w:val="center"/>
              <w:rPr>
                <w:b/>
                <w:color w:val="FFFFFF" w:themeColor="background1"/>
                <w:sz w:val="20"/>
                <w:szCs w:val="20"/>
              </w:rPr>
            </w:pPr>
            <w:r w:rsidRPr="003C2E0B">
              <w:rPr>
                <w:b/>
                <w:color w:val="FFFFFF" w:themeColor="background1"/>
                <w:sz w:val="20"/>
                <w:szCs w:val="20"/>
              </w:rPr>
              <w:t>Skutočnosť</w:t>
            </w:r>
          </w:p>
        </w:tc>
        <w:tc>
          <w:tcPr>
            <w:tcW w:w="562" w:type="pct"/>
            <w:shd w:val="clear" w:color="auto" w:fill="0070C0"/>
            <w:noWrap/>
            <w:vAlign w:val="center"/>
          </w:tcPr>
          <w:p w14:paraId="7587589C" w14:textId="77777777" w:rsidR="00995AB9" w:rsidRPr="003C2E0B" w:rsidRDefault="00995AB9" w:rsidP="00A940B3">
            <w:pPr>
              <w:pStyle w:val="Bezriadkovania"/>
              <w:jc w:val="center"/>
              <w:rPr>
                <w:b/>
                <w:color w:val="FFFFFF" w:themeColor="background1"/>
                <w:sz w:val="20"/>
                <w:szCs w:val="20"/>
              </w:rPr>
            </w:pPr>
            <w:r w:rsidRPr="003C2E0B">
              <w:rPr>
                <w:b/>
                <w:color w:val="FFFFFF" w:themeColor="background1"/>
                <w:sz w:val="20"/>
                <w:szCs w:val="20"/>
              </w:rPr>
              <w:t>Rozpočet</w:t>
            </w:r>
          </w:p>
        </w:tc>
        <w:tc>
          <w:tcPr>
            <w:tcW w:w="560" w:type="pct"/>
            <w:vMerge w:val="restart"/>
            <w:shd w:val="clear" w:color="auto" w:fill="0070C0"/>
            <w:noWrap/>
            <w:vAlign w:val="center"/>
          </w:tcPr>
          <w:p w14:paraId="645F46D1" w14:textId="77777777" w:rsidR="00995AB9" w:rsidRPr="003C2E0B" w:rsidRDefault="00995AB9" w:rsidP="00A940B3">
            <w:pPr>
              <w:pStyle w:val="Bezriadkovania"/>
              <w:jc w:val="center"/>
              <w:rPr>
                <w:b/>
                <w:color w:val="FFFFFF" w:themeColor="background1"/>
                <w:sz w:val="20"/>
                <w:szCs w:val="20"/>
              </w:rPr>
            </w:pPr>
            <w:r w:rsidRPr="003C2E0B">
              <w:rPr>
                <w:b/>
                <w:color w:val="FFFFFF" w:themeColor="background1"/>
                <w:sz w:val="20"/>
                <w:szCs w:val="20"/>
              </w:rPr>
              <w:t>Rozdiel</w:t>
            </w:r>
          </w:p>
          <w:p w14:paraId="362C9A5D" w14:textId="77777777" w:rsidR="00995AB9" w:rsidRPr="003C2E0B" w:rsidRDefault="00995AB9" w:rsidP="00A940B3">
            <w:pPr>
              <w:pStyle w:val="Bezriadkovania"/>
              <w:jc w:val="center"/>
              <w:rPr>
                <w:sz w:val="20"/>
                <w:szCs w:val="20"/>
              </w:rPr>
            </w:pPr>
            <w:r w:rsidRPr="003C2E0B">
              <w:rPr>
                <w:b/>
                <w:color w:val="FFFFFF" w:themeColor="background1"/>
                <w:sz w:val="20"/>
                <w:szCs w:val="20"/>
              </w:rPr>
              <w:t>(S – R)</w:t>
            </w:r>
          </w:p>
        </w:tc>
      </w:tr>
      <w:tr w:rsidR="00995AB9" w:rsidRPr="003C2E0B" w14:paraId="726CDADA" w14:textId="77777777" w:rsidTr="003C2E0B">
        <w:trPr>
          <w:trHeight w:val="227"/>
          <w:tblHeader/>
        </w:trPr>
        <w:tc>
          <w:tcPr>
            <w:tcW w:w="2194" w:type="pct"/>
            <w:vMerge/>
            <w:shd w:val="clear" w:color="auto" w:fill="000000" w:themeFill="text1"/>
            <w:noWrap/>
            <w:vAlign w:val="center"/>
            <w:hideMark/>
          </w:tcPr>
          <w:p w14:paraId="4BCE4AE4" w14:textId="77777777" w:rsidR="00995AB9" w:rsidRPr="003C2E0B" w:rsidRDefault="00995AB9" w:rsidP="00A940B3">
            <w:pPr>
              <w:pStyle w:val="Bezriadkovania"/>
              <w:rPr>
                <w:b/>
                <w:color w:val="FFFFFF" w:themeColor="background1"/>
                <w:sz w:val="20"/>
                <w:szCs w:val="20"/>
              </w:rPr>
            </w:pPr>
          </w:p>
        </w:tc>
        <w:tc>
          <w:tcPr>
            <w:tcW w:w="561" w:type="pct"/>
            <w:shd w:val="clear" w:color="auto" w:fill="0070C0"/>
            <w:noWrap/>
            <w:vAlign w:val="center"/>
          </w:tcPr>
          <w:p w14:paraId="441BDE0D" w14:textId="77777777" w:rsidR="00995AB9" w:rsidRPr="003C2E0B" w:rsidRDefault="00995AB9" w:rsidP="00A940B3">
            <w:pPr>
              <w:pStyle w:val="Bezriadkovania"/>
              <w:jc w:val="center"/>
              <w:rPr>
                <w:b/>
                <w:color w:val="FFFFFF" w:themeColor="background1"/>
                <w:sz w:val="20"/>
                <w:szCs w:val="20"/>
              </w:rPr>
            </w:pPr>
            <w:r w:rsidRPr="003C2E0B">
              <w:rPr>
                <w:b/>
                <w:color w:val="FFFFFF" w:themeColor="background1"/>
                <w:sz w:val="20"/>
                <w:szCs w:val="20"/>
              </w:rPr>
              <w:t>2017</w:t>
            </w:r>
          </w:p>
        </w:tc>
        <w:tc>
          <w:tcPr>
            <w:tcW w:w="562" w:type="pct"/>
            <w:shd w:val="clear" w:color="auto" w:fill="0070C0"/>
            <w:noWrap/>
            <w:vAlign w:val="center"/>
            <w:hideMark/>
          </w:tcPr>
          <w:p w14:paraId="7C226EA9" w14:textId="77777777" w:rsidR="00995AB9" w:rsidRPr="003C2E0B" w:rsidRDefault="00995AB9" w:rsidP="00A940B3">
            <w:pPr>
              <w:pStyle w:val="Bezriadkovania"/>
              <w:jc w:val="center"/>
              <w:rPr>
                <w:b/>
                <w:color w:val="FFFFFF" w:themeColor="background1"/>
                <w:sz w:val="20"/>
                <w:szCs w:val="20"/>
              </w:rPr>
            </w:pPr>
            <w:r w:rsidRPr="003C2E0B">
              <w:rPr>
                <w:b/>
                <w:color w:val="FFFFFF" w:themeColor="background1"/>
                <w:sz w:val="20"/>
                <w:szCs w:val="20"/>
              </w:rPr>
              <w:t>2018</w:t>
            </w:r>
          </w:p>
        </w:tc>
        <w:tc>
          <w:tcPr>
            <w:tcW w:w="561" w:type="pct"/>
            <w:shd w:val="clear" w:color="auto" w:fill="0070C0"/>
            <w:noWrap/>
            <w:vAlign w:val="center"/>
            <w:hideMark/>
          </w:tcPr>
          <w:p w14:paraId="4FFC56B5" w14:textId="77777777" w:rsidR="00995AB9" w:rsidRPr="003C2E0B" w:rsidRDefault="00995AB9" w:rsidP="00A940B3">
            <w:pPr>
              <w:pStyle w:val="Bezriadkovania"/>
              <w:jc w:val="center"/>
              <w:rPr>
                <w:b/>
                <w:color w:val="FFFFFF" w:themeColor="background1"/>
                <w:sz w:val="20"/>
                <w:szCs w:val="20"/>
              </w:rPr>
            </w:pPr>
            <w:r w:rsidRPr="003C2E0B">
              <w:rPr>
                <w:b/>
                <w:color w:val="FFFFFF" w:themeColor="background1"/>
                <w:sz w:val="20"/>
                <w:szCs w:val="20"/>
              </w:rPr>
              <w:t>2019</w:t>
            </w:r>
          </w:p>
        </w:tc>
        <w:tc>
          <w:tcPr>
            <w:tcW w:w="562" w:type="pct"/>
            <w:shd w:val="clear" w:color="auto" w:fill="0070C0"/>
            <w:noWrap/>
            <w:vAlign w:val="center"/>
            <w:hideMark/>
          </w:tcPr>
          <w:p w14:paraId="1E974DC6" w14:textId="77777777" w:rsidR="00995AB9" w:rsidRPr="003C2E0B" w:rsidRDefault="00995AB9" w:rsidP="00A940B3">
            <w:pPr>
              <w:pStyle w:val="Bezriadkovania"/>
              <w:jc w:val="center"/>
              <w:rPr>
                <w:b/>
                <w:color w:val="FFFFFF" w:themeColor="background1"/>
                <w:sz w:val="20"/>
                <w:szCs w:val="20"/>
              </w:rPr>
            </w:pPr>
            <w:r w:rsidRPr="003C2E0B">
              <w:rPr>
                <w:b/>
                <w:color w:val="FFFFFF" w:themeColor="background1"/>
                <w:sz w:val="20"/>
                <w:szCs w:val="20"/>
              </w:rPr>
              <w:t>2019</w:t>
            </w:r>
          </w:p>
        </w:tc>
        <w:tc>
          <w:tcPr>
            <w:tcW w:w="560" w:type="pct"/>
            <w:vMerge/>
            <w:shd w:val="clear" w:color="auto" w:fill="000000" w:themeFill="text1"/>
            <w:noWrap/>
            <w:vAlign w:val="center"/>
            <w:hideMark/>
          </w:tcPr>
          <w:p w14:paraId="2D8F6D9D" w14:textId="77777777" w:rsidR="00995AB9" w:rsidRPr="003C2E0B" w:rsidRDefault="00995AB9" w:rsidP="00A940B3">
            <w:pPr>
              <w:pStyle w:val="Bezriadkovania"/>
              <w:rPr>
                <w:sz w:val="20"/>
                <w:szCs w:val="20"/>
              </w:rPr>
            </w:pPr>
          </w:p>
        </w:tc>
      </w:tr>
      <w:tr w:rsidR="00995AB9" w:rsidRPr="003C2E0B" w14:paraId="4AA326B1" w14:textId="77777777" w:rsidTr="003C2E0B">
        <w:trPr>
          <w:trHeight w:val="227"/>
        </w:trPr>
        <w:tc>
          <w:tcPr>
            <w:tcW w:w="2194" w:type="pct"/>
            <w:shd w:val="clear" w:color="auto" w:fill="FFFFFF"/>
            <w:noWrap/>
            <w:vAlign w:val="center"/>
            <w:hideMark/>
          </w:tcPr>
          <w:p w14:paraId="5514CD96" w14:textId="77777777" w:rsidR="00995AB9" w:rsidRPr="006C0682" w:rsidRDefault="00995AB9" w:rsidP="00A940B3">
            <w:pPr>
              <w:pStyle w:val="Bezriadkovania"/>
              <w:rPr>
                <w:b/>
                <w:sz w:val="20"/>
                <w:szCs w:val="20"/>
              </w:rPr>
            </w:pPr>
            <w:r w:rsidRPr="006C0682">
              <w:rPr>
                <w:b/>
                <w:sz w:val="20"/>
                <w:szCs w:val="20"/>
              </w:rPr>
              <w:t>Štátny rozpočet</w:t>
            </w:r>
            <w:r w:rsidRPr="006C0682">
              <w:rPr>
                <w:b/>
                <w:sz w:val="20"/>
                <w:szCs w:val="20"/>
                <w:vertAlign w:val="superscript"/>
              </w:rPr>
              <w:t>1</w:t>
            </w:r>
            <w:r w:rsidRPr="006C0682">
              <w:rPr>
                <w:b/>
                <w:color w:val="000000"/>
                <w:sz w:val="20"/>
                <w:szCs w:val="20"/>
                <w:vertAlign w:val="superscript"/>
              </w:rPr>
              <w:t>)</w:t>
            </w:r>
          </w:p>
        </w:tc>
        <w:tc>
          <w:tcPr>
            <w:tcW w:w="561" w:type="pct"/>
            <w:shd w:val="clear" w:color="auto" w:fill="FFFFFF"/>
            <w:noWrap/>
          </w:tcPr>
          <w:p w14:paraId="1A1FDF04" w14:textId="77777777" w:rsidR="00995AB9" w:rsidRPr="006C0682" w:rsidRDefault="00995AB9" w:rsidP="00A940B3">
            <w:pPr>
              <w:pStyle w:val="Bezriadkovania"/>
              <w:jc w:val="right"/>
              <w:rPr>
                <w:b/>
                <w:sz w:val="20"/>
                <w:szCs w:val="20"/>
              </w:rPr>
            </w:pPr>
            <w:r w:rsidRPr="006C0682">
              <w:rPr>
                <w:b/>
                <w:sz w:val="20"/>
                <w:szCs w:val="20"/>
              </w:rPr>
              <w:t>-1 126 236</w:t>
            </w:r>
          </w:p>
        </w:tc>
        <w:tc>
          <w:tcPr>
            <w:tcW w:w="562" w:type="pct"/>
            <w:shd w:val="clear" w:color="auto" w:fill="FFFFFF"/>
            <w:noWrap/>
          </w:tcPr>
          <w:p w14:paraId="53BB6907" w14:textId="77777777" w:rsidR="00995AB9" w:rsidRPr="006C0682" w:rsidRDefault="00995AB9" w:rsidP="00A940B3">
            <w:pPr>
              <w:pStyle w:val="Bezriadkovania"/>
              <w:jc w:val="right"/>
              <w:rPr>
                <w:b/>
                <w:sz w:val="20"/>
                <w:szCs w:val="20"/>
              </w:rPr>
            </w:pPr>
            <w:r w:rsidRPr="006C0682">
              <w:rPr>
                <w:b/>
                <w:sz w:val="20"/>
                <w:szCs w:val="20"/>
              </w:rPr>
              <w:t>-1 560 271</w:t>
            </w:r>
          </w:p>
        </w:tc>
        <w:tc>
          <w:tcPr>
            <w:tcW w:w="561" w:type="pct"/>
            <w:shd w:val="clear" w:color="auto" w:fill="FFFFFF"/>
            <w:noWrap/>
          </w:tcPr>
          <w:p w14:paraId="57B923CF" w14:textId="77777777" w:rsidR="00995AB9" w:rsidRPr="006C0682" w:rsidRDefault="00995AB9" w:rsidP="00A940B3">
            <w:pPr>
              <w:pStyle w:val="Bezriadkovania"/>
              <w:jc w:val="right"/>
              <w:rPr>
                <w:b/>
                <w:sz w:val="20"/>
                <w:szCs w:val="20"/>
              </w:rPr>
            </w:pPr>
            <w:r w:rsidRPr="006C0682">
              <w:rPr>
                <w:b/>
                <w:sz w:val="20"/>
                <w:szCs w:val="20"/>
              </w:rPr>
              <w:t>-1 747 288</w:t>
            </w:r>
          </w:p>
        </w:tc>
        <w:tc>
          <w:tcPr>
            <w:tcW w:w="562" w:type="pct"/>
            <w:shd w:val="clear" w:color="auto" w:fill="FFFFFF"/>
            <w:noWrap/>
          </w:tcPr>
          <w:p w14:paraId="749F961C" w14:textId="77777777" w:rsidR="00995AB9" w:rsidRPr="006C0682" w:rsidRDefault="00995AB9" w:rsidP="00A940B3">
            <w:pPr>
              <w:pStyle w:val="Bezriadkovania"/>
              <w:jc w:val="right"/>
              <w:rPr>
                <w:b/>
                <w:sz w:val="20"/>
                <w:szCs w:val="20"/>
              </w:rPr>
            </w:pPr>
            <w:r w:rsidRPr="006C0682">
              <w:rPr>
                <w:b/>
                <w:sz w:val="20"/>
                <w:szCs w:val="20"/>
              </w:rPr>
              <w:t>-988 402</w:t>
            </w:r>
          </w:p>
        </w:tc>
        <w:tc>
          <w:tcPr>
            <w:tcW w:w="560" w:type="pct"/>
            <w:shd w:val="clear" w:color="auto" w:fill="FFFFFF"/>
            <w:noWrap/>
          </w:tcPr>
          <w:p w14:paraId="294EAF2D" w14:textId="77777777" w:rsidR="00995AB9" w:rsidRPr="006C0682" w:rsidRDefault="00995AB9" w:rsidP="00A940B3">
            <w:pPr>
              <w:pStyle w:val="Bezriadkovania"/>
              <w:jc w:val="right"/>
              <w:rPr>
                <w:b/>
                <w:sz w:val="20"/>
                <w:szCs w:val="20"/>
              </w:rPr>
            </w:pPr>
            <w:r w:rsidRPr="006C0682">
              <w:rPr>
                <w:b/>
                <w:sz w:val="20"/>
                <w:szCs w:val="20"/>
              </w:rPr>
              <w:t>-758 886</w:t>
            </w:r>
          </w:p>
        </w:tc>
      </w:tr>
      <w:tr w:rsidR="00995AB9" w:rsidRPr="003C2E0B" w14:paraId="0A9AD854" w14:textId="77777777" w:rsidTr="003C2E0B">
        <w:trPr>
          <w:trHeight w:val="227"/>
        </w:trPr>
        <w:tc>
          <w:tcPr>
            <w:tcW w:w="2194" w:type="pct"/>
            <w:shd w:val="clear" w:color="auto" w:fill="FFFFFF"/>
            <w:noWrap/>
            <w:vAlign w:val="center"/>
          </w:tcPr>
          <w:p w14:paraId="701029DE" w14:textId="77777777" w:rsidR="00995AB9" w:rsidRPr="003C2E0B" w:rsidRDefault="00995AB9" w:rsidP="00A940B3">
            <w:pPr>
              <w:pStyle w:val="Bezriadkovania"/>
              <w:rPr>
                <w:sz w:val="20"/>
                <w:szCs w:val="20"/>
              </w:rPr>
            </w:pPr>
            <w:r w:rsidRPr="003C2E0B">
              <w:rPr>
                <w:sz w:val="20"/>
                <w:szCs w:val="20"/>
              </w:rPr>
              <w:t>Príspevkové organizácie ústrednej správy</w:t>
            </w:r>
          </w:p>
        </w:tc>
        <w:tc>
          <w:tcPr>
            <w:tcW w:w="561" w:type="pct"/>
            <w:shd w:val="clear" w:color="auto" w:fill="FFFFFF"/>
            <w:noWrap/>
          </w:tcPr>
          <w:p w14:paraId="3723141F" w14:textId="77777777" w:rsidR="00995AB9" w:rsidRPr="003C2E0B" w:rsidRDefault="00995AB9" w:rsidP="00A940B3">
            <w:pPr>
              <w:pStyle w:val="Bezriadkovania"/>
              <w:jc w:val="right"/>
              <w:rPr>
                <w:sz w:val="20"/>
                <w:szCs w:val="20"/>
              </w:rPr>
            </w:pPr>
            <w:r w:rsidRPr="003C2E0B">
              <w:rPr>
                <w:sz w:val="20"/>
                <w:szCs w:val="20"/>
              </w:rPr>
              <w:t>31 361</w:t>
            </w:r>
          </w:p>
        </w:tc>
        <w:tc>
          <w:tcPr>
            <w:tcW w:w="562" w:type="pct"/>
            <w:shd w:val="clear" w:color="auto" w:fill="FFFFFF"/>
            <w:noWrap/>
          </w:tcPr>
          <w:p w14:paraId="57C7C772" w14:textId="77777777" w:rsidR="00995AB9" w:rsidRPr="003C2E0B" w:rsidRDefault="00995AB9" w:rsidP="00A940B3">
            <w:pPr>
              <w:pStyle w:val="Bezriadkovania"/>
              <w:jc w:val="right"/>
              <w:rPr>
                <w:sz w:val="20"/>
                <w:szCs w:val="20"/>
              </w:rPr>
            </w:pPr>
            <w:r w:rsidRPr="003C2E0B">
              <w:rPr>
                <w:sz w:val="20"/>
                <w:szCs w:val="20"/>
              </w:rPr>
              <w:t>2 002</w:t>
            </w:r>
          </w:p>
        </w:tc>
        <w:tc>
          <w:tcPr>
            <w:tcW w:w="561" w:type="pct"/>
            <w:shd w:val="clear" w:color="auto" w:fill="FFFFFF"/>
            <w:noWrap/>
          </w:tcPr>
          <w:p w14:paraId="263B469E" w14:textId="77777777" w:rsidR="00995AB9" w:rsidRPr="003C2E0B" w:rsidRDefault="00995AB9" w:rsidP="00A940B3">
            <w:pPr>
              <w:pStyle w:val="Bezriadkovania"/>
              <w:jc w:val="right"/>
              <w:rPr>
                <w:sz w:val="20"/>
                <w:szCs w:val="20"/>
              </w:rPr>
            </w:pPr>
            <w:r w:rsidRPr="003C2E0B">
              <w:rPr>
                <w:sz w:val="20"/>
                <w:szCs w:val="20"/>
              </w:rPr>
              <w:t>22 675</w:t>
            </w:r>
          </w:p>
        </w:tc>
        <w:tc>
          <w:tcPr>
            <w:tcW w:w="562" w:type="pct"/>
            <w:shd w:val="clear" w:color="auto" w:fill="FFFFFF"/>
            <w:noWrap/>
          </w:tcPr>
          <w:p w14:paraId="4B10EBF2" w14:textId="77777777" w:rsidR="00995AB9" w:rsidRPr="003C2E0B" w:rsidRDefault="00995AB9" w:rsidP="00A940B3">
            <w:pPr>
              <w:pStyle w:val="Bezriadkovania"/>
              <w:jc w:val="right"/>
              <w:rPr>
                <w:sz w:val="20"/>
                <w:szCs w:val="20"/>
              </w:rPr>
            </w:pPr>
            <w:r w:rsidRPr="003C2E0B">
              <w:rPr>
                <w:sz w:val="20"/>
                <w:szCs w:val="20"/>
              </w:rPr>
              <w:t>-7 383</w:t>
            </w:r>
          </w:p>
        </w:tc>
        <w:tc>
          <w:tcPr>
            <w:tcW w:w="560" w:type="pct"/>
            <w:shd w:val="clear" w:color="auto" w:fill="FFFFFF"/>
            <w:noWrap/>
          </w:tcPr>
          <w:p w14:paraId="633886DE" w14:textId="77777777" w:rsidR="00995AB9" w:rsidRPr="003C2E0B" w:rsidRDefault="00995AB9" w:rsidP="00A940B3">
            <w:pPr>
              <w:pStyle w:val="Bezriadkovania"/>
              <w:jc w:val="right"/>
              <w:rPr>
                <w:sz w:val="20"/>
                <w:szCs w:val="20"/>
              </w:rPr>
            </w:pPr>
            <w:r w:rsidRPr="003C2E0B">
              <w:rPr>
                <w:sz w:val="20"/>
                <w:szCs w:val="20"/>
              </w:rPr>
              <w:t>30 058</w:t>
            </w:r>
          </w:p>
        </w:tc>
      </w:tr>
      <w:tr w:rsidR="00995AB9" w:rsidRPr="003C2E0B" w14:paraId="7817EBA8" w14:textId="77777777" w:rsidTr="003C2E0B">
        <w:trPr>
          <w:trHeight w:val="227"/>
        </w:trPr>
        <w:tc>
          <w:tcPr>
            <w:tcW w:w="2194" w:type="pct"/>
            <w:shd w:val="clear" w:color="auto" w:fill="FFFFFF"/>
            <w:noWrap/>
            <w:vAlign w:val="center"/>
            <w:hideMark/>
          </w:tcPr>
          <w:p w14:paraId="7169D4A5" w14:textId="77777777" w:rsidR="00995AB9" w:rsidRPr="003C2E0B" w:rsidRDefault="00995AB9" w:rsidP="00A940B3">
            <w:pPr>
              <w:pStyle w:val="Bezriadkovania"/>
              <w:rPr>
                <w:sz w:val="20"/>
                <w:szCs w:val="20"/>
              </w:rPr>
            </w:pPr>
            <w:r w:rsidRPr="003C2E0B">
              <w:rPr>
                <w:sz w:val="20"/>
                <w:szCs w:val="20"/>
              </w:rPr>
              <w:t>Štátne fondy</w:t>
            </w:r>
          </w:p>
        </w:tc>
        <w:tc>
          <w:tcPr>
            <w:tcW w:w="561" w:type="pct"/>
            <w:shd w:val="clear" w:color="auto" w:fill="FFFFFF"/>
            <w:noWrap/>
          </w:tcPr>
          <w:p w14:paraId="040FBEBF" w14:textId="77777777" w:rsidR="00995AB9" w:rsidRPr="003C2E0B" w:rsidRDefault="00995AB9" w:rsidP="00A940B3">
            <w:pPr>
              <w:pStyle w:val="Bezriadkovania"/>
              <w:jc w:val="right"/>
              <w:rPr>
                <w:sz w:val="20"/>
                <w:szCs w:val="20"/>
              </w:rPr>
            </w:pPr>
            <w:r w:rsidRPr="003C2E0B">
              <w:rPr>
                <w:sz w:val="20"/>
                <w:szCs w:val="20"/>
              </w:rPr>
              <w:t>100 427</w:t>
            </w:r>
          </w:p>
        </w:tc>
        <w:tc>
          <w:tcPr>
            <w:tcW w:w="562" w:type="pct"/>
            <w:shd w:val="clear" w:color="auto" w:fill="FFFFFF"/>
            <w:noWrap/>
          </w:tcPr>
          <w:p w14:paraId="6B156227" w14:textId="77777777" w:rsidR="00995AB9" w:rsidRPr="003C2E0B" w:rsidRDefault="00995AB9" w:rsidP="00A940B3">
            <w:pPr>
              <w:pStyle w:val="Bezriadkovania"/>
              <w:jc w:val="right"/>
              <w:rPr>
                <w:sz w:val="20"/>
                <w:szCs w:val="20"/>
              </w:rPr>
            </w:pPr>
            <w:r w:rsidRPr="003C2E0B">
              <w:rPr>
                <w:sz w:val="20"/>
                <w:szCs w:val="20"/>
              </w:rPr>
              <w:t>101 098</w:t>
            </w:r>
          </w:p>
        </w:tc>
        <w:tc>
          <w:tcPr>
            <w:tcW w:w="561" w:type="pct"/>
            <w:shd w:val="clear" w:color="auto" w:fill="FFFFFF"/>
            <w:noWrap/>
          </w:tcPr>
          <w:p w14:paraId="2E6357EC" w14:textId="77777777" w:rsidR="00995AB9" w:rsidRPr="003C2E0B" w:rsidRDefault="00995AB9" w:rsidP="00A940B3">
            <w:pPr>
              <w:pStyle w:val="Bezriadkovania"/>
              <w:jc w:val="right"/>
              <w:rPr>
                <w:sz w:val="20"/>
                <w:szCs w:val="20"/>
              </w:rPr>
            </w:pPr>
            <w:r w:rsidRPr="003C2E0B">
              <w:rPr>
                <w:sz w:val="20"/>
                <w:szCs w:val="20"/>
              </w:rPr>
              <w:t>100 292</w:t>
            </w:r>
          </w:p>
        </w:tc>
        <w:tc>
          <w:tcPr>
            <w:tcW w:w="562" w:type="pct"/>
            <w:shd w:val="clear" w:color="auto" w:fill="FFFFFF"/>
            <w:noWrap/>
          </w:tcPr>
          <w:p w14:paraId="3430C5FD" w14:textId="77777777" w:rsidR="00995AB9" w:rsidRPr="003C2E0B" w:rsidRDefault="00995AB9" w:rsidP="00A940B3">
            <w:pPr>
              <w:pStyle w:val="Bezriadkovania"/>
              <w:jc w:val="right"/>
              <w:rPr>
                <w:sz w:val="20"/>
                <w:szCs w:val="20"/>
              </w:rPr>
            </w:pPr>
            <w:r w:rsidRPr="003C2E0B">
              <w:rPr>
                <w:sz w:val="20"/>
                <w:szCs w:val="20"/>
              </w:rPr>
              <w:t>314 819</w:t>
            </w:r>
          </w:p>
        </w:tc>
        <w:tc>
          <w:tcPr>
            <w:tcW w:w="560" w:type="pct"/>
            <w:shd w:val="clear" w:color="auto" w:fill="FFFFFF"/>
            <w:noWrap/>
          </w:tcPr>
          <w:p w14:paraId="4E2838CD" w14:textId="77777777" w:rsidR="00995AB9" w:rsidRPr="003C2E0B" w:rsidRDefault="00995AB9" w:rsidP="00A940B3">
            <w:pPr>
              <w:pStyle w:val="Bezriadkovania"/>
              <w:jc w:val="right"/>
              <w:rPr>
                <w:sz w:val="20"/>
                <w:szCs w:val="20"/>
              </w:rPr>
            </w:pPr>
            <w:r w:rsidRPr="003C2E0B">
              <w:rPr>
                <w:sz w:val="20"/>
                <w:szCs w:val="20"/>
              </w:rPr>
              <w:t>-214 527</w:t>
            </w:r>
          </w:p>
        </w:tc>
      </w:tr>
      <w:tr w:rsidR="00995AB9" w:rsidRPr="003C2E0B" w14:paraId="492E48E1" w14:textId="77777777" w:rsidTr="003C2E0B">
        <w:trPr>
          <w:trHeight w:val="227"/>
        </w:trPr>
        <w:tc>
          <w:tcPr>
            <w:tcW w:w="2194" w:type="pct"/>
            <w:shd w:val="clear" w:color="auto" w:fill="FFFFFF"/>
            <w:noWrap/>
            <w:vAlign w:val="center"/>
            <w:hideMark/>
          </w:tcPr>
          <w:p w14:paraId="48B88E68" w14:textId="77777777" w:rsidR="00995AB9" w:rsidRPr="003C2E0B" w:rsidRDefault="00995AB9" w:rsidP="00A940B3">
            <w:pPr>
              <w:pStyle w:val="Bezriadkovania"/>
              <w:rPr>
                <w:sz w:val="20"/>
                <w:szCs w:val="20"/>
              </w:rPr>
            </w:pPr>
            <w:r w:rsidRPr="003C2E0B">
              <w:rPr>
                <w:sz w:val="20"/>
                <w:szCs w:val="20"/>
              </w:rPr>
              <w:t>Eximbanka SR</w:t>
            </w:r>
          </w:p>
        </w:tc>
        <w:tc>
          <w:tcPr>
            <w:tcW w:w="561" w:type="pct"/>
            <w:shd w:val="clear" w:color="auto" w:fill="FFFFFF"/>
            <w:noWrap/>
          </w:tcPr>
          <w:p w14:paraId="6B3C07B7" w14:textId="77777777" w:rsidR="00995AB9" w:rsidRPr="003C2E0B" w:rsidRDefault="00995AB9" w:rsidP="00A940B3">
            <w:pPr>
              <w:pStyle w:val="Bezriadkovania"/>
              <w:jc w:val="right"/>
              <w:rPr>
                <w:sz w:val="20"/>
                <w:szCs w:val="20"/>
              </w:rPr>
            </w:pPr>
            <w:r w:rsidRPr="003C2E0B">
              <w:rPr>
                <w:sz w:val="20"/>
                <w:szCs w:val="20"/>
              </w:rPr>
              <w:t>563</w:t>
            </w:r>
          </w:p>
        </w:tc>
        <w:tc>
          <w:tcPr>
            <w:tcW w:w="562" w:type="pct"/>
            <w:shd w:val="clear" w:color="auto" w:fill="FFFFFF"/>
            <w:noWrap/>
          </w:tcPr>
          <w:p w14:paraId="7900F2CF" w14:textId="77777777" w:rsidR="00995AB9" w:rsidRPr="003C2E0B" w:rsidRDefault="00995AB9" w:rsidP="00A940B3">
            <w:pPr>
              <w:pStyle w:val="Bezriadkovania"/>
              <w:jc w:val="right"/>
              <w:rPr>
                <w:sz w:val="20"/>
                <w:szCs w:val="20"/>
              </w:rPr>
            </w:pPr>
            <w:r w:rsidRPr="003C2E0B">
              <w:rPr>
                <w:sz w:val="20"/>
                <w:szCs w:val="20"/>
              </w:rPr>
              <w:t>13 776</w:t>
            </w:r>
          </w:p>
        </w:tc>
        <w:tc>
          <w:tcPr>
            <w:tcW w:w="561" w:type="pct"/>
            <w:shd w:val="clear" w:color="auto" w:fill="FFFFFF"/>
            <w:noWrap/>
          </w:tcPr>
          <w:p w14:paraId="346FEECE" w14:textId="77777777" w:rsidR="00995AB9" w:rsidRPr="003C2E0B" w:rsidRDefault="00995AB9" w:rsidP="00A940B3">
            <w:pPr>
              <w:pStyle w:val="Bezriadkovania"/>
              <w:jc w:val="right"/>
              <w:rPr>
                <w:sz w:val="20"/>
                <w:szCs w:val="20"/>
              </w:rPr>
            </w:pPr>
            <w:r w:rsidRPr="003C2E0B">
              <w:rPr>
                <w:sz w:val="20"/>
                <w:szCs w:val="20"/>
              </w:rPr>
              <w:t>4 415</w:t>
            </w:r>
          </w:p>
        </w:tc>
        <w:tc>
          <w:tcPr>
            <w:tcW w:w="562" w:type="pct"/>
            <w:shd w:val="clear" w:color="auto" w:fill="FFFFFF"/>
            <w:noWrap/>
          </w:tcPr>
          <w:p w14:paraId="45291533" w14:textId="77777777" w:rsidR="00995AB9" w:rsidRPr="003C2E0B" w:rsidRDefault="00995AB9" w:rsidP="00A940B3">
            <w:pPr>
              <w:pStyle w:val="Bezriadkovania"/>
              <w:jc w:val="right"/>
              <w:rPr>
                <w:sz w:val="20"/>
                <w:szCs w:val="20"/>
              </w:rPr>
            </w:pPr>
            <w:r w:rsidRPr="003C2E0B">
              <w:rPr>
                <w:sz w:val="20"/>
                <w:szCs w:val="20"/>
              </w:rPr>
              <w:t>750</w:t>
            </w:r>
          </w:p>
        </w:tc>
        <w:tc>
          <w:tcPr>
            <w:tcW w:w="560" w:type="pct"/>
            <w:shd w:val="clear" w:color="auto" w:fill="FFFFFF"/>
            <w:noWrap/>
          </w:tcPr>
          <w:p w14:paraId="541F207D" w14:textId="77777777" w:rsidR="00995AB9" w:rsidRPr="003C2E0B" w:rsidRDefault="00995AB9" w:rsidP="00A940B3">
            <w:pPr>
              <w:pStyle w:val="Bezriadkovania"/>
              <w:jc w:val="right"/>
              <w:rPr>
                <w:sz w:val="20"/>
                <w:szCs w:val="20"/>
              </w:rPr>
            </w:pPr>
            <w:r w:rsidRPr="003C2E0B">
              <w:rPr>
                <w:sz w:val="20"/>
                <w:szCs w:val="20"/>
              </w:rPr>
              <w:t>3 665</w:t>
            </w:r>
          </w:p>
        </w:tc>
      </w:tr>
      <w:tr w:rsidR="00995AB9" w:rsidRPr="003C2E0B" w14:paraId="4F344582" w14:textId="77777777" w:rsidTr="003C2E0B">
        <w:trPr>
          <w:trHeight w:val="227"/>
        </w:trPr>
        <w:tc>
          <w:tcPr>
            <w:tcW w:w="2194" w:type="pct"/>
            <w:shd w:val="clear" w:color="auto" w:fill="FFFFFF"/>
            <w:noWrap/>
            <w:vAlign w:val="center"/>
          </w:tcPr>
          <w:p w14:paraId="0FAEC80B" w14:textId="77777777" w:rsidR="00995AB9" w:rsidRPr="003C2E0B" w:rsidRDefault="00995AB9" w:rsidP="00A940B3">
            <w:pPr>
              <w:pStyle w:val="Bezriadkovania"/>
              <w:rPr>
                <w:sz w:val="20"/>
                <w:szCs w:val="20"/>
              </w:rPr>
            </w:pPr>
            <w:r w:rsidRPr="003C2E0B">
              <w:rPr>
                <w:sz w:val="20"/>
                <w:szCs w:val="20"/>
              </w:rPr>
              <w:t>Obchodné spoločnosti štátu</w:t>
            </w:r>
          </w:p>
        </w:tc>
        <w:tc>
          <w:tcPr>
            <w:tcW w:w="561" w:type="pct"/>
            <w:shd w:val="clear" w:color="auto" w:fill="FFFFFF"/>
            <w:noWrap/>
          </w:tcPr>
          <w:p w14:paraId="3F3CFB7A" w14:textId="77777777" w:rsidR="00995AB9" w:rsidRPr="003C2E0B" w:rsidRDefault="00995AB9" w:rsidP="00A940B3">
            <w:pPr>
              <w:pStyle w:val="Bezriadkovania"/>
              <w:jc w:val="right"/>
              <w:rPr>
                <w:sz w:val="20"/>
                <w:szCs w:val="20"/>
              </w:rPr>
            </w:pPr>
            <w:r w:rsidRPr="003C2E0B">
              <w:rPr>
                <w:sz w:val="20"/>
                <w:szCs w:val="20"/>
              </w:rPr>
              <w:t xml:space="preserve">-89 725  </w:t>
            </w:r>
          </w:p>
        </w:tc>
        <w:tc>
          <w:tcPr>
            <w:tcW w:w="562" w:type="pct"/>
            <w:shd w:val="clear" w:color="auto" w:fill="FFFFFF"/>
            <w:noWrap/>
          </w:tcPr>
          <w:p w14:paraId="21885AFA" w14:textId="77777777" w:rsidR="00995AB9" w:rsidRPr="003C2E0B" w:rsidRDefault="00995AB9" w:rsidP="00A940B3">
            <w:pPr>
              <w:pStyle w:val="Bezriadkovania"/>
              <w:jc w:val="right"/>
              <w:rPr>
                <w:sz w:val="20"/>
                <w:szCs w:val="20"/>
              </w:rPr>
            </w:pPr>
            <w:r w:rsidRPr="003C2E0B">
              <w:rPr>
                <w:sz w:val="20"/>
                <w:szCs w:val="20"/>
              </w:rPr>
              <w:t>-13 562</w:t>
            </w:r>
          </w:p>
        </w:tc>
        <w:tc>
          <w:tcPr>
            <w:tcW w:w="561" w:type="pct"/>
            <w:shd w:val="clear" w:color="auto" w:fill="FFFFFF"/>
            <w:noWrap/>
          </w:tcPr>
          <w:p w14:paraId="0716F2A1" w14:textId="77777777" w:rsidR="00995AB9" w:rsidRPr="003C2E0B" w:rsidRDefault="00995AB9" w:rsidP="00A940B3">
            <w:pPr>
              <w:pStyle w:val="Bezriadkovania"/>
              <w:jc w:val="right"/>
              <w:rPr>
                <w:sz w:val="20"/>
                <w:szCs w:val="20"/>
              </w:rPr>
            </w:pPr>
            <w:r w:rsidRPr="003C2E0B">
              <w:rPr>
                <w:sz w:val="20"/>
                <w:szCs w:val="20"/>
              </w:rPr>
              <w:t>-42 820</w:t>
            </w:r>
          </w:p>
        </w:tc>
        <w:tc>
          <w:tcPr>
            <w:tcW w:w="562" w:type="pct"/>
            <w:shd w:val="clear" w:color="auto" w:fill="FFFFFF"/>
            <w:noWrap/>
          </w:tcPr>
          <w:p w14:paraId="1666BABF" w14:textId="77777777" w:rsidR="00995AB9" w:rsidRPr="003C2E0B" w:rsidRDefault="00995AB9" w:rsidP="00A940B3">
            <w:pPr>
              <w:pStyle w:val="Bezriadkovania"/>
              <w:jc w:val="right"/>
              <w:rPr>
                <w:sz w:val="20"/>
                <w:szCs w:val="20"/>
              </w:rPr>
            </w:pPr>
            <w:r w:rsidRPr="003C2E0B">
              <w:rPr>
                <w:sz w:val="20"/>
                <w:szCs w:val="20"/>
              </w:rPr>
              <w:t>34 436</w:t>
            </w:r>
          </w:p>
        </w:tc>
        <w:tc>
          <w:tcPr>
            <w:tcW w:w="560" w:type="pct"/>
            <w:shd w:val="clear" w:color="auto" w:fill="FFFFFF"/>
            <w:noWrap/>
          </w:tcPr>
          <w:p w14:paraId="7E16E3F6" w14:textId="77777777" w:rsidR="00995AB9" w:rsidRPr="003C2E0B" w:rsidRDefault="00995AB9" w:rsidP="00A940B3">
            <w:pPr>
              <w:pStyle w:val="Bezriadkovania"/>
              <w:jc w:val="right"/>
              <w:rPr>
                <w:sz w:val="20"/>
                <w:szCs w:val="20"/>
              </w:rPr>
            </w:pPr>
            <w:r w:rsidRPr="003C2E0B">
              <w:rPr>
                <w:sz w:val="20"/>
                <w:szCs w:val="20"/>
              </w:rPr>
              <w:t>-77 256</w:t>
            </w:r>
          </w:p>
        </w:tc>
      </w:tr>
      <w:tr w:rsidR="00995AB9" w:rsidRPr="003C2E0B" w14:paraId="312EE626" w14:textId="77777777" w:rsidTr="003C2E0B">
        <w:trPr>
          <w:trHeight w:val="227"/>
        </w:trPr>
        <w:tc>
          <w:tcPr>
            <w:tcW w:w="2194" w:type="pct"/>
            <w:shd w:val="clear" w:color="auto" w:fill="FFFFFF"/>
            <w:noWrap/>
            <w:vAlign w:val="center"/>
          </w:tcPr>
          <w:p w14:paraId="235B70DB" w14:textId="77777777" w:rsidR="00995AB9" w:rsidRPr="003C2E0B" w:rsidRDefault="00995AB9" w:rsidP="00A940B3">
            <w:pPr>
              <w:pStyle w:val="Bezriadkovania"/>
              <w:rPr>
                <w:sz w:val="20"/>
                <w:szCs w:val="20"/>
              </w:rPr>
            </w:pPr>
            <w:r w:rsidRPr="003C2E0B">
              <w:rPr>
                <w:sz w:val="20"/>
                <w:szCs w:val="20"/>
              </w:rPr>
              <w:t>z toho:</w:t>
            </w:r>
          </w:p>
        </w:tc>
        <w:tc>
          <w:tcPr>
            <w:tcW w:w="561" w:type="pct"/>
            <w:shd w:val="clear" w:color="auto" w:fill="FFFFFF"/>
            <w:noWrap/>
          </w:tcPr>
          <w:p w14:paraId="0605593B" w14:textId="77777777" w:rsidR="00995AB9" w:rsidRPr="003C2E0B" w:rsidRDefault="00995AB9" w:rsidP="00A940B3">
            <w:pPr>
              <w:pStyle w:val="Bezriadkovania"/>
              <w:jc w:val="right"/>
              <w:rPr>
                <w:sz w:val="20"/>
                <w:szCs w:val="20"/>
              </w:rPr>
            </w:pPr>
          </w:p>
        </w:tc>
        <w:tc>
          <w:tcPr>
            <w:tcW w:w="562" w:type="pct"/>
            <w:shd w:val="clear" w:color="auto" w:fill="FFFFFF"/>
            <w:noWrap/>
          </w:tcPr>
          <w:p w14:paraId="163CCD7B" w14:textId="77777777" w:rsidR="00995AB9" w:rsidRPr="003C2E0B" w:rsidRDefault="00995AB9" w:rsidP="00A940B3">
            <w:pPr>
              <w:pStyle w:val="Bezriadkovania"/>
              <w:jc w:val="right"/>
              <w:rPr>
                <w:sz w:val="20"/>
                <w:szCs w:val="20"/>
              </w:rPr>
            </w:pPr>
          </w:p>
        </w:tc>
        <w:tc>
          <w:tcPr>
            <w:tcW w:w="561" w:type="pct"/>
            <w:shd w:val="clear" w:color="auto" w:fill="FFFFFF"/>
            <w:noWrap/>
          </w:tcPr>
          <w:p w14:paraId="35A39F22" w14:textId="77777777" w:rsidR="00995AB9" w:rsidRPr="003C2E0B" w:rsidRDefault="00995AB9" w:rsidP="00A940B3">
            <w:pPr>
              <w:pStyle w:val="Bezriadkovania"/>
              <w:jc w:val="right"/>
              <w:rPr>
                <w:sz w:val="20"/>
                <w:szCs w:val="20"/>
              </w:rPr>
            </w:pPr>
          </w:p>
        </w:tc>
        <w:tc>
          <w:tcPr>
            <w:tcW w:w="562" w:type="pct"/>
            <w:shd w:val="clear" w:color="auto" w:fill="FFFFFF"/>
            <w:noWrap/>
          </w:tcPr>
          <w:p w14:paraId="611C9EB6" w14:textId="77777777" w:rsidR="00995AB9" w:rsidRPr="003C2E0B" w:rsidRDefault="00995AB9" w:rsidP="00A940B3">
            <w:pPr>
              <w:pStyle w:val="Bezriadkovania"/>
              <w:jc w:val="right"/>
              <w:rPr>
                <w:sz w:val="20"/>
                <w:szCs w:val="20"/>
              </w:rPr>
            </w:pPr>
          </w:p>
        </w:tc>
        <w:tc>
          <w:tcPr>
            <w:tcW w:w="560" w:type="pct"/>
            <w:shd w:val="clear" w:color="auto" w:fill="FFFFFF"/>
            <w:noWrap/>
          </w:tcPr>
          <w:p w14:paraId="22019146" w14:textId="77777777" w:rsidR="00995AB9" w:rsidRPr="003C2E0B" w:rsidRDefault="00995AB9" w:rsidP="00A940B3">
            <w:pPr>
              <w:pStyle w:val="Bezriadkovania"/>
              <w:jc w:val="right"/>
              <w:rPr>
                <w:sz w:val="20"/>
                <w:szCs w:val="20"/>
              </w:rPr>
            </w:pPr>
          </w:p>
        </w:tc>
      </w:tr>
      <w:tr w:rsidR="00995AB9" w:rsidRPr="003C2E0B" w14:paraId="3CA2FE38" w14:textId="77777777" w:rsidTr="003C2E0B">
        <w:trPr>
          <w:trHeight w:val="227"/>
        </w:trPr>
        <w:tc>
          <w:tcPr>
            <w:tcW w:w="2194" w:type="pct"/>
            <w:shd w:val="clear" w:color="auto" w:fill="FFFFFF"/>
            <w:noWrap/>
            <w:vAlign w:val="center"/>
          </w:tcPr>
          <w:p w14:paraId="6F4010BA" w14:textId="77777777" w:rsidR="00995AB9" w:rsidRPr="003C2E0B" w:rsidRDefault="00995AB9" w:rsidP="00A940B3">
            <w:pPr>
              <w:pStyle w:val="Bezriadkovania"/>
              <w:jc w:val="both"/>
              <w:rPr>
                <w:sz w:val="20"/>
                <w:szCs w:val="20"/>
              </w:rPr>
            </w:pPr>
            <w:r w:rsidRPr="003C2E0B">
              <w:rPr>
                <w:sz w:val="20"/>
                <w:szCs w:val="20"/>
              </w:rPr>
              <w:t xml:space="preserve">     Železničná spoločnosť Slovensko, a.s.</w:t>
            </w:r>
          </w:p>
        </w:tc>
        <w:tc>
          <w:tcPr>
            <w:tcW w:w="561" w:type="pct"/>
            <w:shd w:val="clear" w:color="auto" w:fill="FFFFFF"/>
            <w:noWrap/>
          </w:tcPr>
          <w:p w14:paraId="07CE9002" w14:textId="77777777" w:rsidR="00995AB9" w:rsidRPr="003C2E0B" w:rsidRDefault="00995AB9" w:rsidP="00A940B3">
            <w:pPr>
              <w:pStyle w:val="Bezriadkovania"/>
              <w:jc w:val="right"/>
              <w:rPr>
                <w:sz w:val="20"/>
                <w:szCs w:val="20"/>
              </w:rPr>
            </w:pPr>
            <w:r w:rsidRPr="003C2E0B">
              <w:rPr>
                <w:sz w:val="20"/>
                <w:szCs w:val="20"/>
              </w:rPr>
              <w:t>13 893</w:t>
            </w:r>
          </w:p>
        </w:tc>
        <w:tc>
          <w:tcPr>
            <w:tcW w:w="562" w:type="pct"/>
            <w:shd w:val="clear" w:color="auto" w:fill="FFFFFF"/>
            <w:noWrap/>
          </w:tcPr>
          <w:p w14:paraId="1A774783" w14:textId="77777777" w:rsidR="00995AB9" w:rsidRPr="003C2E0B" w:rsidRDefault="00995AB9" w:rsidP="00A940B3">
            <w:pPr>
              <w:pStyle w:val="Bezriadkovania"/>
              <w:jc w:val="right"/>
              <w:rPr>
                <w:sz w:val="20"/>
                <w:szCs w:val="20"/>
              </w:rPr>
            </w:pPr>
            <w:r w:rsidRPr="003C2E0B">
              <w:rPr>
                <w:sz w:val="20"/>
                <w:szCs w:val="20"/>
              </w:rPr>
              <w:t>-12 221</w:t>
            </w:r>
          </w:p>
        </w:tc>
        <w:tc>
          <w:tcPr>
            <w:tcW w:w="561" w:type="pct"/>
            <w:shd w:val="clear" w:color="auto" w:fill="FFFFFF"/>
            <w:noWrap/>
          </w:tcPr>
          <w:p w14:paraId="6CFF3B90" w14:textId="77777777" w:rsidR="00995AB9" w:rsidRPr="003C2E0B" w:rsidRDefault="00995AB9" w:rsidP="00A940B3">
            <w:pPr>
              <w:pStyle w:val="Bezriadkovania"/>
              <w:jc w:val="right"/>
              <w:rPr>
                <w:sz w:val="20"/>
                <w:szCs w:val="20"/>
              </w:rPr>
            </w:pPr>
            <w:r w:rsidRPr="003C2E0B">
              <w:rPr>
                <w:sz w:val="20"/>
                <w:szCs w:val="20"/>
              </w:rPr>
              <w:t>-36 893</w:t>
            </w:r>
          </w:p>
        </w:tc>
        <w:tc>
          <w:tcPr>
            <w:tcW w:w="562" w:type="pct"/>
            <w:shd w:val="clear" w:color="auto" w:fill="FFFFFF"/>
            <w:noWrap/>
          </w:tcPr>
          <w:p w14:paraId="169CEE63" w14:textId="77777777" w:rsidR="00995AB9" w:rsidRPr="003C2E0B" w:rsidRDefault="00995AB9" w:rsidP="00A940B3">
            <w:pPr>
              <w:pStyle w:val="Bezriadkovania"/>
              <w:jc w:val="right"/>
              <w:rPr>
                <w:sz w:val="20"/>
                <w:szCs w:val="20"/>
              </w:rPr>
            </w:pPr>
            <w:r w:rsidRPr="003C2E0B">
              <w:rPr>
                <w:sz w:val="20"/>
                <w:szCs w:val="20"/>
              </w:rPr>
              <w:t>434</w:t>
            </w:r>
          </w:p>
        </w:tc>
        <w:tc>
          <w:tcPr>
            <w:tcW w:w="560" w:type="pct"/>
            <w:shd w:val="clear" w:color="auto" w:fill="FFFFFF"/>
            <w:noWrap/>
          </w:tcPr>
          <w:p w14:paraId="1D72152C" w14:textId="77777777" w:rsidR="00995AB9" w:rsidRPr="003C2E0B" w:rsidRDefault="00995AB9" w:rsidP="00A940B3">
            <w:pPr>
              <w:pStyle w:val="Bezriadkovania"/>
              <w:jc w:val="right"/>
              <w:rPr>
                <w:sz w:val="20"/>
                <w:szCs w:val="20"/>
              </w:rPr>
            </w:pPr>
            <w:r w:rsidRPr="003C2E0B">
              <w:rPr>
                <w:sz w:val="20"/>
                <w:szCs w:val="20"/>
              </w:rPr>
              <w:t>-37 327</w:t>
            </w:r>
          </w:p>
        </w:tc>
      </w:tr>
      <w:tr w:rsidR="00995AB9" w:rsidRPr="003C2E0B" w14:paraId="38C913DD" w14:textId="77777777" w:rsidTr="003C2E0B">
        <w:trPr>
          <w:trHeight w:val="227"/>
        </w:trPr>
        <w:tc>
          <w:tcPr>
            <w:tcW w:w="2194" w:type="pct"/>
            <w:shd w:val="clear" w:color="auto" w:fill="FFFFFF"/>
            <w:noWrap/>
            <w:vAlign w:val="center"/>
          </w:tcPr>
          <w:p w14:paraId="53FF7DE3" w14:textId="77777777" w:rsidR="00995AB9" w:rsidRPr="003C2E0B" w:rsidRDefault="00995AB9" w:rsidP="00A940B3">
            <w:pPr>
              <w:pStyle w:val="Bezriadkovania"/>
              <w:rPr>
                <w:sz w:val="20"/>
                <w:szCs w:val="20"/>
              </w:rPr>
            </w:pPr>
            <w:r w:rsidRPr="003C2E0B">
              <w:rPr>
                <w:sz w:val="20"/>
                <w:szCs w:val="20"/>
              </w:rPr>
              <w:t xml:space="preserve">     MH Invest, s.r.o.</w:t>
            </w:r>
          </w:p>
        </w:tc>
        <w:tc>
          <w:tcPr>
            <w:tcW w:w="561" w:type="pct"/>
            <w:shd w:val="clear" w:color="auto" w:fill="FFFFFF"/>
            <w:noWrap/>
          </w:tcPr>
          <w:p w14:paraId="0B8D5B9D" w14:textId="77777777" w:rsidR="00995AB9" w:rsidRPr="003C2E0B" w:rsidRDefault="00995AB9" w:rsidP="00A940B3">
            <w:pPr>
              <w:pStyle w:val="Bezriadkovania"/>
              <w:jc w:val="right"/>
              <w:rPr>
                <w:sz w:val="20"/>
                <w:szCs w:val="20"/>
              </w:rPr>
            </w:pPr>
            <w:r w:rsidRPr="003C2E0B">
              <w:rPr>
                <w:sz w:val="20"/>
                <w:szCs w:val="20"/>
              </w:rPr>
              <w:t>25 267</w:t>
            </w:r>
          </w:p>
        </w:tc>
        <w:tc>
          <w:tcPr>
            <w:tcW w:w="562" w:type="pct"/>
            <w:shd w:val="clear" w:color="auto" w:fill="FFFFFF"/>
            <w:noWrap/>
          </w:tcPr>
          <w:p w14:paraId="490049F6" w14:textId="77777777" w:rsidR="00995AB9" w:rsidRPr="003C2E0B" w:rsidRDefault="00995AB9" w:rsidP="00A940B3">
            <w:pPr>
              <w:pStyle w:val="Bezriadkovania"/>
              <w:jc w:val="right"/>
              <w:rPr>
                <w:sz w:val="20"/>
                <w:szCs w:val="20"/>
              </w:rPr>
            </w:pPr>
            <w:r w:rsidRPr="003C2E0B">
              <w:rPr>
                <w:sz w:val="20"/>
                <w:szCs w:val="20"/>
              </w:rPr>
              <w:t>-10 990</w:t>
            </w:r>
          </w:p>
        </w:tc>
        <w:tc>
          <w:tcPr>
            <w:tcW w:w="561" w:type="pct"/>
            <w:shd w:val="clear" w:color="auto" w:fill="FFFFFF"/>
            <w:noWrap/>
          </w:tcPr>
          <w:p w14:paraId="2B22377D" w14:textId="77777777" w:rsidR="00995AB9" w:rsidRPr="003C2E0B" w:rsidRDefault="00995AB9" w:rsidP="00A940B3">
            <w:pPr>
              <w:pStyle w:val="Bezriadkovania"/>
              <w:jc w:val="right"/>
              <w:rPr>
                <w:sz w:val="20"/>
                <w:szCs w:val="20"/>
              </w:rPr>
            </w:pPr>
            <w:r w:rsidRPr="003C2E0B">
              <w:rPr>
                <w:sz w:val="20"/>
                <w:szCs w:val="20"/>
              </w:rPr>
              <w:t>-3 450</w:t>
            </w:r>
          </w:p>
        </w:tc>
        <w:tc>
          <w:tcPr>
            <w:tcW w:w="562" w:type="pct"/>
            <w:shd w:val="clear" w:color="auto" w:fill="FFFFFF"/>
            <w:noWrap/>
          </w:tcPr>
          <w:p w14:paraId="5AB77712" w14:textId="77777777" w:rsidR="00995AB9" w:rsidRPr="003C2E0B" w:rsidRDefault="00995AB9" w:rsidP="00A940B3">
            <w:pPr>
              <w:pStyle w:val="Bezriadkovania"/>
              <w:jc w:val="right"/>
              <w:rPr>
                <w:sz w:val="20"/>
                <w:szCs w:val="20"/>
              </w:rPr>
            </w:pPr>
            <w:r w:rsidRPr="003C2E0B">
              <w:rPr>
                <w:sz w:val="20"/>
                <w:szCs w:val="20"/>
              </w:rPr>
              <w:t>61</w:t>
            </w:r>
          </w:p>
        </w:tc>
        <w:tc>
          <w:tcPr>
            <w:tcW w:w="560" w:type="pct"/>
            <w:shd w:val="clear" w:color="auto" w:fill="FFFFFF"/>
            <w:noWrap/>
          </w:tcPr>
          <w:p w14:paraId="4B5FE460" w14:textId="77777777" w:rsidR="00995AB9" w:rsidRPr="003C2E0B" w:rsidRDefault="00995AB9" w:rsidP="00A940B3">
            <w:pPr>
              <w:pStyle w:val="Bezriadkovania"/>
              <w:jc w:val="right"/>
              <w:rPr>
                <w:sz w:val="20"/>
                <w:szCs w:val="20"/>
              </w:rPr>
            </w:pPr>
            <w:r w:rsidRPr="003C2E0B">
              <w:rPr>
                <w:sz w:val="20"/>
                <w:szCs w:val="20"/>
              </w:rPr>
              <w:t>-3 511</w:t>
            </w:r>
          </w:p>
        </w:tc>
      </w:tr>
      <w:tr w:rsidR="00995AB9" w:rsidRPr="003C2E0B" w14:paraId="2CBF3916" w14:textId="77777777" w:rsidTr="003C2E0B">
        <w:trPr>
          <w:trHeight w:val="227"/>
        </w:trPr>
        <w:tc>
          <w:tcPr>
            <w:tcW w:w="2194" w:type="pct"/>
            <w:shd w:val="clear" w:color="auto" w:fill="FFFFFF"/>
            <w:noWrap/>
            <w:vAlign w:val="center"/>
          </w:tcPr>
          <w:p w14:paraId="150BC8B9" w14:textId="77777777" w:rsidR="00995AB9" w:rsidRPr="003C2E0B" w:rsidRDefault="00995AB9" w:rsidP="00A940B3">
            <w:pPr>
              <w:pStyle w:val="Bezriadkovania"/>
              <w:rPr>
                <w:sz w:val="20"/>
                <w:szCs w:val="20"/>
              </w:rPr>
            </w:pPr>
            <w:r w:rsidRPr="003C2E0B">
              <w:rPr>
                <w:sz w:val="20"/>
                <w:szCs w:val="20"/>
              </w:rPr>
              <w:t xml:space="preserve">     MH Manažment, a.s.</w:t>
            </w:r>
          </w:p>
        </w:tc>
        <w:tc>
          <w:tcPr>
            <w:tcW w:w="561" w:type="pct"/>
            <w:shd w:val="clear" w:color="auto" w:fill="FFFFFF"/>
            <w:noWrap/>
          </w:tcPr>
          <w:p w14:paraId="002026F8" w14:textId="77777777" w:rsidR="00995AB9" w:rsidRPr="003C2E0B" w:rsidRDefault="00995AB9" w:rsidP="00A940B3">
            <w:pPr>
              <w:pStyle w:val="Bezriadkovania"/>
              <w:jc w:val="right"/>
              <w:rPr>
                <w:sz w:val="20"/>
                <w:szCs w:val="20"/>
              </w:rPr>
            </w:pPr>
            <w:r w:rsidRPr="003C2E0B">
              <w:rPr>
                <w:sz w:val="20"/>
                <w:szCs w:val="20"/>
              </w:rPr>
              <w:t>-27 550</w:t>
            </w:r>
          </w:p>
        </w:tc>
        <w:tc>
          <w:tcPr>
            <w:tcW w:w="562" w:type="pct"/>
            <w:shd w:val="clear" w:color="auto" w:fill="FFFFFF"/>
            <w:noWrap/>
          </w:tcPr>
          <w:p w14:paraId="6C83AFB0" w14:textId="77777777" w:rsidR="00995AB9" w:rsidRPr="003C2E0B" w:rsidRDefault="00995AB9" w:rsidP="00A940B3">
            <w:pPr>
              <w:pStyle w:val="Bezriadkovania"/>
              <w:jc w:val="right"/>
              <w:rPr>
                <w:sz w:val="20"/>
                <w:szCs w:val="20"/>
              </w:rPr>
            </w:pPr>
            <w:r w:rsidRPr="003C2E0B">
              <w:rPr>
                <w:sz w:val="20"/>
                <w:szCs w:val="20"/>
              </w:rPr>
              <w:t>-8 055</w:t>
            </w:r>
          </w:p>
        </w:tc>
        <w:tc>
          <w:tcPr>
            <w:tcW w:w="561" w:type="pct"/>
            <w:shd w:val="clear" w:color="auto" w:fill="FFFFFF"/>
            <w:noWrap/>
          </w:tcPr>
          <w:p w14:paraId="12F7EA9A" w14:textId="77777777" w:rsidR="00995AB9" w:rsidRPr="003C2E0B" w:rsidRDefault="00995AB9" w:rsidP="00A940B3">
            <w:pPr>
              <w:pStyle w:val="Bezriadkovania"/>
              <w:jc w:val="right"/>
              <w:rPr>
                <w:sz w:val="20"/>
                <w:szCs w:val="20"/>
              </w:rPr>
            </w:pPr>
            <w:r w:rsidRPr="003C2E0B">
              <w:rPr>
                <w:sz w:val="20"/>
                <w:szCs w:val="20"/>
              </w:rPr>
              <w:t>-2 642</w:t>
            </w:r>
          </w:p>
        </w:tc>
        <w:tc>
          <w:tcPr>
            <w:tcW w:w="562" w:type="pct"/>
            <w:shd w:val="clear" w:color="auto" w:fill="FFFFFF"/>
            <w:noWrap/>
          </w:tcPr>
          <w:p w14:paraId="4BEFDAF4" w14:textId="77777777" w:rsidR="00995AB9" w:rsidRPr="003C2E0B" w:rsidRDefault="00995AB9" w:rsidP="00A940B3">
            <w:pPr>
              <w:pStyle w:val="Bezriadkovania"/>
              <w:jc w:val="right"/>
              <w:rPr>
                <w:sz w:val="20"/>
                <w:szCs w:val="20"/>
              </w:rPr>
            </w:pPr>
            <w:r w:rsidRPr="003C2E0B">
              <w:rPr>
                <w:sz w:val="20"/>
                <w:szCs w:val="20"/>
              </w:rPr>
              <w:t>-2 025</w:t>
            </w:r>
          </w:p>
        </w:tc>
        <w:tc>
          <w:tcPr>
            <w:tcW w:w="560" w:type="pct"/>
            <w:shd w:val="clear" w:color="auto" w:fill="FFFFFF"/>
            <w:noWrap/>
          </w:tcPr>
          <w:p w14:paraId="4BAFA7A5" w14:textId="77777777" w:rsidR="00995AB9" w:rsidRPr="003C2E0B" w:rsidRDefault="00995AB9" w:rsidP="00A940B3">
            <w:pPr>
              <w:pStyle w:val="Bezriadkovania"/>
              <w:jc w:val="right"/>
              <w:rPr>
                <w:sz w:val="20"/>
                <w:szCs w:val="20"/>
              </w:rPr>
            </w:pPr>
            <w:r w:rsidRPr="003C2E0B">
              <w:rPr>
                <w:sz w:val="20"/>
                <w:szCs w:val="20"/>
              </w:rPr>
              <w:t>-617</w:t>
            </w:r>
          </w:p>
        </w:tc>
      </w:tr>
      <w:tr w:rsidR="00995AB9" w:rsidRPr="003C2E0B" w14:paraId="2D58B5A8" w14:textId="77777777" w:rsidTr="003C2E0B">
        <w:trPr>
          <w:trHeight w:val="227"/>
        </w:trPr>
        <w:tc>
          <w:tcPr>
            <w:tcW w:w="2194" w:type="pct"/>
            <w:shd w:val="clear" w:color="auto" w:fill="FFFFFF"/>
            <w:noWrap/>
            <w:vAlign w:val="center"/>
          </w:tcPr>
          <w:p w14:paraId="3EFDDA28" w14:textId="77777777" w:rsidR="00995AB9" w:rsidRPr="003C2E0B" w:rsidRDefault="00995AB9" w:rsidP="00A940B3">
            <w:pPr>
              <w:pStyle w:val="Bezriadkovania"/>
              <w:rPr>
                <w:sz w:val="20"/>
                <w:szCs w:val="20"/>
              </w:rPr>
            </w:pPr>
            <w:r w:rsidRPr="003C2E0B">
              <w:rPr>
                <w:sz w:val="20"/>
                <w:szCs w:val="20"/>
              </w:rPr>
              <w:t xml:space="preserve">     JAVYS, a.s.</w:t>
            </w:r>
          </w:p>
        </w:tc>
        <w:tc>
          <w:tcPr>
            <w:tcW w:w="561" w:type="pct"/>
            <w:shd w:val="clear" w:color="auto" w:fill="FFFFFF"/>
            <w:noWrap/>
          </w:tcPr>
          <w:p w14:paraId="2BA71037" w14:textId="77777777" w:rsidR="00995AB9" w:rsidRPr="003C2E0B" w:rsidRDefault="00995AB9" w:rsidP="00A940B3">
            <w:pPr>
              <w:pStyle w:val="Bezriadkovania"/>
              <w:jc w:val="right"/>
              <w:rPr>
                <w:sz w:val="20"/>
                <w:szCs w:val="20"/>
              </w:rPr>
            </w:pPr>
            <w:r w:rsidRPr="003C2E0B">
              <w:rPr>
                <w:sz w:val="20"/>
                <w:szCs w:val="20"/>
              </w:rPr>
              <w:t>7 043</w:t>
            </w:r>
          </w:p>
        </w:tc>
        <w:tc>
          <w:tcPr>
            <w:tcW w:w="562" w:type="pct"/>
            <w:shd w:val="clear" w:color="auto" w:fill="FFFFFF"/>
            <w:noWrap/>
          </w:tcPr>
          <w:p w14:paraId="4325E619" w14:textId="77777777" w:rsidR="00995AB9" w:rsidRPr="003C2E0B" w:rsidRDefault="00995AB9" w:rsidP="00A940B3">
            <w:pPr>
              <w:pStyle w:val="Bezriadkovania"/>
              <w:jc w:val="right"/>
              <w:rPr>
                <w:sz w:val="20"/>
                <w:szCs w:val="20"/>
              </w:rPr>
            </w:pPr>
            <w:r w:rsidRPr="003C2E0B">
              <w:rPr>
                <w:sz w:val="20"/>
                <w:szCs w:val="20"/>
              </w:rPr>
              <w:t>7 324</w:t>
            </w:r>
          </w:p>
        </w:tc>
        <w:tc>
          <w:tcPr>
            <w:tcW w:w="561" w:type="pct"/>
            <w:shd w:val="clear" w:color="auto" w:fill="FFFFFF"/>
            <w:noWrap/>
          </w:tcPr>
          <w:p w14:paraId="1FF917F0" w14:textId="77777777" w:rsidR="00995AB9" w:rsidRPr="003C2E0B" w:rsidRDefault="00995AB9" w:rsidP="00A940B3">
            <w:pPr>
              <w:pStyle w:val="Bezriadkovania"/>
              <w:jc w:val="right"/>
              <w:rPr>
                <w:sz w:val="20"/>
                <w:szCs w:val="20"/>
              </w:rPr>
            </w:pPr>
            <w:r w:rsidRPr="003C2E0B">
              <w:rPr>
                <w:sz w:val="20"/>
                <w:szCs w:val="20"/>
              </w:rPr>
              <w:t>-739</w:t>
            </w:r>
          </w:p>
        </w:tc>
        <w:tc>
          <w:tcPr>
            <w:tcW w:w="562" w:type="pct"/>
            <w:shd w:val="clear" w:color="auto" w:fill="FFFFFF"/>
            <w:noWrap/>
          </w:tcPr>
          <w:p w14:paraId="32181746" w14:textId="77777777" w:rsidR="00995AB9" w:rsidRPr="003C2E0B" w:rsidRDefault="00995AB9" w:rsidP="00A940B3">
            <w:pPr>
              <w:pStyle w:val="Bezriadkovania"/>
              <w:jc w:val="right"/>
              <w:rPr>
                <w:sz w:val="20"/>
                <w:szCs w:val="20"/>
              </w:rPr>
            </w:pPr>
            <w:r w:rsidRPr="003C2E0B">
              <w:rPr>
                <w:sz w:val="20"/>
                <w:szCs w:val="20"/>
              </w:rPr>
              <w:t>876</w:t>
            </w:r>
          </w:p>
        </w:tc>
        <w:tc>
          <w:tcPr>
            <w:tcW w:w="560" w:type="pct"/>
            <w:shd w:val="clear" w:color="auto" w:fill="FFFFFF"/>
            <w:noWrap/>
          </w:tcPr>
          <w:p w14:paraId="61419E09" w14:textId="77777777" w:rsidR="00995AB9" w:rsidRPr="003C2E0B" w:rsidRDefault="00995AB9" w:rsidP="00A940B3">
            <w:pPr>
              <w:pStyle w:val="Bezriadkovania"/>
              <w:jc w:val="right"/>
              <w:rPr>
                <w:sz w:val="20"/>
                <w:szCs w:val="20"/>
              </w:rPr>
            </w:pPr>
            <w:r w:rsidRPr="003C2E0B">
              <w:rPr>
                <w:sz w:val="20"/>
                <w:szCs w:val="20"/>
              </w:rPr>
              <w:t>-1 615</w:t>
            </w:r>
          </w:p>
        </w:tc>
      </w:tr>
      <w:tr w:rsidR="00995AB9" w:rsidRPr="003C2E0B" w14:paraId="29CB9C47" w14:textId="77777777" w:rsidTr="003C2E0B">
        <w:trPr>
          <w:trHeight w:val="227"/>
        </w:trPr>
        <w:tc>
          <w:tcPr>
            <w:tcW w:w="2194" w:type="pct"/>
            <w:shd w:val="clear" w:color="auto" w:fill="FFFFFF"/>
            <w:noWrap/>
            <w:vAlign w:val="center"/>
          </w:tcPr>
          <w:p w14:paraId="3F3DC792" w14:textId="77777777" w:rsidR="00995AB9" w:rsidRPr="003C2E0B" w:rsidRDefault="00995AB9" w:rsidP="00A940B3">
            <w:pPr>
              <w:pStyle w:val="Bezriadkovania"/>
              <w:rPr>
                <w:sz w:val="20"/>
                <w:szCs w:val="20"/>
              </w:rPr>
            </w:pPr>
            <w:r w:rsidRPr="003C2E0B">
              <w:rPr>
                <w:sz w:val="20"/>
                <w:szCs w:val="20"/>
              </w:rPr>
              <w:t xml:space="preserve">     MH Invest II, s.r.o.</w:t>
            </w:r>
          </w:p>
        </w:tc>
        <w:tc>
          <w:tcPr>
            <w:tcW w:w="561" w:type="pct"/>
            <w:shd w:val="clear" w:color="auto" w:fill="FFFFFF"/>
            <w:noWrap/>
          </w:tcPr>
          <w:p w14:paraId="401E0834" w14:textId="77777777" w:rsidR="00995AB9" w:rsidRPr="003C2E0B" w:rsidRDefault="00995AB9" w:rsidP="00A940B3">
            <w:pPr>
              <w:pStyle w:val="Bezriadkovania"/>
              <w:jc w:val="right"/>
              <w:rPr>
                <w:sz w:val="20"/>
                <w:szCs w:val="20"/>
              </w:rPr>
            </w:pPr>
            <w:r w:rsidRPr="003C2E0B">
              <w:rPr>
                <w:sz w:val="20"/>
                <w:szCs w:val="20"/>
              </w:rPr>
              <w:t>23 429</w:t>
            </w:r>
          </w:p>
        </w:tc>
        <w:tc>
          <w:tcPr>
            <w:tcW w:w="562" w:type="pct"/>
            <w:shd w:val="clear" w:color="auto" w:fill="FFFFFF"/>
            <w:noWrap/>
          </w:tcPr>
          <w:p w14:paraId="5B2D7666" w14:textId="77777777" w:rsidR="00995AB9" w:rsidRPr="003C2E0B" w:rsidRDefault="00995AB9" w:rsidP="00A940B3">
            <w:pPr>
              <w:pStyle w:val="Bezriadkovania"/>
              <w:jc w:val="right"/>
              <w:rPr>
                <w:sz w:val="20"/>
                <w:szCs w:val="20"/>
              </w:rPr>
            </w:pPr>
            <w:r w:rsidRPr="003C2E0B">
              <w:rPr>
                <w:sz w:val="20"/>
                <w:szCs w:val="20"/>
              </w:rPr>
              <w:t>-538</w:t>
            </w:r>
          </w:p>
        </w:tc>
        <w:tc>
          <w:tcPr>
            <w:tcW w:w="561" w:type="pct"/>
            <w:shd w:val="clear" w:color="auto" w:fill="FFFFFF"/>
            <w:noWrap/>
          </w:tcPr>
          <w:p w14:paraId="7A241A24" w14:textId="77777777" w:rsidR="00995AB9" w:rsidRPr="003C2E0B" w:rsidRDefault="00995AB9" w:rsidP="00A940B3">
            <w:pPr>
              <w:pStyle w:val="Bezriadkovania"/>
              <w:jc w:val="right"/>
              <w:rPr>
                <w:sz w:val="20"/>
                <w:szCs w:val="20"/>
              </w:rPr>
            </w:pPr>
            <w:r w:rsidRPr="003C2E0B">
              <w:rPr>
                <w:sz w:val="20"/>
                <w:szCs w:val="20"/>
              </w:rPr>
              <w:t>-453</w:t>
            </w:r>
          </w:p>
        </w:tc>
        <w:tc>
          <w:tcPr>
            <w:tcW w:w="562" w:type="pct"/>
            <w:shd w:val="clear" w:color="auto" w:fill="FFFFFF"/>
            <w:noWrap/>
          </w:tcPr>
          <w:p w14:paraId="560BD748" w14:textId="77777777" w:rsidR="00995AB9" w:rsidRPr="003C2E0B" w:rsidRDefault="00995AB9" w:rsidP="00A940B3">
            <w:pPr>
              <w:pStyle w:val="Bezriadkovania"/>
              <w:jc w:val="right"/>
              <w:rPr>
                <w:sz w:val="20"/>
                <w:szCs w:val="20"/>
              </w:rPr>
            </w:pPr>
            <w:r w:rsidRPr="003C2E0B">
              <w:rPr>
                <w:sz w:val="20"/>
                <w:szCs w:val="20"/>
              </w:rPr>
              <w:t>-569</w:t>
            </w:r>
          </w:p>
        </w:tc>
        <w:tc>
          <w:tcPr>
            <w:tcW w:w="560" w:type="pct"/>
            <w:shd w:val="clear" w:color="auto" w:fill="FFFFFF"/>
            <w:noWrap/>
          </w:tcPr>
          <w:p w14:paraId="1F4EB6E8" w14:textId="77777777" w:rsidR="00995AB9" w:rsidRPr="003C2E0B" w:rsidRDefault="00995AB9" w:rsidP="00A940B3">
            <w:pPr>
              <w:pStyle w:val="Bezriadkovania"/>
              <w:jc w:val="right"/>
              <w:rPr>
                <w:sz w:val="20"/>
                <w:szCs w:val="20"/>
              </w:rPr>
            </w:pPr>
            <w:r w:rsidRPr="003C2E0B">
              <w:rPr>
                <w:sz w:val="20"/>
                <w:szCs w:val="20"/>
              </w:rPr>
              <w:t>116</w:t>
            </w:r>
          </w:p>
        </w:tc>
      </w:tr>
      <w:tr w:rsidR="00995AB9" w:rsidRPr="003C2E0B" w14:paraId="04B246E2" w14:textId="77777777" w:rsidTr="003C2E0B">
        <w:trPr>
          <w:trHeight w:val="227"/>
        </w:trPr>
        <w:tc>
          <w:tcPr>
            <w:tcW w:w="2194" w:type="pct"/>
            <w:shd w:val="clear" w:color="auto" w:fill="FFFFFF"/>
            <w:noWrap/>
            <w:vAlign w:val="center"/>
          </w:tcPr>
          <w:p w14:paraId="033719E7" w14:textId="77777777" w:rsidR="00995AB9" w:rsidRPr="003C2E0B" w:rsidRDefault="00995AB9" w:rsidP="00A940B3">
            <w:pPr>
              <w:pStyle w:val="Bezriadkovania"/>
              <w:rPr>
                <w:sz w:val="20"/>
                <w:szCs w:val="20"/>
              </w:rPr>
            </w:pPr>
            <w:r w:rsidRPr="003C2E0B">
              <w:rPr>
                <w:sz w:val="20"/>
                <w:szCs w:val="20"/>
              </w:rPr>
              <w:t xml:space="preserve">     Železnice Slovenskej republiky</w:t>
            </w:r>
          </w:p>
        </w:tc>
        <w:tc>
          <w:tcPr>
            <w:tcW w:w="561" w:type="pct"/>
            <w:shd w:val="clear" w:color="auto" w:fill="FFFFFF"/>
            <w:noWrap/>
          </w:tcPr>
          <w:p w14:paraId="73E958AE" w14:textId="77777777" w:rsidR="00995AB9" w:rsidRPr="003C2E0B" w:rsidRDefault="00995AB9" w:rsidP="00A940B3">
            <w:pPr>
              <w:pStyle w:val="Bezriadkovania"/>
              <w:jc w:val="right"/>
              <w:rPr>
                <w:sz w:val="20"/>
                <w:szCs w:val="20"/>
              </w:rPr>
            </w:pPr>
            <w:r w:rsidRPr="003C2E0B">
              <w:rPr>
                <w:sz w:val="20"/>
                <w:szCs w:val="20"/>
              </w:rPr>
              <w:t>-97 591</w:t>
            </w:r>
          </w:p>
        </w:tc>
        <w:tc>
          <w:tcPr>
            <w:tcW w:w="562" w:type="pct"/>
            <w:shd w:val="clear" w:color="auto" w:fill="FFFFFF"/>
            <w:noWrap/>
          </w:tcPr>
          <w:p w14:paraId="59FBFA08" w14:textId="77777777" w:rsidR="00995AB9" w:rsidRPr="003C2E0B" w:rsidRDefault="00995AB9" w:rsidP="00A940B3">
            <w:pPr>
              <w:pStyle w:val="Bezriadkovania"/>
              <w:jc w:val="right"/>
              <w:rPr>
                <w:sz w:val="20"/>
                <w:szCs w:val="20"/>
              </w:rPr>
            </w:pPr>
            <w:r w:rsidRPr="003C2E0B">
              <w:rPr>
                <w:sz w:val="20"/>
                <w:szCs w:val="20"/>
              </w:rPr>
              <w:t>537</w:t>
            </w:r>
          </w:p>
        </w:tc>
        <w:tc>
          <w:tcPr>
            <w:tcW w:w="561" w:type="pct"/>
            <w:shd w:val="clear" w:color="auto" w:fill="FFFFFF"/>
            <w:noWrap/>
          </w:tcPr>
          <w:p w14:paraId="32B3E830" w14:textId="77777777" w:rsidR="00995AB9" w:rsidRPr="003C2E0B" w:rsidRDefault="00995AB9" w:rsidP="00A940B3">
            <w:pPr>
              <w:pStyle w:val="Bezriadkovania"/>
              <w:jc w:val="right"/>
              <w:rPr>
                <w:sz w:val="20"/>
                <w:szCs w:val="20"/>
              </w:rPr>
            </w:pPr>
            <w:r w:rsidRPr="003C2E0B">
              <w:rPr>
                <w:sz w:val="20"/>
                <w:szCs w:val="20"/>
              </w:rPr>
              <w:t>2 631</w:t>
            </w:r>
          </w:p>
        </w:tc>
        <w:tc>
          <w:tcPr>
            <w:tcW w:w="562" w:type="pct"/>
            <w:shd w:val="clear" w:color="auto" w:fill="FFFFFF"/>
            <w:noWrap/>
          </w:tcPr>
          <w:p w14:paraId="3ADF46C4" w14:textId="77777777" w:rsidR="00995AB9" w:rsidRPr="003C2E0B" w:rsidRDefault="00995AB9" w:rsidP="00A940B3">
            <w:pPr>
              <w:pStyle w:val="Bezriadkovania"/>
              <w:jc w:val="right"/>
              <w:rPr>
                <w:sz w:val="20"/>
                <w:szCs w:val="20"/>
              </w:rPr>
            </w:pPr>
            <w:r w:rsidRPr="003C2E0B">
              <w:rPr>
                <w:sz w:val="20"/>
                <w:szCs w:val="20"/>
              </w:rPr>
              <w:t>0</w:t>
            </w:r>
          </w:p>
        </w:tc>
        <w:tc>
          <w:tcPr>
            <w:tcW w:w="560" w:type="pct"/>
            <w:shd w:val="clear" w:color="auto" w:fill="FFFFFF"/>
            <w:noWrap/>
          </w:tcPr>
          <w:p w14:paraId="22AA9210" w14:textId="77777777" w:rsidR="00995AB9" w:rsidRPr="003C2E0B" w:rsidRDefault="00995AB9" w:rsidP="00A940B3">
            <w:pPr>
              <w:pStyle w:val="Bezriadkovania"/>
              <w:jc w:val="right"/>
              <w:rPr>
                <w:sz w:val="20"/>
                <w:szCs w:val="20"/>
              </w:rPr>
            </w:pPr>
            <w:r w:rsidRPr="003C2E0B">
              <w:rPr>
                <w:sz w:val="20"/>
                <w:szCs w:val="20"/>
              </w:rPr>
              <w:t>2 631</w:t>
            </w:r>
          </w:p>
        </w:tc>
      </w:tr>
      <w:tr w:rsidR="00995AB9" w:rsidRPr="003C2E0B" w14:paraId="7DD8D2E4" w14:textId="77777777" w:rsidTr="003C2E0B">
        <w:trPr>
          <w:trHeight w:val="227"/>
        </w:trPr>
        <w:tc>
          <w:tcPr>
            <w:tcW w:w="2194" w:type="pct"/>
            <w:shd w:val="clear" w:color="auto" w:fill="FFFFFF"/>
            <w:noWrap/>
            <w:vAlign w:val="center"/>
          </w:tcPr>
          <w:p w14:paraId="46560220" w14:textId="77777777" w:rsidR="00995AB9" w:rsidRPr="003C2E0B" w:rsidRDefault="00995AB9" w:rsidP="00A940B3">
            <w:pPr>
              <w:pStyle w:val="Bezriadkovania"/>
              <w:rPr>
                <w:sz w:val="20"/>
                <w:szCs w:val="20"/>
              </w:rPr>
            </w:pPr>
            <w:r w:rsidRPr="003C2E0B">
              <w:rPr>
                <w:sz w:val="20"/>
                <w:szCs w:val="20"/>
              </w:rPr>
              <w:t xml:space="preserve">     Národná diaľničná spoločnosť, a.s.</w:t>
            </w:r>
          </w:p>
        </w:tc>
        <w:tc>
          <w:tcPr>
            <w:tcW w:w="561" w:type="pct"/>
            <w:shd w:val="clear" w:color="auto" w:fill="FFFFFF"/>
            <w:noWrap/>
          </w:tcPr>
          <w:p w14:paraId="6C9C5E0A" w14:textId="77777777" w:rsidR="00995AB9" w:rsidRPr="003C2E0B" w:rsidRDefault="00995AB9" w:rsidP="00A940B3">
            <w:pPr>
              <w:pStyle w:val="Bezriadkovania"/>
              <w:jc w:val="right"/>
              <w:rPr>
                <w:sz w:val="20"/>
                <w:szCs w:val="20"/>
              </w:rPr>
            </w:pPr>
            <w:r w:rsidRPr="003C2E0B">
              <w:rPr>
                <w:sz w:val="20"/>
                <w:szCs w:val="20"/>
              </w:rPr>
              <w:t>-35 116</w:t>
            </w:r>
          </w:p>
        </w:tc>
        <w:tc>
          <w:tcPr>
            <w:tcW w:w="562" w:type="pct"/>
            <w:shd w:val="clear" w:color="auto" w:fill="FFFFFF"/>
            <w:noWrap/>
          </w:tcPr>
          <w:p w14:paraId="45D08C5C" w14:textId="77777777" w:rsidR="00995AB9" w:rsidRPr="003C2E0B" w:rsidRDefault="00995AB9" w:rsidP="00A940B3">
            <w:pPr>
              <w:pStyle w:val="Bezriadkovania"/>
              <w:jc w:val="right"/>
              <w:rPr>
                <w:sz w:val="20"/>
                <w:szCs w:val="20"/>
              </w:rPr>
            </w:pPr>
            <w:r w:rsidRPr="003C2E0B">
              <w:rPr>
                <w:sz w:val="20"/>
                <w:szCs w:val="20"/>
              </w:rPr>
              <w:t>9 541</w:t>
            </w:r>
          </w:p>
        </w:tc>
        <w:tc>
          <w:tcPr>
            <w:tcW w:w="561" w:type="pct"/>
            <w:shd w:val="clear" w:color="auto" w:fill="FFFFFF"/>
            <w:noWrap/>
          </w:tcPr>
          <w:p w14:paraId="6CA58075" w14:textId="77777777" w:rsidR="00995AB9" w:rsidRPr="003C2E0B" w:rsidRDefault="00995AB9" w:rsidP="00A940B3">
            <w:pPr>
              <w:pStyle w:val="Bezriadkovania"/>
              <w:jc w:val="right"/>
              <w:rPr>
                <w:sz w:val="20"/>
                <w:szCs w:val="20"/>
              </w:rPr>
            </w:pPr>
            <w:r w:rsidRPr="003C2E0B">
              <w:rPr>
                <w:sz w:val="20"/>
                <w:szCs w:val="20"/>
              </w:rPr>
              <w:t>7 073</w:t>
            </w:r>
          </w:p>
        </w:tc>
        <w:tc>
          <w:tcPr>
            <w:tcW w:w="562" w:type="pct"/>
            <w:shd w:val="clear" w:color="auto" w:fill="FFFFFF"/>
            <w:noWrap/>
          </w:tcPr>
          <w:p w14:paraId="243DFCF2" w14:textId="77777777" w:rsidR="00995AB9" w:rsidRPr="003C2E0B" w:rsidRDefault="00995AB9" w:rsidP="00A940B3">
            <w:pPr>
              <w:pStyle w:val="Bezriadkovania"/>
              <w:jc w:val="right"/>
              <w:rPr>
                <w:sz w:val="20"/>
                <w:szCs w:val="20"/>
              </w:rPr>
            </w:pPr>
            <w:r w:rsidRPr="003C2E0B">
              <w:rPr>
                <w:sz w:val="20"/>
                <w:szCs w:val="20"/>
              </w:rPr>
              <w:t>36 965</w:t>
            </w:r>
          </w:p>
        </w:tc>
        <w:tc>
          <w:tcPr>
            <w:tcW w:w="560" w:type="pct"/>
            <w:shd w:val="clear" w:color="auto" w:fill="FFFFFF"/>
            <w:noWrap/>
          </w:tcPr>
          <w:p w14:paraId="791D8DE0" w14:textId="77777777" w:rsidR="00995AB9" w:rsidRPr="003C2E0B" w:rsidRDefault="00995AB9" w:rsidP="00A940B3">
            <w:pPr>
              <w:pStyle w:val="Bezriadkovania"/>
              <w:jc w:val="right"/>
              <w:rPr>
                <w:sz w:val="20"/>
                <w:szCs w:val="20"/>
              </w:rPr>
            </w:pPr>
            <w:r w:rsidRPr="003C2E0B">
              <w:rPr>
                <w:sz w:val="20"/>
                <w:szCs w:val="20"/>
              </w:rPr>
              <w:t>-29 892</w:t>
            </w:r>
          </w:p>
        </w:tc>
      </w:tr>
      <w:tr w:rsidR="00995AB9" w:rsidRPr="003C2E0B" w14:paraId="565871BD" w14:textId="77777777" w:rsidTr="003C2E0B">
        <w:trPr>
          <w:trHeight w:val="227"/>
        </w:trPr>
        <w:tc>
          <w:tcPr>
            <w:tcW w:w="2194" w:type="pct"/>
            <w:shd w:val="clear" w:color="auto" w:fill="FFFFFF"/>
            <w:noWrap/>
            <w:vAlign w:val="center"/>
            <w:hideMark/>
          </w:tcPr>
          <w:p w14:paraId="021F733C" w14:textId="77777777" w:rsidR="00995AB9" w:rsidRPr="003C2E0B" w:rsidRDefault="00995AB9" w:rsidP="00A940B3">
            <w:pPr>
              <w:pStyle w:val="Bezriadkovania"/>
              <w:rPr>
                <w:sz w:val="20"/>
                <w:szCs w:val="20"/>
              </w:rPr>
            </w:pPr>
            <w:r w:rsidRPr="003C2E0B">
              <w:rPr>
                <w:sz w:val="20"/>
                <w:szCs w:val="20"/>
              </w:rPr>
              <w:t>Verejné vysoké školy</w:t>
            </w:r>
          </w:p>
        </w:tc>
        <w:tc>
          <w:tcPr>
            <w:tcW w:w="561" w:type="pct"/>
            <w:shd w:val="clear" w:color="auto" w:fill="FFFFFF"/>
            <w:noWrap/>
          </w:tcPr>
          <w:p w14:paraId="0B9488C3" w14:textId="77777777" w:rsidR="00995AB9" w:rsidRPr="003C2E0B" w:rsidRDefault="00995AB9" w:rsidP="00A940B3">
            <w:pPr>
              <w:pStyle w:val="Bezriadkovania"/>
              <w:jc w:val="right"/>
              <w:rPr>
                <w:sz w:val="20"/>
                <w:szCs w:val="20"/>
              </w:rPr>
            </w:pPr>
            <w:r w:rsidRPr="003C2E0B">
              <w:rPr>
                <w:sz w:val="20"/>
                <w:szCs w:val="20"/>
              </w:rPr>
              <w:t>19 336</w:t>
            </w:r>
          </w:p>
        </w:tc>
        <w:tc>
          <w:tcPr>
            <w:tcW w:w="562" w:type="pct"/>
            <w:shd w:val="clear" w:color="auto" w:fill="FFFFFF"/>
            <w:noWrap/>
          </w:tcPr>
          <w:p w14:paraId="5C4F4AA7" w14:textId="77777777" w:rsidR="00995AB9" w:rsidRPr="003C2E0B" w:rsidRDefault="00995AB9" w:rsidP="00A940B3">
            <w:pPr>
              <w:pStyle w:val="Bezriadkovania"/>
              <w:jc w:val="right"/>
              <w:rPr>
                <w:sz w:val="20"/>
                <w:szCs w:val="20"/>
              </w:rPr>
            </w:pPr>
            <w:r w:rsidRPr="003C2E0B">
              <w:rPr>
                <w:sz w:val="20"/>
                <w:szCs w:val="20"/>
              </w:rPr>
              <w:t>30 982</w:t>
            </w:r>
          </w:p>
        </w:tc>
        <w:tc>
          <w:tcPr>
            <w:tcW w:w="561" w:type="pct"/>
            <w:shd w:val="clear" w:color="auto" w:fill="FFFFFF"/>
            <w:noWrap/>
          </w:tcPr>
          <w:p w14:paraId="68EFC0C6" w14:textId="77777777" w:rsidR="00995AB9" w:rsidRPr="003C2E0B" w:rsidRDefault="00995AB9" w:rsidP="00A940B3">
            <w:pPr>
              <w:pStyle w:val="Bezriadkovania"/>
              <w:jc w:val="right"/>
              <w:rPr>
                <w:sz w:val="20"/>
                <w:szCs w:val="20"/>
              </w:rPr>
            </w:pPr>
            <w:r w:rsidRPr="003C2E0B">
              <w:rPr>
                <w:sz w:val="20"/>
                <w:szCs w:val="20"/>
              </w:rPr>
              <w:t>-3 237</w:t>
            </w:r>
          </w:p>
        </w:tc>
        <w:tc>
          <w:tcPr>
            <w:tcW w:w="562" w:type="pct"/>
            <w:shd w:val="clear" w:color="auto" w:fill="FFFFFF"/>
            <w:noWrap/>
          </w:tcPr>
          <w:p w14:paraId="50C34DDC" w14:textId="77777777" w:rsidR="00995AB9" w:rsidRPr="003C2E0B" w:rsidRDefault="00995AB9" w:rsidP="00A940B3">
            <w:pPr>
              <w:pStyle w:val="Bezriadkovania"/>
              <w:jc w:val="right"/>
              <w:rPr>
                <w:sz w:val="20"/>
                <w:szCs w:val="20"/>
              </w:rPr>
            </w:pPr>
            <w:r w:rsidRPr="003C2E0B">
              <w:rPr>
                <w:sz w:val="20"/>
                <w:szCs w:val="20"/>
              </w:rPr>
              <w:t>203</w:t>
            </w:r>
          </w:p>
        </w:tc>
        <w:tc>
          <w:tcPr>
            <w:tcW w:w="560" w:type="pct"/>
            <w:shd w:val="clear" w:color="auto" w:fill="FFFFFF"/>
            <w:noWrap/>
          </w:tcPr>
          <w:p w14:paraId="6F8EDA45" w14:textId="77777777" w:rsidR="00995AB9" w:rsidRPr="003C2E0B" w:rsidRDefault="00995AB9" w:rsidP="00A940B3">
            <w:pPr>
              <w:pStyle w:val="Bezriadkovania"/>
              <w:jc w:val="right"/>
              <w:rPr>
                <w:sz w:val="20"/>
                <w:szCs w:val="20"/>
              </w:rPr>
            </w:pPr>
            <w:r w:rsidRPr="003C2E0B">
              <w:rPr>
                <w:sz w:val="20"/>
                <w:szCs w:val="20"/>
              </w:rPr>
              <w:t>-3 440</w:t>
            </w:r>
          </w:p>
        </w:tc>
      </w:tr>
      <w:tr w:rsidR="00995AB9" w:rsidRPr="003C2E0B" w14:paraId="4C7D1B76" w14:textId="77777777" w:rsidTr="003C2E0B">
        <w:trPr>
          <w:trHeight w:val="227"/>
        </w:trPr>
        <w:tc>
          <w:tcPr>
            <w:tcW w:w="2194" w:type="pct"/>
            <w:shd w:val="clear" w:color="auto" w:fill="FFFFFF"/>
            <w:noWrap/>
            <w:vAlign w:val="center"/>
          </w:tcPr>
          <w:p w14:paraId="1A10566D" w14:textId="77777777" w:rsidR="00995AB9" w:rsidRPr="003C2E0B" w:rsidRDefault="00995AB9" w:rsidP="00A940B3">
            <w:pPr>
              <w:pStyle w:val="Bezriadkovania"/>
              <w:rPr>
                <w:sz w:val="20"/>
                <w:szCs w:val="20"/>
              </w:rPr>
            </w:pPr>
            <w:r w:rsidRPr="003C2E0B">
              <w:rPr>
                <w:sz w:val="20"/>
                <w:szCs w:val="20"/>
              </w:rPr>
              <w:t>Zdravotnícke zariadenia ústrednej správy</w:t>
            </w:r>
          </w:p>
        </w:tc>
        <w:tc>
          <w:tcPr>
            <w:tcW w:w="561" w:type="pct"/>
            <w:shd w:val="clear" w:color="auto" w:fill="FFFFFF"/>
            <w:noWrap/>
          </w:tcPr>
          <w:p w14:paraId="7FD04340" w14:textId="77777777" w:rsidR="00995AB9" w:rsidRPr="003C2E0B" w:rsidRDefault="00995AB9" w:rsidP="00A940B3">
            <w:pPr>
              <w:pStyle w:val="Bezriadkovania"/>
              <w:jc w:val="right"/>
              <w:rPr>
                <w:sz w:val="20"/>
                <w:szCs w:val="20"/>
              </w:rPr>
            </w:pPr>
            <w:r w:rsidRPr="003C2E0B">
              <w:rPr>
                <w:sz w:val="20"/>
                <w:szCs w:val="20"/>
              </w:rPr>
              <w:t>-92 591</w:t>
            </w:r>
          </w:p>
        </w:tc>
        <w:tc>
          <w:tcPr>
            <w:tcW w:w="562" w:type="pct"/>
            <w:shd w:val="clear" w:color="auto" w:fill="FFFFFF"/>
            <w:noWrap/>
          </w:tcPr>
          <w:p w14:paraId="73B0DC2B" w14:textId="77777777" w:rsidR="00995AB9" w:rsidRPr="003C2E0B" w:rsidRDefault="00995AB9" w:rsidP="00A940B3">
            <w:pPr>
              <w:pStyle w:val="Bezriadkovania"/>
              <w:jc w:val="right"/>
              <w:rPr>
                <w:sz w:val="20"/>
                <w:szCs w:val="20"/>
              </w:rPr>
            </w:pPr>
            <w:r w:rsidRPr="003C2E0B">
              <w:rPr>
                <w:sz w:val="20"/>
                <w:szCs w:val="20"/>
              </w:rPr>
              <w:t>219 797</w:t>
            </w:r>
          </w:p>
        </w:tc>
        <w:tc>
          <w:tcPr>
            <w:tcW w:w="561" w:type="pct"/>
            <w:shd w:val="clear" w:color="auto" w:fill="FFFFFF"/>
            <w:noWrap/>
          </w:tcPr>
          <w:p w14:paraId="62FB4971" w14:textId="77777777" w:rsidR="00995AB9" w:rsidRPr="003C2E0B" w:rsidRDefault="00995AB9" w:rsidP="00A940B3">
            <w:pPr>
              <w:pStyle w:val="Bezriadkovania"/>
              <w:jc w:val="right"/>
              <w:rPr>
                <w:sz w:val="20"/>
                <w:szCs w:val="20"/>
              </w:rPr>
            </w:pPr>
            <w:r w:rsidRPr="003C2E0B">
              <w:rPr>
                <w:sz w:val="20"/>
                <w:szCs w:val="20"/>
              </w:rPr>
              <w:t>-56 272</w:t>
            </w:r>
          </w:p>
        </w:tc>
        <w:tc>
          <w:tcPr>
            <w:tcW w:w="562" w:type="pct"/>
            <w:shd w:val="clear" w:color="auto" w:fill="FFFFFF"/>
            <w:noWrap/>
          </w:tcPr>
          <w:p w14:paraId="5D3D5C93" w14:textId="77777777" w:rsidR="00995AB9" w:rsidRPr="003C2E0B" w:rsidRDefault="00995AB9" w:rsidP="00A940B3">
            <w:pPr>
              <w:pStyle w:val="Bezriadkovania"/>
              <w:jc w:val="right"/>
              <w:rPr>
                <w:sz w:val="20"/>
                <w:szCs w:val="20"/>
              </w:rPr>
            </w:pPr>
            <w:r w:rsidRPr="003C2E0B">
              <w:rPr>
                <w:sz w:val="20"/>
                <w:szCs w:val="20"/>
              </w:rPr>
              <w:t>-671</w:t>
            </w:r>
          </w:p>
        </w:tc>
        <w:tc>
          <w:tcPr>
            <w:tcW w:w="560" w:type="pct"/>
            <w:shd w:val="clear" w:color="auto" w:fill="FFFFFF"/>
            <w:noWrap/>
          </w:tcPr>
          <w:p w14:paraId="16155C28" w14:textId="77777777" w:rsidR="00995AB9" w:rsidRPr="003C2E0B" w:rsidRDefault="00995AB9" w:rsidP="00A940B3">
            <w:pPr>
              <w:pStyle w:val="Bezriadkovania"/>
              <w:jc w:val="right"/>
              <w:rPr>
                <w:sz w:val="20"/>
                <w:szCs w:val="20"/>
              </w:rPr>
            </w:pPr>
            <w:r w:rsidRPr="003C2E0B">
              <w:rPr>
                <w:sz w:val="20"/>
                <w:szCs w:val="20"/>
              </w:rPr>
              <w:t>-55 601</w:t>
            </w:r>
          </w:p>
        </w:tc>
      </w:tr>
      <w:tr w:rsidR="00995AB9" w:rsidRPr="003C2E0B" w14:paraId="7A91D534" w14:textId="77777777" w:rsidTr="003C2E0B">
        <w:trPr>
          <w:trHeight w:val="227"/>
        </w:trPr>
        <w:tc>
          <w:tcPr>
            <w:tcW w:w="2194" w:type="pct"/>
            <w:shd w:val="clear" w:color="auto" w:fill="FFFFFF"/>
            <w:noWrap/>
            <w:vAlign w:val="center"/>
          </w:tcPr>
          <w:p w14:paraId="769348CB" w14:textId="77777777" w:rsidR="00995AB9" w:rsidRPr="003C2E0B" w:rsidRDefault="00995AB9" w:rsidP="00A940B3">
            <w:pPr>
              <w:pStyle w:val="Bezriadkovania"/>
              <w:rPr>
                <w:sz w:val="20"/>
                <w:szCs w:val="20"/>
              </w:rPr>
            </w:pPr>
            <w:r w:rsidRPr="003C2E0B">
              <w:rPr>
                <w:sz w:val="20"/>
                <w:szCs w:val="20"/>
              </w:rPr>
              <w:t>Ostatné subjekty ústrednej správy</w:t>
            </w:r>
          </w:p>
        </w:tc>
        <w:tc>
          <w:tcPr>
            <w:tcW w:w="561" w:type="pct"/>
            <w:shd w:val="clear" w:color="auto" w:fill="FFFFFF"/>
            <w:noWrap/>
          </w:tcPr>
          <w:p w14:paraId="0B5C862A" w14:textId="77777777" w:rsidR="00995AB9" w:rsidRPr="003C2E0B" w:rsidRDefault="00995AB9" w:rsidP="00A940B3">
            <w:pPr>
              <w:pStyle w:val="Bezriadkovania"/>
              <w:jc w:val="right"/>
              <w:rPr>
                <w:sz w:val="20"/>
                <w:szCs w:val="20"/>
              </w:rPr>
            </w:pPr>
            <w:r w:rsidRPr="003C2E0B">
              <w:rPr>
                <w:sz w:val="20"/>
                <w:szCs w:val="20"/>
              </w:rPr>
              <w:t>66 047</w:t>
            </w:r>
          </w:p>
        </w:tc>
        <w:tc>
          <w:tcPr>
            <w:tcW w:w="562" w:type="pct"/>
            <w:shd w:val="clear" w:color="auto" w:fill="FFFFFF"/>
            <w:noWrap/>
          </w:tcPr>
          <w:p w14:paraId="7793BAD1" w14:textId="77777777" w:rsidR="00995AB9" w:rsidRPr="003C2E0B" w:rsidRDefault="00995AB9" w:rsidP="00A940B3">
            <w:pPr>
              <w:pStyle w:val="Bezriadkovania"/>
              <w:jc w:val="right"/>
              <w:rPr>
                <w:sz w:val="20"/>
                <w:szCs w:val="20"/>
              </w:rPr>
            </w:pPr>
            <w:r w:rsidRPr="003C2E0B">
              <w:rPr>
                <w:sz w:val="20"/>
                <w:szCs w:val="20"/>
              </w:rPr>
              <w:t>91 276</w:t>
            </w:r>
          </w:p>
        </w:tc>
        <w:tc>
          <w:tcPr>
            <w:tcW w:w="561" w:type="pct"/>
            <w:shd w:val="clear" w:color="auto" w:fill="FFFFFF"/>
            <w:noWrap/>
          </w:tcPr>
          <w:p w14:paraId="7972E1A7" w14:textId="77777777" w:rsidR="00995AB9" w:rsidRPr="003C2E0B" w:rsidRDefault="00995AB9" w:rsidP="00A940B3">
            <w:pPr>
              <w:pStyle w:val="Bezriadkovania"/>
              <w:jc w:val="right"/>
              <w:rPr>
                <w:sz w:val="20"/>
                <w:szCs w:val="20"/>
              </w:rPr>
            </w:pPr>
            <w:r w:rsidRPr="003C2E0B">
              <w:rPr>
                <w:sz w:val="20"/>
                <w:szCs w:val="20"/>
              </w:rPr>
              <w:t>190 077</w:t>
            </w:r>
          </w:p>
        </w:tc>
        <w:tc>
          <w:tcPr>
            <w:tcW w:w="562" w:type="pct"/>
            <w:shd w:val="clear" w:color="auto" w:fill="FFFFFF"/>
            <w:noWrap/>
          </w:tcPr>
          <w:p w14:paraId="4747BC14" w14:textId="77777777" w:rsidR="00995AB9" w:rsidRPr="003C2E0B" w:rsidRDefault="00995AB9" w:rsidP="00A940B3">
            <w:pPr>
              <w:pStyle w:val="Bezriadkovania"/>
              <w:jc w:val="right"/>
              <w:rPr>
                <w:sz w:val="20"/>
                <w:szCs w:val="20"/>
              </w:rPr>
            </w:pPr>
            <w:r w:rsidRPr="003C2E0B">
              <w:rPr>
                <w:sz w:val="20"/>
                <w:szCs w:val="20"/>
              </w:rPr>
              <w:t>73 533</w:t>
            </w:r>
          </w:p>
        </w:tc>
        <w:tc>
          <w:tcPr>
            <w:tcW w:w="560" w:type="pct"/>
            <w:shd w:val="clear" w:color="auto" w:fill="FFFFFF"/>
            <w:noWrap/>
          </w:tcPr>
          <w:p w14:paraId="26072136" w14:textId="77777777" w:rsidR="00995AB9" w:rsidRPr="003C2E0B" w:rsidRDefault="00995AB9" w:rsidP="00A940B3">
            <w:pPr>
              <w:pStyle w:val="Bezriadkovania"/>
              <w:jc w:val="right"/>
              <w:rPr>
                <w:sz w:val="20"/>
                <w:szCs w:val="20"/>
              </w:rPr>
            </w:pPr>
            <w:r w:rsidRPr="003C2E0B">
              <w:rPr>
                <w:sz w:val="20"/>
                <w:szCs w:val="20"/>
              </w:rPr>
              <w:t>116 544</w:t>
            </w:r>
          </w:p>
        </w:tc>
      </w:tr>
      <w:tr w:rsidR="00995AB9" w:rsidRPr="003C2E0B" w14:paraId="4F08E1DD" w14:textId="77777777" w:rsidTr="003C2E0B">
        <w:trPr>
          <w:trHeight w:val="227"/>
        </w:trPr>
        <w:tc>
          <w:tcPr>
            <w:tcW w:w="2194" w:type="pct"/>
            <w:shd w:val="clear" w:color="auto" w:fill="FFFFFF"/>
            <w:noWrap/>
            <w:vAlign w:val="center"/>
          </w:tcPr>
          <w:p w14:paraId="47AD1BC2" w14:textId="77777777" w:rsidR="00995AB9" w:rsidRPr="003C2E0B" w:rsidRDefault="00995AB9" w:rsidP="00A940B3">
            <w:pPr>
              <w:pStyle w:val="Bezriadkovania"/>
              <w:rPr>
                <w:b/>
                <w:color w:val="000000"/>
                <w:sz w:val="20"/>
                <w:szCs w:val="20"/>
              </w:rPr>
            </w:pPr>
            <w:r w:rsidRPr="003C2E0B">
              <w:rPr>
                <w:b/>
                <w:color w:val="000000"/>
                <w:sz w:val="20"/>
                <w:szCs w:val="20"/>
              </w:rPr>
              <w:t>Územná samospráva</w:t>
            </w:r>
          </w:p>
        </w:tc>
        <w:tc>
          <w:tcPr>
            <w:tcW w:w="561" w:type="pct"/>
            <w:shd w:val="clear" w:color="auto" w:fill="FFFFFF"/>
            <w:noWrap/>
          </w:tcPr>
          <w:p w14:paraId="570EC2A8" w14:textId="77777777" w:rsidR="00995AB9" w:rsidRPr="003C2E0B" w:rsidRDefault="00995AB9" w:rsidP="00A940B3">
            <w:pPr>
              <w:pStyle w:val="Bezriadkovania"/>
              <w:jc w:val="right"/>
              <w:rPr>
                <w:sz w:val="20"/>
                <w:szCs w:val="20"/>
              </w:rPr>
            </w:pPr>
          </w:p>
        </w:tc>
        <w:tc>
          <w:tcPr>
            <w:tcW w:w="562" w:type="pct"/>
            <w:shd w:val="clear" w:color="auto" w:fill="FFFFFF"/>
            <w:noWrap/>
          </w:tcPr>
          <w:p w14:paraId="6C4E976C" w14:textId="77777777" w:rsidR="00995AB9" w:rsidRPr="003C2E0B" w:rsidRDefault="00995AB9" w:rsidP="00A940B3">
            <w:pPr>
              <w:pStyle w:val="Bezriadkovania"/>
              <w:jc w:val="right"/>
              <w:rPr>
                <w:sz w:val="20"/>
                <w:szCs w:val="20"/>
              </w:rPr>
            </w:pPr>
          </w:p>
        </w:tc>
        <w:tc>
          <w:tcPr>
            <w:tcW w:w="561" w:type="pct"/>
            <w:shd w:val="clear" w:color="auto" w:fill="FFFFFF"/>
            <w:noWrap/>
          </w:tcPr>
          <w:p w14:paraId="1E13F5C2" w14:textId="77777777" w:rsidR="00995AB9" w:rsidRPr="003C2E0B" w:rsidRDefault="00995AB9" w:rsidP="00A940B3">
            <w:pPr>
              <w:pStyle w:val="Bezriadkovania"/>
              <w:jc w:val="right"/>
              <w:rPr>
                <w:sz w:val="20"/>
                <w:szCs w:val="20"/>
              </w:rPr>
            </w:pPr>
          </w:p>
        </w:tc>
        <w:tc>
          <w:tcPr>
            <w:tcW w:w="562" w:type="pct"/>
            <w:shd w:val="clear" w:color="auto" w:fill="FFFFFF"/>
            <w:noWrap/>
          </w:tcPr>
          <w:p w14:paraId="7EC7E020" w14:textId="77777777" w:rsidR="00995AB9" w:rsidRPr="003C2E0B" w:rsidRDefault="00995AB9" w:rsidP="00A940B3">
            <w:pPr>
              <w:pStyle w:val="Bezriadkovania"/>
              <w:jc w:val="right"/>
              <w:rPr>
                <w:sz w:val="20"/>
                <w:szCs w:val="20"/>
              </w:rPr>
            </w:pPr>
          </w:p>
        </w:tc>
        <w:tc>
          <w:tcPr>
            <w:tcW w:w="560" w:type="pct"/>
            <w:shd w:val="clear" w:color="auto" w:fill="FFFFFF"/>
            <w:noWrap/>
          </w:tcPr>
          <w:p w14:paraId="54EE24DC" w14:textId="77777777" w:rsidR="00995AB9" w:rsidRPr="003C2E0B" w:rsidRDefault="00995AB9" w:rsidP="00A940B3">
            <w:pPr>
              <w:pStyle w:val="Bezriadkovania"/>
              <w:jc w:val="right"/>
              <w:rPr>
                <w:sz w:val="20"/>
                <w:szCs w:val="20"/>
              </w:rPr>
            </w:pPr>
          </w:p>
        </w:tc>
      </w:tr>
      <w:tr w:rsidR="00995AB9" w:rsidRPr="003C2E0B" w14:paraId="71E31366" w14:textId="77777777" w:rsidTr="003C2E0B">
        <w:trPr>
          <w:trHeight w:val="227"/>
        </w:trPr>
        <w:tc>
          <w:tcPr>
            <w:tcW w:w="2194" w:type="pct"/>
            <w:shd w:val="clear" w:color="auto" w:fill="FFFFFF"/>
            <w:noWrap/>
            <w:vAlign w:val="center"/>
          </w:tcPr>
          <w:p w14:paraId="22CDC23D" w14:textId="77777777" w:rsidR="00995AB9" w:rsidRPr="003C2E0B" w:rsidRDefault="00995AB9" w:rsidP="00A940B3">
            <w:pPr>
              <w:pStyle w:val="Bezriadkovania"/>
              <w:rPr>
                <w:sz w:val="20"/>
                <w:szCs w:val="20"/>
              </w:rPr>
            </w:pPr>
            <w:r w:rsidRPr="003C2E0B">
              <w:rPr>
                <w:sz w:val="20"/>
                <w:szCs w:val="20"/>
              </w:rPr>
              <w:t xml:space="preserve">     Obce</w:t>
            </w:r>
            <w:r w:rsidRPr="003C2E0B">
              <w:rPr>
                <w:sz w:val="20"/>
                <w:szCs w:val="20"/>
                <w:vertAlign w:val="superscript"/>
              </w:rPr>
              <w:t xml:space="preserve"> </w:t>
            </w:r>
            <w:r w:rsidRPr="003C2E0B">
              <w:rPr>
                <w:sz w:val="20"/>
                <w:szCs w:val="20"/>
              </w:rPr>
              <w:t>a ich rozpočtové organizácie</w:t>
            </w:r>
          </w:p>
        </w:tc>
        <w:tc>
          <w:tcPr>
            <w:tcW w:w="561" w:type="pct"/>
            <w:shd w:val="clear" w:color="auto" w:fill="FFFFFF"/>
            <w:noWrap/>
          </w:tcPr>
          <w:p w14:paraId="4AA167AA" w14:textId="77777777" w:rsidR="00995AB9" w:rsidRPr="003C2E0B" w:rsidRDefault="00995AB9" w:rsidP="00A940B3">
            <w:pPr>
              <w:pStyle w:val="Bezriadkovania"/>
              <w:jc w:val="right"/>
              <w:rPr>
                <w:sz w:val="20"/>
                <w:szCs w:val="20"/>
              </w:rPr>
            </w:pPr>
            <w:r w:rsidRPr="003C2E0B">
              <w:rPr>
                <w:sz w:val="20"/>
                <w:szCs w:val="20"/>
              </w:rPr>
              <w:t>-15 130</w:t>
            </w:r>
          </w:p>
        </w:tc>
        <w:tc>
          <w:tcPr>
            <w:tcW w:w="562" w:type="pct"/>
            <w:shd w:val="clear" w:color="auto" w:fill="FFFFFF"/>
            <w:noWrap/>
          </w:tcPr>
          <w:p w14:paraId="2D12C5DE" w14:textId="77777777" w:rsidR="00995AB9" w:rsidRPr="003C2E0B" w:rsidRDefault="00995AB9" w:rsidP="00A940B3">
            <w:pPr>
              <w:pStyle w:val="Bezriadkovania"/>
              <w:jc w:val="right"/>
              <w:rPr>
                <w:sz w:val="20"/>
                <w:szCs w:val="20"/>
              </w:rPr>
            </w:pPr>
            <w:r w:rsidRPr="003C2E0B">
              <w:rPr>
                <w:sz w:val="20"/>
                <w:szCs w:val="20"/>
              </w:rPr>
              <w:t>-29 323</w:t>
            </w:r>
          </w:p>
        </w:tc>
        <w:tc>
          <w:tcPr>
            <w:tcW w:w="561" w:type="pct"/>
            <w:shd w:val="clear" w:color="auto" w:fill="FFFFFF"/>
            <w:noWrap/>
          </w:tcPr>
          <w:p w14:paraId="443D98B6" w14:textId="77777777" w:rsidR="00995AB9" w:rsidRPr="003C2E0B" w:rsidRDefault="00995AB9" w:rsidP="00A940B3">
            <w:pPr>
              <w:pStyle w:val="Bezriadkovania"/>
              <w:jc w:val="right"/>
              <w:rPr>
                <w:sz w:val="20"/>
                <w:szCs w:val="20"/>
              </w:rPr>
            </w:pPr>
            <w:r w:rsidRPr="003C2E0B">
              <w:rPr>
                <w:sz w:val="20"/>
                <w:szCs w:val="20"/>
              </w:rPr>
              <w:t>55 868</w:t>
            </w:r>
          </w:p>
        </w:tc>
        <w:tc>
          <w:tcPr>
            <w:tcW w:w="562" w:type="pct"/>
            <w:shd w:val="clear" w:color="auto" w:fill="FFFFFF"/>
            <w:noWrap/>
          </w:tcPr>
          <w:p w14:paraId="0A184767" w14:textId="77777777" w:rsidR="00995AB9" w:rsidRPr="003C2E0B" w:rsidRDefault="00995AB9" w:rsidP="00A940B3">
            <w:pPr>
              <w:pStyle w:val="Bezriadkovania"/>
              <w:jc w:val="right"/>
              <w:rPr>
                <w:sz w:val="20"/>
                <w:szCs w:val="20"/>
              </w:rPr>
            </w:pPr>
            <w:r w:rsidRPr="003C2E0B">
              <w:rPr>
                <w:sz w:val="20"/>
                <w:szCs w:val="20"/>
              </w:rPr>
              <w:t>234 484</w:t>
            </w:r>
          </w:p>
        </w:tc>
        <w:tc>
          <w:tcPr>
            <w:tcW w:w="560" w:type="pct"/>
            <w:shd w:val="clear" w:color="auto" w:fill="FFFFFF"/>
            <w:noWrap/>
          </w:tcPr>
          <w:p w14:paraId="6077E041" w14:textId="77777777" w:rsidR="00995AB9" w:rsidRPr="003C2E0B" w:rsidRDefault="00995AB9" w:rsidP="00A940B3">
            <w:pPr>
              <w:pStyle w:val="Bezriadkovania"/>
              <w:jc w:val="right"/>
              <w:rPr>
                <w:sz w:val="20"/>
                <w:szCs w:val="20"/>
              </w:rPr>
            </w:pPr>
            <w:r w:rsidRPr="003C2E0B">
              <w:rPr>
                <w:sz w:val="20"/>
                <w:szCs w:val="20"/>
              </w:rPr>
              <w:t>-178 616</w:t>
            </w:r>
          </w:p>
        </w:tc>
      </w:tr>
      <w:tr w:rsidR="00995AB9" w:rsidRPr="003C2E0B" w14:paraId="30287D26" w14:textId="77777777" w:rsidTr="003C2E0B">
        <w:trPr>
          <w:trHeight w:val="227"/>
        </w:trPr>
        <w:tc>
          <w:tcPr>
            <w:tcW w:w="2194" w:type="pct"/>
            <w:shd w:val="clear" w:color="auto" w:fill="FFFFFF"/>
            <w:noWrap/>
            <w:vAlign w:val="center"/>
          </w:tcPr>
          <w:p w14:paraId="2F6C1E93" w14:textId="77777777" w:rsidR="00995AB9" w:rsidRPr="003C2E0B" w:rsidRDefault="00995AB9" w:rsidP="00A940B3">
            <w:pPr>
              <w:pStyle w:val="Bezriadkovania"/>
              <w:rPr>
                <w:sz w:val="20"/>
                <w:szCs w:val="20"/>
              </w:rPr>
            </w:pPr>
            <w:r w:rsidRPr="003C2E0B">
              <w:rPr>
                <w:sz w:val="20"/>
                <w:szCs w:val="20"/>
              </w:rPr>
              <w:t xml:space="preserve">     Vyššie územné celky a ich rozpočtové organizácie</w:t>
            </w:r>
          </w:p>
        </w:tc>
        <w:tc>
          <w:tcPr>
            <w:tcW w:w="561" w:type="pct"/>
            <w:shd w:val="clear" w:color="auto" w:fill="FFFFFF"/>
            <w:noWrap/>
          </w:tcPr>
          <w:p w14:paraId="61DDC43E" w14:textId="77777777" w:rsidR="00995AB9" w:rsidRPr="003C2E0B" w:rsidRDefault="00995AB9" w:rsidP="00A940B3">
            <w:pPr>
              <w:pStyle w:val="Bezriadkovania"/>
              <w:jc w:val="right"/>
              <w:rPr>
                <w:sz w:val="20"/>
                <w:szCs w:val="20"/>
              </w:rPr>
            </w:pPr>
            <w:r w:rsidRPr="003C2E0B">
              <w:rPr>
                <w:sz w:val="20"/>
                <w:szCs w:val="20"/>
              </w:rPr>
              <w:t>-16 489</w:t>
            </w:r>
          </w:p>
        </w:tc>
        <w:tc>
          <w:tcPr>
            <w:tcW w:w="562" w:type="pct"/>
            <w:shd w:val="clear" w:color="auto" w:fill="FFFFFF"/>
            <w:noWrap/>
          </w:tcPr>
          <w:p w14:paraId="13BE6C5F" w14:textId="77777777" w:rsidR="00995AB9" w:rsidRPr="003C2E0B" w:rsidRDefault="00995AB9" w:rsidP="00A940B3">
            <w:pPr>
              <w:pStyle w:val="Bezriadkovania"/>
              <w:jc w:val="right"/>
              <w:rPr>
                <w:sz w:val="20"/>
                <w:szCs w:val="20"/>
              </w:rPr>
            </w:pPr>
            <w:r w:rsidRPr="003C2E0B">
              <w:rPr>
                <w:sz w:val="20"/>
                <w:szCs w:val="20"/>
              </w:rPr>
              <w:t>102 822</w:t>
            </w:r>
          </w:p>
        </w:tc>
        <w:tc>
          <w:tcPr>
            <w:tcW w:w="561" w:type="pct"/>
            <w:shd w:val="clear" w:color="auto" w:fill="FFFFFF"/>
            <w:noWrap/>
          </w:tcPr>
          <w:p w14:paraId="0B5036EE" w14:textId="77777777" w:rsidR="00995AB9" w:rsidRPr="003C2E0B" w:rsidRDefault="00995AB9" w:rsidP="00A940B3">
            <w:pPr>
              <w:pStyle w:val="Bezriadkovania"/>
              <w:jc w:val="right"/>
              <w:rPr>
                <w:sz w:val="20"/>
                <w:szCs w:val="20"/>
              </w:rPr>
            </w:pPr>
            <w:r w:rsidRPr="003C2E0B">
              <w:rPr>
                <w:sz w:val="20"/>
                <w:szCs w:val="20"/>
              </w:rPr>
              <w:t>45 582</w:t>
            </w:r>
          </w:p>
        </w:tc>
        <w:tc>
          <w:tcPr>
            <w:tcW w:w="562" w:type="pct"/>
            <w:shd w:val="clear" w:color="auto" w:fill="FFFFFF"/>
            <w:noWrap/>
          </w:tcPr>
          <w:p w14:paraId="1F5807B4" w14:textId="77777777" w:rsidR="00995AB9" w:rsidRPr="003C2E0B" w:rsidRDefault="00995AB9" w:rsidP="00A940B3">
            <w:pPr>
              <w:pStyle w:val="Bezriadkovania"/>
              <w:jc w:val="right"/>
              <w:rPr>
                <w:sz w:val="20"/>
                <w:szCs w:val="20"/>
              </w:rPr>
            </w:pPr>
            <w:r w:rsidRPr="003C2E0B">
              <w:rPr>
                <w:sz w:val="20"/>
                <w:szCs w:val="20"/>
              </w:rPr>
              <w:t>122 093</w:t>
            </w:r>
          </w:p>
        </w:tc>
        <w:tc>
          <w:tcPr>
            <w:tcW w:w="560" w:type="pct"/>
            <w:shd w:val="clear" w:color="auto" w:fill="FFFFFF"/>
            <w:noWrap/>
          </w:tcPr>
          <w:p w14:paraId="0F2C438F" w14:textId="77777777" w:rsidR="00995AB9" w:rsidRPr="003C2E0B" w:rsidRDefault="00995AB9" w:rsidP="00A940B3">
            <w:pPr>
              <w:pStyle w:val="Bezriadkovania"/>
              <w:jc w:val="right"/>
              <w:rPr>
                <w:sz w:val="20"/>
                <w:szCs w:val="20"/>
              </w:rPr>
            </w:pPr>
            <w:r w:rsidRPr="003C2E0B">
              <w:rPr>
                <w:sz w:val="20"/>
                <w:szCs w:val="20"/>
              </w:rPr>
              <w:t>-75 511</w:t>
            </w:r>
          </w:p>
        </w:tc>
      </w:tr>
      <w:tr w:rsidR="00995AB9" w:rsidRPr="003C2E0B" w14:paraId="6EC73F80" w14:textId="77777777" w:rsidTr="003C2E0B">
        <w:trPr>
          <w:trHeight w:val="227"/>
        </w:trPr>
        <w:tc>
          <w:tcPr>
            <w:tcW w:w="2194" w:type="pct"/>
            <w:shd w:val="clear" w:color="auto" w:fill="FFFFFF"/>
            <w:noWrap/>
            <w:vAlign w:val="center"/>
          </w:tcPr>
          <w:p w14:paraId="1C55D720" w14:textId="77777777" w:rsidR="00995AB9" w:rsidRPr="003C2E0B" w:rsidRDefault="00995AB9" w:rsidP="00A940B3">
            <w:pPr>
              <w:pStyle w:val="Bezriadkovania"/>
              <w:rPr>
                <w:sz w:val="20"/>
                <w:szCs w:val="20"/>
              </w:rPr>
            </w:pPr>
            <w:r w:rsidRPr="003C2E0B">
              <w:rPr>
                <w:sz w:val="20"/>
                <w:szCs w:val="20"/>
              </w:rPr>
              <w:t xml:space="preserve">     Príspevkové organizácie obcí</w:t>
            </w:r>
          </w:p>
        </w:tc>
        <w:tc>
          <w:tcPr>
            <w:tcW w:w="561" w:type="pct"/>
            <w:shd w:val="clear" w:color="auto" w:fill="FFFFFF"/>
            <w:noWrap/>
          </w:tcPr>
          <w:p w14:paraId="242AA292" w14:textId="77777777" w:rsidR="00995AB9" w:rsidRPr="003C2E0B" w:rsidRDefault="00995AB9" w:rsidP="00A940B3">
            <w:pPr>
              <w:pStyle w:val="Bezriadkovania"/>
              <w:jc w:val="right"/>
              <w:rPr>
                <w:sz w:val="20"/>
                <w:szCs w:val="20"/>
              </w:rPr>
            </w:pPr>
            <w:r w:rsidRPr="003C2E0B">
              <w:rPr>
                <w:sz w:val="20"/>
                <w:szCs w:val="20"/>
              </w:rPr>
              <w:t>7 642</w:t>
            </w:r>
          </w:p>
        </w:tc>
        <w:tc>
          <w:tcPr>
            <w:tcW w:w="562" w:type="pct"/>
            <w:shd w:val="clear" w:color="auto" w:fill="FFFFFF"/>
            <w:noWrap/>
          </w:tcPr>
          <w:p w14:paraId="12AB7A82" w14:textId="77777777" w:rsidR="00995AB9" w:rsidRPr="003C2E0B" w:rsidRDefault="00995AB9" w:rsidP="00A940B3">
            <w:pPr>
              <w:pStyle w:val="Bezriadkovania"/>
              <w:jc w:val="right"/>
              <w:rPr>
                <w:sz w:val="20"/>
                <w:szCs w:val="20"/>
              </w:rPr>
            </w:pPr>
            <w:r w:rsidRPr="003C2E0B">
              <w:rPr>
                <w:sz w:val="20"/>
                <w:szCs w:val="20"/>
              </w:rPr>
              <w:t>5 482</w:t>
            </w:r>
          </w:p>
        </w:tc>
        <w:tc>
          <w:tcPr>
            <w:tcW w:w="561" w:type="pct"/>
            <w:shd w:val="clear" w:color="auto" w:fill="FFFFFF"/>
            <w:noWrap/>
          </w:tcPr>
          <w:p w14:paraId="57877AEF" w14:textId="77777777" w:rsidR="00995AB9" w:rsidRPr="003C2E0B" w:rsidRDefault="00995AB9" w:rsidP="00A940B3">
            <w:pPr>
              <w:pStyle w:val="Bezriadkovania"/>
              <w:jc w:val="right"/>
              <w:rPr>
                <w:sz w:val="20"/>
                <w:szCs w:val="20"/>
              </w:rPr>
            </w:pPr>
            <w:r w:rsidRPr="003C2E0B">
              <w:rPr>
                <w:sz w:val="20"/>
                <w:szCs w:val="20"/>
              </w:rPr>
              <w:t>1 491</w:t>
            </w:r>
          </w:p>
        </w:tc>
        <w:tc>
          <w:tcPr>
            <w:tcW w:w="562" w:type="pct"/>
            <w:shd w:val="clear" w:color="auto" w:fill="FFFFFF"/>
            <w:noWrap/>
          </w:tcPr>
          <w:p w14:paraId="0383F506" w14:textId="77777777" w:rsidR="00995AB9" w:rsidRPr="003C2E0B" w:rsidRDefault="00995AB9" w:rsidP="00A940B3">
            <w:pPr>
              <w:pStyle w:val="Bezriadkovania"/>
              <w:jc w:val="right"/>
              <w:rPr>
                <w:sz w:val="20"/>
                <w:szCs w:val="20"/>
              </w:rPr>
            </w:pPr>
            <w:r w:rsidRPr="003C2E0B">
              <w:rPr>
                <w:sz w:val="20"/>
                <w:szCs w:val="20"/>
              </w:rPr>
              <w:t>2 260</w:t>
            </w:r>
          </w:p>
        </w:tc>
        <w:tc>
          <w:tcPr>
            <w:tcW w:w="560" w:type="pct"/>
            <w:shd w:val="clear" w:color="auto" w:fill="FFFFFF"/>
            <w:noWrap/>
          </w:tcPr>
          <w:p w14:paraId="785BA49E" w14:textId="77777777" w:rsidR="00995AB9" w:rsidRPr="003C2E0B" w:rsidRDefault="00995AB9" w:rsidP="00A940B3">
            <w:pPr>
              <w:pStyle w:val="Bezriadkovania"/>
              <w:jc w:val="right"/>
              <w:rPr>
                <w:sz w:val="20"/>
                <w:szCs w:val="20"/>
              </w:rPr>
            </w:pPr>
            <w:r w:rsidRPr="003C2E0B">
              <w:rPr>
                <w:sz w:val="20"/>
                <w:szCs w:val="20"/>
              </w:rPr>
              <w:t>-769</w:t>
            </w:r>
          </w:p>
        </w:tc>
      </w:tr>
      <w:tr w:rsidR="00995AB9" w:rsidRPr="003C2E0B" w14:paraId="78EC059E" w14:textId="77777777" w:rsidTr="003C2E0B">
        <w:trPr>
          <w:trHeight w:val="227"/>
        </w:trPr>
        <w:tc>
          <w:tcPr>
            <w:tcW w:w="2194" w:type="pct"/>
            <w:shd w:val="clear" w:color="auto" w:fill="FFFFFF"/>
            <w:noWrap/>
            <w:vAlign w:val="center"/>
          </w:tcPr>
          <w:p w14:paraId="6CDC0650" w14:textId="77777777" w:rsidR="00995AB9" w:rsidRPr="003C2E0B" w:rsidRDefault="00995AB9" w:rsidP="00A940B3">
            <w:pPr>
              <w:pStyle w:val="Bezriadkovania"/>
              <w:rPr>
                <w:sz w:val="20"/>
                <w:szCs w:val="20"/>
              </w:rPr>
            </w:pPr>
            <w:r w:rsidRPr="003C2E0B">
              <w:rPr>
                <w:sz w:val="20"/>
                <w:szCs w:val="20"/>
              </w:rPr>
              <w:t xml:space="preserve">     Príspevkové organizácie VÚC</w:t>
            </w:r>
          </w:p>
        </w:tc>
        <w:tc>
          <w:tcPr>
            <w:tcW w:w="561" w:type="pct"/>
            <w:shd w:val="clear" w:color="auto" w:fill="FFFFFF"/>
            <w:noWrap/>
          </w:tcPr>
          <w:p w14:paraId="4FEB0BCB" w14:textId="77777777" w:rsidR="00995AB9" w:rsidRPr="003C2E0B" w:rsidRDefault="00995AB9" w:rsidP="00A940B3">
            <w:pPr>
              <w:pStyle w:val="Bezriadkovania"/>
              <w:jc w:val="right"/>
              <w:rPr>
                <w:sz w:val="20"/>
                <w:szCs w:val="20"/>
              </w:rPr>
            </w:pPr>
            <w:r w:rsidRPr="003C2E0B">
              <w:rPr>
                <w:sz w:val="20"/>
                <w:szCs w:val="20"/>
              </w:rPr>
              <w:t>-549</w:t>
            </w:r>
          </w:p>
        </w:tc>
        <w:tc>
          <w:tcPr>
            <w:tcW w:w="562" w:type="pct"/>
            <w:shd w:val="clear" w:color="auto" w:fill="FFFFFF"/>
            <w:noWrap/>
          </w:tcPr>
          <w:p w14:paraId="073057C5" w14:textId="77777777" w:rsidR="00995AB9" w:rsidRPr="003C2E0B" w:rsidRDefault="00995AB9" w:rsidP="00A940B3">
            <w:pPr>
              <w:pStyle w:val="Bezriadkovania"/>
              <w:jc w:val="right"/>
              <w:rPr>
                <w:sz w:val="20"/>
                <w:szCs w:val="20"/>
              </w:rPr>
            </w:pPr>
            <w:r w:rsidRPr="003C2E0B">
              <w:rPr>
                <w:sz w:val="20"/>
                <w:szCs w:val="20"/>
              </w:rPr>
              <w:t>2 630</w:t>
            </w:r>
          </w:p>
        </w:tc>
        <w:tc>
          <w:tcPr>
            <w:tcW w:w="561" w:type="pct"/>
            <w:shd w:val="clear" w:color="auto" w:fill="FFFFFF"/>
            <w:noWrap/>
          </w:tcPr>
          <w:p w14:paraId="64A3DF0E" w14:textId="77777777" w:rsidR="00995AB9" w:rsidRPr="003C2E0B" w:rsidRDefault="00995AB9" w:rsidP="00A940B3">
            <w:pPr>
              <w:pStyle w:val="Bezriadkovania"/>
              <w:jc w:val="right"/>
              <w:rPr>
                <w:sz w:val="20"/>
                <w:szCs w:val="20"/>
              </w:rPr>
            </w:pPr>
            <w:r w:rsidRPr="003C2E0B">
              <w:rPr>
                <w:sz w:val="20"/>
                <w:szCs w:val="20"/>
              </w:rPr>
              <w:t>1 546</w:t>
            </w:r>
          </w:p>
        </w:tc>
        <w:tc>
          <w:tcPr>
            <w:tcW w:w="562" w:type="pct"/>
            <w:shd w:val="clear" w:color="auto" w:fill="FFFFFF"/>
            <w:noWrap/>
          </w:tcPr>
          <w:p w14:paraId="7DB108A7" w14:textId="77777777" w:rsidR="00995AB9" w:rsidRPr="003C2E0B" w:rsidRDefault="00995AB9" w:rsidP="00A940B3">
            <w:pPr>
              <w:pStyle w:val="Bezriadkovania"/>
              <w:jc w:val="right"/>
              <w:rPr>
                <w:sz w:val="20"/>
                <w:szCs w:val="20"/>
              </w:rPr>
            </w:pPr>
            <w:r w:rsidRPr="003C2E0B">
              <w:rPr>
                <w:sz w:val="20"/>
                <w:szCs w:val="20"/>
              </w:rPr>
              <w:t>2 150</w:t>
            </w:r>
          </w:p>
        </w:tc>
        <w:tc>
          <w:tcPr>
            <w:tcW w:w="560" w:type="pct"/>
            <w:shd w:val="clear" w:color="auto" w:fill="FFFFFF"/>
            <w:noWrap/>
          </w:tcPr>
          <w:p w14:paraId="0BA5F671" w14:textId="77777777" w:rsidR="00995AB9" w:rsidRPr="003C2E0B" w:rsidRDefault="00995AB9" w:rsidP="00A940B3">
            <w:pPr>
              <w:pStyle w:val="Bezriadkovania"/>
              <w:jc w:val="right"/>
              <w:rPr>
                <w:sz w:val="20"/>
                <w:szCs w:val="20"/>
              </w:rPr>
            </w:pPr>
            <w:r w:rsidRPr="003C2E0B">
              <w:rPr>
                <w:sz w:val="20"/>
                <w:szCs w:val="20"/>
              </w:rPr>
              <w:t>-604</w:t>
            </w:r>
          </w:p>
        </w:tc>
      </w:tr>
      <w:tr w:rsidR="00995AB9" w:rsidRPr="003C2E0B" w14:paraId="7CEC5610" w14:textId="77777777" w:rsidTr="003C2E0B">
        <w:trPr>
          <w:trHeight w:val="227"/>
        </w:trPr>
        <w:tc>
          <w:tcPr>
            <w:tcW w:w="2194" w:type="pct"/>
            <w:shd w:val="clear" w:color="auto" w:fill="FFFFFF"/>
            <w:noWrap/>
            <w:vAlign w:val="center"/>
          </w:tcPr>
          <w:p w14:paraId="11A083EC" w14:textId="77777777" w:rsidR="00995AB9" w:rsidRPr="003C2E0B" w:rsidRDefault="00995AB9" w:rsidP="00A940B3">
            <w:pPr>
              <w:pStyle w:val="Bezriadkovania"/>
              <w:rPr>
                <w:sz w:val="20"/>
                <w:szCs w:val="20"/>
              </w:rPr>
            </w:pPr>
            <w:r w:rsidRPr="003C2E0B">
              <w:rPr>
                <w:sz w:val="20"/>
                <w:szCs w:val="20"/>
              </w:rPr>
              <w:t xml:space="preserve">     Dopravné podniky</w:t>
            </w:r>
          </w:p>
        </w:tc>
        <w:tc>
          <w:tcPr>
            <w:tcW w:w="561" w:type="pct"/>
            <w:shd w:val="clear" w:color="auto" w:fill="FFFFFF"/>
            <w:noWrap/>
          </w:tcPr>
          <w:p w14:paraId="55F1C295" w14:textId="77777777" w:rsidR="00995AB9" w:rsidRPr="003C2E0B" w:rsidRDefault="00995AB9" w:rsidP="00A940B3">
            <w:pPr>
              <w:pStyle w:val="Bezriadkovania"/>
              <w:jc w:val="right"/>
              <w:rPr>
                <w:sz w:val="20"/>
                <w:szCs w:val="20"/>
              </w:rPr>
            </w:pPr>
            <w:r w:rsidRPr="003C2E0B">
              <w:rPr>
                <w:sz w:val="20"/>
                <w:szCs w:val="20"/>
              </w:rPr>
              <w:t>8 505</w:t>
            </w:r>
          </w:p>
        </w:tc>
        <w:tc>
          <w:tcPr>
            <w:tcW w:w="562" w:type="pct"/>
            <w:shd w:val="clear" w:color="auto" w:fill="FFFFFF"/>
            <w:noWrap/>
          </w:tcPr>
          <w:p w14:paraId="36C2C3C4" w14:textId="77777777" w:rsidR="00995AB9" w:rsidRPr="003C2E0B" w:rsidRDefault="00995AB9" w:rsidP="00A940B3">
            <w:pPr>
              <w:pStyle w:val="Bezriadkovania"/>
              <w:jc w:val="right"/>
              <w:rPr>
                <w:sz w:val="20"/>
                <w:szCs w:val="20"/>
              </w:rPr>
            </w:pPr>
            <w:r w:rsidRPr="003C2E0B">
              <w:rPr>
                <w:sz w:val="20"/>
                <w:szCs w:val="20"/>
              </w:rPr>
              <w:t>10 990</w:t>
            </w:r>
          </w:p>
        </w:tc>
        <w:tc>
          <w:tcPr>
            <w:tcW w:w="561" w:type="pct"/>
            <w:shd w:val="clear" w:color="auto" w:fill="FFFFFF"/>
            <w:noWrap/>
          </w:tcPr>
          <w:p w14:paraId="68DD16C9" w14:textId="77777777" w:rsidR="00995AB9" w:rsidRPr="003C2E0B" w:rsidRDefault="00995AB9" w:rsidP="00A940B3">
            <w:pPr>
              <w:pStyle w:val="Bezriadkovania"/>
              <w:jc w:val="right"/>
              <w:rPr>
                <w:sz w:val="20"/>
                <w:szCs w:val="20"/>
              </w:rPr>
            </w:pPr>
            <w:r w:rsidRPr="003C2E0B">
              <w:rPr>
                <w:sz w:val="20"/>
                <w:szCs w:val="20"/>
              </w:rPr>
              <w:t>22 019</w:t>
            </w:r>
          </w:p>
        </w:tc>
        <w:tc>
          <w:tcPr>
            <w:tcW w:w="562" w:type="pct"/>
            <w:shd w:val="clear" w:color="auto" w:fill="FFFFFF"/>
            <w:noWrap/>
          </w:tcPr>
          <w:p w14:paraId="04BFFC08" w14:textId="77777777" w:rsidR="00995AB9" w:rsidRPr="003C2E0B" w:rsidRDefault="00995AB9" w:rsidP="00A940B3">
            <w:pPr>
              <w:pStyle w:val="Bezriadkovania"/>
              <w:jc w:val="right"/>
              <w:rPr>
                <w:sz w:val="20"/>
                <w:szCs w:val="20"/>
              </w:rPr>
            </w:pPr>
            <w:r w:rsidRPr="003C2E0B">
              <w:rPr>
                <w:sz w:val="20"/>
                <w:szCs w:val="20"/>
              </w:rPr>
              <w:t>11 833</w:t>
            </w:r>
          </w:p>
        </w:tc>
        <w:tc>
          <w:tcPr>
            <w:tcW w:w="560" w:type="pct"/>
            <w:shd w:val="clear" w:color="auto" w:fill="FFFFFF"/>
            <w:noWrap/>
          </w:tcPr>
          <w:p w14:paraId="54347EAB" w14:textId="77777777" w:rsidR="00995AB9" w:rsidRPr="003C2E0B" w:rsidRDefault="00995AB9" w:rsidP="00A940B3">
            <w:pPr>
              <w:pStyle w:val="Bezriadkovania"/>
              <w:jc w:val="right"/>
              <w:rPr>
                <w:sz w:val="20"/>
                <w:szCs w:val="20"/>
              </w:rPr>
            </w:pPr>
            <w:r w:rsidRPr="003C2E0B">
              <w:rPr>
                <w:sz w:val="20"/>
                <w:szCs w:val="20"/>
              </w:rPr>
              <w:t>10 186</w:t>
            </w:r>
          </w:p>
        </w:tc>
      </w:tr>
      <w:tr w:rsidR="00995AB9" w:rsidRPr="003C2E0B" w14:paraId="2984DDCF" w14:textId="77777777" w:rsidTr="003C2E0B">
        <w:trPr>
          <w:trHeight w:val="227"/>
        </w:trPr>
        <w:tc>
          <w:tcPr>
            <w:tcW w:w="2194" w:type="pct"/>
            <w:shd w:val="clear" w:color="auto" w:fill="FFFFFF"/>
            <w:noWrap/>
            <w:vAlign w:val="center"/>
          </w:tcPr>
          <w:p w14:paraId="11AE8BE4" w14:textId="77777777" w:rsidR="00995AB9" w:rsidRPr="003C2E0B" w:rsidRDefault="00995AB9" w:rsidP="00A940B3">
            <w:pPr>
              <w:pStyle w:val="Bezriadkovania"/>
              <w:rPr>
                <w:sz w:val="20"/>
                <w:szCs w:val="20"/>
              </w:rPr>
            </w:pPr>
            <w:r w:rsidRPr="003C2E0B">
              <w:rPr>
                <w:sz w:val="20"/>
                <w:szCs w:val="20"/>
              </w:rPr>
              <w:t xml:space="preserve">     Zdravotnícke zariadenia miestnej samosprávy</w:t>
            </w:r>
          </w:p>
        </w:tc>
        <w:tc>
          <w:tcPr>
            <w:tcW w:w="561" w:type="pct"/>
            <w:shd w:val="clear" w:color="auto" w:fill="FFFFFF"/>
            <w:noWrap/>
          </w:tcPr>
          <w:p w14:paraId="703968D7" w14:textId="77777777" w:rsidR="00995AB9" w:rsidRPr="003C2E0B" w:rsidRDefault="00995AB9" w:rsidP="00A940B3">
            <w:pPr>
              <w:pStyle w:val="Bezriadkovania"/>
              <w:jc w:val="right"/>
              <w:rPr>
                <w:sz w:val="20"/>
                <w:szCs w:val="20"/>
              </w:rPr>
            </w:pPr>
            <w:r w:rsidRPr="003C2E0B">
              <w:rPr>
                <w:sz w:val="20"/>
                <w:szCs w:val="20"/>
              </w:rPr>
              <w:t>-7 805</w:t>
            </w:r>
          </w:p>
        </w:tc>
        <w:tc>
          <w:tcPr>
            <w:tcW w:w="562" w:type="pct"/>
            <w:shd w:val="clear" w:color="auto" w:fill="FFFFFF"/>
            <w:noWrap/>
          </w:tcPr>
          <w:p w14:paraId="6577F717" w14:textId="77777777" w:rsidR="00995AB9" w:rsidRPr="003C2E0B" w:rsidRDefault="00995AB9" w:rsidP="00A940B3">
            <w:pPr>
              <w:pStyle w:val="Bezriadkovania"/>
              <w:jc w:val="right"/>
              <w:rPr>
                <w:sz w:val="20"/>
                <w:szCs w:val="20"/>
              </w:rPr>
            </w:pPr>
            <w:r w:rsidRPr="003C2E0B">
              <w:rPr>
                <w:sz w:val="20"/>
                <w:szCs w:val="20"/>
              </w:rPr>
              <w:t>46 990</w:t>
            </w:r>
          </w:p>
        </w:tc>
        <w:tc>
          <w:tcPr>
            <w:tcW w:w="561" w:type="pct"/>
            <w:shd w:val="clear" w:color="auto" w:fill="FFFFFF"/>
            <w:noWrap/>
          </w:tcPr>
          <w:p w14:paraId="464F1847" w14:textId="77777777" w:rsidR="00995AB9" w:rsidRPr="003C2E0B" w:rsidRDefault="00995AB9" w:rsidP="00A940B3">
            <w:pPr>
              <w:pStyle w:val="Bezriadkovania"/>
              <w:jc w:val="right"/>
              <w:rPr>
                <w:sz w:val="20"/>
                <w:szCs w:val="20"/>
              </w:rPr>
            </w:pPr>
            <w:r w:rsidRPr="003C2E0B">
              <w:rPr>
                <w:sz w:val="20"/>
                <w:szCs w:val="20"/>
              </w:rPr>
              <w:t>-6 667</w:t>
            </w:r>
          </w:p>
        </w:tc>
        <w:tc>
          <w:tcPr>
            <w:tcW w:w="562" w:type="pct"/>
            <w:shd w:val="clear" w:color="auto" w:fill="FFFFFF"/>
            <w:noWrap/>
          </w:tcPr>
          <w:p w14:paraId="63633D59" w14:textId="77777777" w:rsidR="00995AB9" w:rsidRPr="003C2E0B" w:rsidRDefault="00995AB9" w:rsidP="00A940B3">
            <w:pPr>
              <w:pStyle w:val="Bezriadkovania"/>
              <w:jc w:val="right"/>
              <w:rPr>
                <w:sz w:val="20"/>
                <w:szCs w:val="20"/>
              </w:rPr>
            </w:pPr>
            <w:r w:rsidRPr="003C2E0B">
              <w:rPr>
                <w:sz w:val="20"/>
                <w:szCs w:val="20"/>
              </w:rPr>
              <w:t>-31</w:t>
            </w:r>
          </w:p>
        </w:tc>
        <w:tc>
          <w:tcPr>
            <w:tcW w:w="560" w:type="pct"/>
            <w:shd w:val="clear" w:color="auto" w:fill="FFFFFF"/>
            <w:noWrap/>
          </w:tcPr>
          <w:p w14:paraId="71356C33" w14:textId="77777777" w:rsidR="00995AB9" w:rsidRPr="003C2E0B" w:rsidRDefault="00995AB9" w:rsidP="00A940B3">
            <w:pPr>
              <w:pStyle w:val="Bezriadkovania"/>
              <w:jc w:val="right"/>
              <w:rPr>
                <w:sz w:val="20"/>
                <w:szCs w:val="20"/>
              </w:rPr>
            </w:pPr>
            <w:r w:rsidRPr="003C2E0B">
              <w:rPr>
                <w:sz w:val="20"/>
                <w:szCs w:val="20"/>
              </w:rPr>
              <w:t>-6 636</w:t>
            </w:r>
          </w:p>
        </w:tc>
      </w:tr>
      <w:tr w:rsidR="00995AB9" w:rsidRPr="003C2E0B" w14:paraId="244FD99E" w14:textId="77777777" w:rsidTr="003C2E0B">
        <w:trPr>
          <w:trHeight w:val="227"/>
        </w:trPr>
        <w:tc>
          <w:tcPr>
            <w:tcW w:w="2194" w:type="pct"/>
            <w:shd w:val="clear" w:color="auto" w:fill="FFFFFF"/>
            <w:noWrap/>
            <w:vAlign w:val="center"/>
            <w:hideMark/>
          </w:tcPr>
          <w:p w14:paraId="693E1CA6" w14:textId="77777777" w:rsidR="00995AB9" w:rsidRPr="003C2E0B" w:rsidRDefault="00995AB9" w:rsidP="00A940B3">
            <w:pPr>
              <w:pStyle w:val="Bezriadkovania"/>
              <w:rPr>
                <w:sz w:val="20"/>
                <w:szCs w:val="20"/>
              </w:rPr>
            </w:pPr>
            <w:r w:rsidRPr="003C2E0B">
              <w:rPr>
                <w:sz w:val="20"/>
                <w:szCs w:val="20"/>
              </w:rPr>
              <w:t xml:space="preserve">     Ostatné subjekty miestnej samosprávy</w:t>
            </w:r>
          </w:p>
        </w:tc>
        <w:tc>
          <w:tcPr>
            <w:tcW w:w="561" w:type="pct"/>
            <w:shd w:val="clear" w:color="auto" w:fill="FFFFFF"/>
            <w:noWrap/>
          </w:tcPr>
          <w:p w14:paraId="0EDDECF7" w14:textId="77777777" w:rsidR="00995AB9" w:rsidRPr="003C2E0B" w:rsidRDefault="00995AB9" w:rsidP="00A940B3">
            <w:pPr>
              <w:pStyle w:val="Bezriadkovania"/>
              <w:jc w:val="right"/>
              <w:rPr>
                <w:sz w:val="20"/>
                <w:szCs w:val="20"/>
              </w:rPr>
            </w:pPr>
            <w:r w:rsidRPr="003C2E0B">
              <w:rPr>
                <w:sz w:val="20"/>
                <w:szCs w:val="20"/>
              </w:rPr>
              <w:t>3 981</w:t>
            </w:r>
          </w:p>
        </w:tc>
        <w:tc>
          <w:tcPr>
            <w:tcW w:w="562" w:type="pct"/>
            <w:shd w:val="clear" w:color="auto" w:fill="FFFFFF"/>
            <w:noWrap/>
          </w:tcPr>
          <w:p w14:paraId="72D87F58" w14:textId="77777777" w:rsidR="00995AB9" w:rsidRPr="003C2E0B" w:rsidRDefault="00995AB9" w:rsidP="00A940B3">
            <w:pPr>
              <w:pStyle w:val="Bezriadkovania"/>
              <w:jc w:val="right"/>
              <w:rPr>
                <w:sz w:val="20"/>
                <w:szCs w:val="20"/>
              </w:rPr>
            </w:pPr>
            <w:r w:rsidRPr="003C2E0B">
              <w:rPr>
                <w:sz w:val="20"/>
                <w:szCs w:val="20"/>
              </w:rPr>
              <w:t>-4 357</w:t>
            </w:r>
          </w:p>
        </w:tc>
        <w:tc>
          <w:tcPr>
            <w:tcW w:w="561" w:type="pct"/>
            <w:shd w:val="clear" w:color="auto" w:fill="FFFFFF"/>
            <w:noWrap/>
          </w:tcPr>
          <w:p w14:paraId="769A34F9" w14:textId="77777777" w:rsidR="00995AB9" w:rsidRPr="003C2E0B" w:rsidRDefault="00995AB9" w:rsidP="00A940B3">
            <w:pPr>
              <w:pStyle w:val="Bezriadkovania"/>
              <w:jc w:val="right"/>
              <w:rPr>
                <w:sz w:val="20"/>
                <w:szCs w:val="20"/>
              </w:rPr>
            </w:pPr>
            <w:r w:rsidRPr="003C2E0B">
              <w:rPr>
                <w:sz w:val="20"/>
                <w:szCs w:val="20"/>
              </w:rPr>
              <w:t>-4 357</w:t>
            </w:r>
          </w:p>
        </w:tc>
        <w:tc>
          <w:tcPr>
            <w:tcW w:w="562" w:type="pct"/>
            <w:shd w:val="clear" w:color="auto" w:fill="FFFFFF"/>
            <w:noWrap/>
          </w:tcPr>
          <w:p w14:paraId="14EF24C7" w14:textId="77777777" w:rsidR="00995AB9" w:rsidRPr="003C2E0B" w:rsidRDefault="00995AB9" w:rsidP="00A940B3">
            <w:pPr>
              <w:pStyle w:val="Bezriadkovania"/>
              <w:jc w:val="right"/>
              <w:rPr>
                <w:sz w:val="20"/>
                <w:szCs w:val="20"/>
              </w:rPr>
            </w:pPr>
            <w:r w:rsidRPr="003C2E0B">
              <w:rPr>
                <w:sz w:val="20"/>
                <w:szCs w:val="20"/>
              </w:rPr>
              <w:t>0</w:t>
            </w:r>
          </w:p>
        </w:tc>
        <w:tc>
          <w:tcPr>
            <w:tcW w:w="560" w:type="pct"/>
            <w:shd w:val="clear" w:color="auto" w:fill="FFFFFF"/>
            <w:noWrap/>
          </w:tcPr>
          <w:p w14:paraId="3562A48F" w14:textId="77777777" w:rsidR="00995AB9" w:rsidRPr="003C2E0B" w:rsidRDefault="00995AB9" w:rsidP="00A940B3">
            <w:pPr>
              <w:pStyle w:val="Bezriadkovania"/>
              <w:jc w:val="right"/>
              <w:rPr>
                <w:sz w:val="20"/>
                <w:szCs w:val="20"/>
              </w:rPr>
            </w:pPr>
            <w:r w:rsidRPr="003C2E0B">
              <w:rPr>
                <w:sz w:val="20"/>
                <w:szCs w:val="20"/>
              </w:rPr>
              <w:t>-4 357</w:t>
            </w:r>
          </w:p>
        </w:tc>
      </w:tr>
      <w:tr w:rsidR="00995AB9" w:rsidRPr="003C2E0B" w14:paraId="378CD414" w14:textId="77777777" w:rsidTr="003C2E0B">
        <w:trPr>
          <w:trHeight w:val="227"/>
        </w:trPr>
        <w:tc>
          <w:tcPr>
            <w:tcW w:w="2194" w:type="pct"/>
            <w:shd w:val="clear" w:color="auto" w:fill="FFFFFF"/>
            <w:noWrap/>
            <w:vAlign w:val="center"/>
          </w:tcPr>
          <w:p w14:paraId="265C49CF" w14:textId="77777777" w:rsidR="00995AB9" w:rsidRPr="003C2E0B" w:rsidRDefault="00995AB9" w:rsidP="00A940B3">
            <w:pPr>
              <w:pStyle w:val="Bezriadkovania"/>
              <w:rPr>
                <w:b/>
                <w:sz w:val="20"/>
                <w:szCs w:val="20"/>
              </w:rPr>
            </w:pPr>
            <w:r w:rsidRPr="003C2E0B">
              <w:rPr>
                <w:b/>
                <w:color w:val="000000"/>
                <w:sz w:val="20"/>
                <w:szCs w:val="20"/>
              </w:rPr>
              <w:t>Fondy sociálneho zabezpečenia</w:t>
            </w:r>
          </w:p>
        </w:tc>
        <w:tc>
          <w:tcPr>
            <w:tcW w:w="561" w:type="pct"/>
            <w:shd w:val="clear" w:color="auto" w:fill="FFFFFF"/>
            <w:noWrap/>
          </w:tcPr>
          <w:p w14:paraId="3D8841A6" w14:textId="77777777" w:rsidR="00995AB9" w:rsidRPr="003C2E0B" w:rsidRDefault="00995AB9" w:rsidP="00A940B3">
            <w:pPr>
              <w:pStyle w:val="Bezriadkovania"/>
              <w:jc w:val="right"/>
              <w:rPr>
                <w:sz w:val="20"/>
                <w:szCs w:val="20"/>
              </w:rPr>
            </w:pPr>
          </w:p>
        </w:tc>
        <w:tc>
          <w:tcPr>
            <w:tcW w:w="562" w:type="pct"/>
            <w:shd w:val="clear" w:color="auto" w:fill="FFFFFF"/>
            <w:noWrap/>
          </w:tcPr>
          <w:p w14:paraId="2F4B40AB" w14:textId="77777777" w:rsidR="00995AB9" w:rsidRPr="003C2E0B" w:rsidRDefault="00995AB9" w:rsidP="00A940B3">
            <w:pPr>
              <w:pStyle w:val="Bezriadkovania"/>
              <w:jc w:val="right"/>
              <w:rPr>
                <w:sz w:val="20"/>
                <w:szCs w:val="20"/>
              </w:rPr>
            </w:pPr>
          </w:p>
        </w:tc>
        <w:tc>
          <w:tcPr>
            <w:tcW w:w="561" w:type="pct"/>
            <w:shd w:val="clear" w:color="auto" w:fill="FFFFFF"/>
            <w:noWrap/>
          </w:tcPr>
          <w:p w14:paraId="74FC9EE8" w14:textId="77777777" w:rsidR="00995AB9" w:rsidRPr="003C2E0B" w:rsidRDefault="00995AB9" w:rsidP="00A940B3">
            <w:pPr>
              <w:pStyle w:val="Bezriadkovania"/>
              <w:jc w:val="right"/>
              <w:rPr>
                <w:sz w:val="20"/>
                <w:szCs w:val="20"/>
              </w:rPr>
            </w:pPr>
          </w:p>
        </w:tc>
        <w:tc>
          <w:tcPr>
            <w:tcW w:w="562" w:type="pct"/>
            <w:shd w:val="clear" w:color="auto" w:fill="FFFFFF"/>
            <w:noWrap/>
          </w:tcPr>
          <w:p w14:paraId="1A6932BA" w14:textId="77777777" w:rsidR="00995AB9" w:rsidRPr="003C2E0B" w:rsidRDefault="00995AB9" w:rsidP="00A940B3">
            <w:pPr>
              <w:pStyle w:val="Bezriadkovania"/>
              <w:jc w:val="right"/>
              <w:rPr>
                <w:sz w:val="20"/>
                <w:szCs w:val="20"/>
              </w:rPr>
            </w:pPr>
          </w:p>
        </w:tc>
        <w:tc>
          <w:tcPr>
            <w:tcW w:w="560" w:type="pct"/>
            <w:shd w:val="clear" w:color="auto" w:fill="FFFFFF"/>
            <w:noWrap/>
          </w:tcPr>
          <w:p w14:paraId="50CBDA91" w14:textId="77777777" w:rsidR="00995AB9" w:rsidRPr="003C2E0B" w:rsidRDefault="00995AB9" w:rsidP="00A940B3">
            <w:pPr>
              <w:pStyle w:val="Bezriadkovania"/>
              <w:jc w:val="right"/>
              <w:rPr>
                <w:sz w:val="20"/>
                <w:szCs w:val="20"/>
              </w:rPr>
            </w:pPr>
          </w:p>
        </w:tc>
      </w:tr>
      <w:tr w:rsidR="00995AB9" w:rsidRPr="003C2E0B" w14:paraId="51D47551" w14:textId="77777777" w:rsidTr="003C2E0B">
        <w:trPr>
          <w:trHeight w:val="227"/>
        </w:trPr>
        <w:tc>
          <w:tcPr>
            <w:tcW w:w="2194" w:type="pct"/>
            <w:shd w:val="clear" w:color="auto" w:fill="FFFFFF"/>
            <w:noWrap/>
            <w:vAlign w:val="center"/>
            <w:hideMark/>
          </w:tcPr>
          <w:p w14:paraId="30B0D038" w14:textId="77777777" w:rsidR="00995AB9" w:rsidRPr="003C2E0B" w:rsidRDefault="00995AB9" w:rsidP="00A940B3">
            <w:pPr>
              <w:pStyle w:val="Bezriadkovania"/>
              <w:rPr>
                <w:sz w:val="20"/>
                <w:szCs w:val="20"/>
              </w:rPr>
            </w:pPr>
            <w:r w:rsidRPr="003C2E0B">
              <w:rPr>
                <w:sz w:val="20"/>
                <w:szCs w:val="20"/>
              </w:rPr>
              <w:t xml:space="preserve">     Sociálna poisťovňa</w:t>
            </w:r>
          </w:p>
        </w:tc>
        <w:tc>
          <w:tcPr>
            <w:tcW w:w="561" w:type="pct"/>
            <w:shd w:val="clear" w:color="auto" w:fill="FFFFFF"/>
            <w:noWrap/>
          </w:tcPr>
          <w:p w14:paraId="0A30BCBA" w14:textId="77777777" w:rsidR="00995AB9" w:rsidRPr="003C2E0B" w:rsidRDefault="00995AB9" w:rsidP="00A940B3">
            <w:pPr>
              <w:pStyle w:val="Bezriadkovania"/>
              <w:jc w:val="right"/>
              <w:rPr>
                <w:sz w:val="20"/>
                <w:szCs w:val="20"/>
              </w:rPr>
            </w:pPr>
            <w:r w:rsidRPr="003C2E0B">
              <w:rPr>
                <w:sz w:val="20"/>
                <w:szCs w:val="20"/>
              </w:rPr>
              <w:t>139 926</w:t>
            </w:r>
          </w:p>
        </w:tc>
        <w:tc>
          <w:tcPr>
            <w:tcW w:w="562" w:type="pct"/>
            <w:shd w:val="clear" w:color="auto" w:fill="FFFFFF"/>
            <w:noWrap/>
          </w:tcPr>
          <w:p w14:paraId="0AC4F0E2" w14:textId="77777777" w:rsidR="00995AB9" w:rsidRPr="003C2E0B" w:rsidRDefault="00995AB9" w:rsidP="00A940B3">
            <w:pPr>
              <w:pStyle w:val="Bezriadkovania"/>
              <w:jc w:val="right"/>
              <w:rPr>
                <w:sz w:val="20"/>
                <w:szCs w:val="20"/>
              </w:rPr>
            </w:pPr>
            <w:r w:rsidRPr="003C2E0B">
              <w:rPr>
                <w:sz w:val="20"/>
                <w:szCs w:val="20"/>
              </w:rPr>
              <w:t>27 888</w:t>
            </w:r>
          </w:p>
        </w:tc>
        <w:tc>
          <w:tcPr>
            <w:tcW w:w="561" w:type="pct"/>
            <w:shd w:val="clear" w:color="auto" w:fill="FFFFFF"/>
            <w:noWrap/>
          </w:tcPr>
          <w:p w14:paraId="4059C241" w14:textId="77777777" w:rsidR="00995AB9" w:rsidRPr="003C2E0B" w:rsidRDefault="00995AB9" w:rsidP="00A940B3">
            <w:pPr>
              <w:pStyle w:val="Bezriadkovania"/>
              <w:jc w:val="right"/>
              <w:rPr>
                <w:sz w:val="20"/>
                <w:szCs w:val="20"/>
              </w:rPr>
            </w:pPr>
            <w:r w:rsidRPr="003C2E0B">
              <w:rPr>
                <w:sz w:val="20"/>
                <w:szCs w:val="20"/>
              </w:rPr>
              <w:t>76 751</w:t>
            </w:r>
          </w:p>
        </w:tc>
        <w:tc>
          <w:tcPr>
            <w:tcW w:w="562" w:type="pct"/>
            <w:shd w:val="clear" w:color="auto" w:fill="FFFFFF"/>
            <w:noWrap/>
          </w:tcPr>
          <w:p w14:paraId="4E7DFB46" w14:textId="77777777" w:rsidR="00995AB9" w:rsidRPr="003C2E0B" w:rsidRDefault="00995AB9" w:rsidP="00A940B3">
            <w:pPr>
              <w:pStyle w:val="Bezriadkovania"/>
              <w:jc w:val="right"/>
              <w:rPr>
                <w:sz w:val="20"/>
                <w:szCs w:val="20"/>
              </w:rPr>
            </w:pPr>
            <w:r w:rsidRPr="003C2E0B">
              <w:rPr>
                <w:sz w:val="20"/>
                <w:szCs w:val="20"/>
              </w:rPr>
              <w:t>64 878</w:t>
            </w:r>
          </w:p>
        </w:tc>
        <w:tc>
          <w:tcPr>
            <w:tcW w:w="560" w:type="pct"/>
            <w:shd w:val="clear" w:color="auto" w:fill="FFFFFF"/>
            <w:noWrap/>
          </w:tcPr>
          <w:p w14:paraId="521D8718" w14:textId="77777777" w:rsidR="00995AB9" w:rsidRPr="003C2E0B" w:rsidRDefault="00995AB9" w:rsidP="00A940B3">
            <w:pPr>
              <w:pStyle w:val="Bezriadkovania"/>
              <w:jc w:val="right"/>
              <w:rPr>
                <w:sz w:val="20"/>
                <w:szCs w:val="20"/>
              </w:rPr>
            </w:pPr>
            <w:r w:rsidRPr="003C2E0B">
              <w:rPr>
                <w:sz w:val="20"/>
                <w:szCs w:val="20"/>
              </w:rPr>
              <w:t>11 873</w:t>
            </w:r>
          </w:p>
        </w:tc>
      </w:tr>
      <w:tr w:rsidR="00995AB9" w:rsidRPr="003C2E0B" w14:paraId="10E14D99" w14:textId="77777777" w:rsidTr="003C2E0B">
        <w:trPr>
          <w:trHeight w:val="227"/>
        </w:trPr>
        <w:tc>
          <w:tcPr>
            <w:tcW w:w="2194" w:type="pct"/>
            <w:shd w:val="clear" w:color="auto" w:fill="FFFFFF"/>
            <w:noWrap/>
            <w:vAlign w:val="center"/>
            <w:hideMark/>
          </w:tcPr>
          <w:p w14:paraId="5EA576D8" w14:textId="77777777" w:rsidR="00995AB9" w:rsidRPr="003C2E0B" w:rsidRDefault="00995AB9" w:rsidP="00A940B3">
            <w:pPr>
              <w:pStyle w:val="Bezriadkovania"/>
              <w:rPr>
                <w:sz w:val="20"/>
                <w:szCs w:val="20"/>
              </w:rPr>
            </w:pPr>
            <w:r w:rsidRPr="003C2E0B">
              <w:rPr>
                <w:sz w:val="20"/>
                <w:szCs w:val="20"/>
              </w:rPr>
              <w:t xml:space="preserve">     Verejné zdravotné poistenie</w:t>
            </w:r>
          </w:p>
        </w:tc>
        <w:tc>
          <w:tcPr>
            <w:tcW w:w="561" w:type="pct"/>
            <w:shd w:val="clear" w:color="auto" w:fill="FFFFFF"/>
            <w:noWrap/>
          </w:tcPr>
          <w:p w14:paraId="0CCD352F" w14:textId="77777777" w:rsidR="00995AB9" w:rsidRPr="003C2E0B" w:rsidRDefault="00995AB9" w:rsidP="00A940B3">
            <w:pPr>
              <w:pStyle w:val="Bezriadkovania"/>
              <w:jc w:val="right"/>
              <w:rPr>
                <w:sz w:val="20"/>
                <w:szCs w:val="20"/>
              </w:rPr>
            </w:pPr>
            <w:r w:rsidRPr="003C2E0B">
              <w:rPr>
                <w:sz w:val="20"/>
                <w:szCs w:val="20"/>
              </w:rPr>
              <w:t>165 776</w:t>
            </w:r>
          </w:p>
        </w:tc>
        <w:tc>
          <w:tcPr>
            <w:tcW w:w="562" w:type="pct"/>
            <w:shd w:val="clear" w:color="auto" w:fill="FFFFFF"/>
            <w:noWrap/>
          </w:tcPr>
          <w:p w14:paraId="377DF117" w14:textId="77777777" w:rsidR="00995AB9" w:rsidRPr="003C2E0B" w:rsidRDefault="00995AB9" w:rsidP="00A940B3">
            <w:pPr>
              <w:pStyle w:val="Bezriadkovania"/>
              <w:jc w:val="right"/>
              <w:rPr>
                <w:sz w:val="20"/>
                <w:szCs w:val="20"/>
              </w:rPr>
            </w:pPr>
            <w:r w:rsidRPr="003C2E0B">
              <w:rPr>
                <w:sz w:val="20"/>
                <w:szCs w:val="20"/>
              </w:rPr>
              <w:t>11 152</w:t>
            </w:r>
          </w:p>
        </w:tc>
        <w:tc>
          <w:tcPr>
            <w:tcW w:w="561" w:type="pct"/>
            <w:shd w:val="clear" w:color="auto" w:fill="FFFFFF"/>
            <w:noWrap/>
          </w:tcPr>
          <w:p w14:paraId="7596CEDA" w14:textId="77777777" w:rsidR="00995AB9" w:rsidRPr="003C2E0B" w:rsidRDefault="00995AB9" w:rsidP="00A940B3">
            <w:pPr>
              <w:pStyle w:val="Bezriadkovania"/>
              <w:jc w:val="right"/>
              <w:rPr>
                <w:sz w:val="20"/>
                <w:szCs w:val="20"/>
              </w:rPr>
            </w:pPr>
            <w:r w:rsidRPr="003C2E0B">
              <w:rPr>
                <w:sz w:val="20"/>
                <w:szCs w:val="20"/>
              </w:rPr>
              <w:t>120 195</w:t>
            </w:r>
          </w:p>
        </w:tc>
        <w:tc>
          <w:tcPr>
            <w:tcW w:w="562" w:type="pct"/>
            <w:shd w:val="clear" w:color="auto" w:fill="FFFFFF"/>
            <w:noWrap/>
          </w:tcPr>
          <w:p w14:paraId="358A76AF" w14:textId="77777777" w:rsidR="00995AB9" w:rsidRPr="003C2E0B" w:rsidRDefault="00995AB9" w:rsidP="00A940B3">
            <w:pPr>
              <w:pStyle w:val="Bezriadkovania"/>
              <w:jc w:val="right"/>
              <w:rPr>
                <w:sz w:val="20"/>
                <w:szCs w:val="20"/>
              </w:rPr>
            </w:pPr>
            <w:r w:rsidRPr="003C2E0B">
              <w:rPr>
                <w:sz w:val="20"/>
                <w:szCs w:val="20"/>
              </w:rPr>
              <w:t>135 048</w:t>
            </w:r>
          </w:p>
        </w:tc>
        <w:tc>
          <w:tcPr>
            <w:tcW w:w="560" w:type="pct"/>
            <w:shd w:val="clear" w:color="auto" w:fill="FFFFFF"/>
            <w:noWrap/>
          </w:tcPr>
          <w:p w14:paraId="1BF7EA39" w14:textId="77777777" w:rsidR="00995AB9" w:rsidRPr="003C2E0B" w:rsidRDefault="00995AB9" w:rsidP="00A940B3">
            <w:pPr>
              <w:pStyle w:val="Bezriadkovania"/>
              <w:jc w:val="right"/>
              <w:rPr>
                <w:sz w:val="20"/>
                <w:szCs w:val="20"/>
              </w:rPr>
            </w:pPr>
            <w:r w:rsidRPr="003C2E0B">
              <w:rPr>
                <w:sz w:val="20"/>
                <w:szCs w:val="20"/>
              </w:rPr>
              <w:t>-14 853</w:t>
            </w:r>
          </w:p>
        </w:tc>
      </w:tr>
      <w:tr w:rsidR="00995AB9" w:rsidRPr="003C2E0B" w14:paraId="59AEDB7F" w14:textId="77777777" w:rsidTr="003C2E0B">
        <w:trPr>
          <w:trHeight w:val="227"/>
        </w:trPr>
        <w:tc>
          <w:tcPr>
            <w:tcW w:w="2194" w:type="pct"/>
            <w:shd w:val="clear" w:color="auto" w:fill="FFFFFF"/>
            <w:noWrap/>
            <w:vAlign w:val="center"/>
            <w:hideMark/>
          </w:tcPr>
          <w:p w14:paraId="2E6AA599" w14:textId="77777777" w:rsidR="00995AB9" w:rsidRPr="003C2E0B" w:rsidRDefault="00995AB9" w:rsidP="00A940B3">
            <w:pPr>
              <w:pStyle w:val="Bezriadkovania"/>
              <w:rPr>
                <w:b/>
                <w:sz w:val="20"/>
                <w:szCs w:val="20"/>
              </w:rPr>
            </w:pPr>
            <w:r w:rsidRPr="003C2E0B">
              <w:rPr>
                <w:b/>
                <w:sz w:val="20"/>
                <w:szCs w:val="20"/>
              </w:rPr>
              <w:t>Schodok verejnej správy spolu</w:t>
            </w:r>
          </w:p>
        </w:tc>
        <w:tc>
          <w:tcPr>
            <w:tcW w:w="561" w:type="pct"/>
            <w:shd w:val="clear" w:color="auto" w:fill="FFFFFF"/>
            <w:noWrap/>
          </w:tcPr>
          <w:p w14:paraId="4C5FAF34" w14:textId="77777777" w:rsidR="00995AB9" w:rsidRPr="003C2E0B" w:rsidRDefault="00995AB9" w:rsidP="00A940B3">
            <w:pPr>
              <w:pStyle w:val="Bezriadkovania"/>
              <w:jc w:val="right"/>
              <w:rPr>
                <w:b/>
                <w:sz w:val="20"/>
                <w:szCs w:val="20"/>
              </w:rPr>
            </w:pPr>
            <w:r w:rsidRPr="003C2E0B">
              <w:rPr>
                <w:b/>
                <w:sz w:val="20"/>
                <w:szCs w:val="20"/>
              </w:rPr>
              <w:t>-804 961</w:t>
            </w:r>
          </w:p>
        </w:tc>
        <w:tc>
          <w:tcPr>
            <w:tcW w:w="562" w:type="pct"/>
            <w:shd w:val="clear" w:color="auto" w:fill="FFFFFF"/>
            <w:noWrap/>
          </w:tcPr>
          <w:p w14:paraId="0DD148D1" w14:textId="77777777" w:rsidR="00995AB9" w:rsidRPr="003C2E0B" w:rsidRDefault="00995AB9" w:rsidP="00A940B3">
            <w:pPr>
              <w:pStyle w:val="Bezriadkovania"/>
              <w:jc w:val="right"/>
              <w:rPr>
                <w:b/>
                <w:sz w:val="20"/>
                <w:szCs w:val="20"/>
              </w:rPr>
            </w:pPr>
            <w:r w:rsidRPr="003C2E0B">
              <w:rPr>
                <w:b/>
                <w:sz w:val="20"/>
                <w:szCs w:val="20"/>
              </w:rPr>
              <w:t>-940 628</w:t>
            </w:r>
          </w:p>
        </w:tc>
        <w:tc>
          <w:tcPr>
            <w:tcW w:w="561" w:type="pct"/>
            <w:shd w:val="clear" w:color="auto" w:fill="FFFFFF"/>
            <w:noWrap/>
          </w:tcPr>
          <w:p w14:paraId="30E3351F" w14:textId="77777777" w:rsidR="00995AB9" w:rsidRPr="003C2E0B" w:rsidRDefault="00995AB9" w:rsidP="00A940B3">
            <w:pPr>
              <w:pStyle w:val="Bezriadkovania"/>
              <w:jc w:val="right"/>
              <w:rPr>
                <w:b/>
                <w:sz w:val="20"/>
                <w:szCs w:val="20"/>
              </w:rPr>
            </w:pPr>
            <w:r w:rsidRPr="003C2E0B">
              <w:rPr>
                <w:b/>
                <w:sz w:val="20"/>
                <w:szCs w:val="20"/>
              </w:rPr>
              <w:t>-1 219 730</w:t>
            </w:r>
          </w:p>
        </w:tc>
        <w:tc>
          <w:tcPr>
            <w:tcW w:w="562" w:type="pct"/>
            <w:shd w:val="clear" w:color="auto" w:fill="FFFFFF"/>
            <w:noWrap/>
          </w:tcPr>
          <w:p w14:paraId="1779ACC6" w14:textId="77777777" w:rsidR="00995AB9" w:rsidRPr="003C2E0B" w:rsidRDefault="00995AB9" w:rsidP="00A940B3">
            <w:pPr>
              <w:pStyle w:val="Bezriadkovania"/>
              <w:jc w:val="right"/>
              <w:rPr>
                <w:b/>
                <w:sz w:val="20"/>
                <w:szCs w:val="20"/>
              </w:rPr>
            </w:pPr>
            <w:r w:rsidRPr="003C2E0B">
              <w:rPr>
                <w:b/>
                <w:sz w:val="20"/>
                <w:szCs w:val="20"/>
              </w:rPr>
              <w:t>0</w:t>
            </w:r>
          </w:p>
        </w:tc>
        <w:tc>
          <w:tcPr>
            <w:tcW w:w="560" w:type="pct"/>
            <w:shd w:val="clear" w:color="auto" w:fill="FFFFFF"/>
            <w:noWrap/>
          </w:tcPr>
          <w:p w14:paraId="31E5D87C" w14:textId="77777777" w:rsidR="00995AB9" w:rsidRPr="003C2E0B" w:rsidRDefault="00995AB9" w:rsidP="00A940B3">
            <w:pPr>
              <w:pStyle w:val="Bezriadkovania"/>
              <w:jc w:val="right"/>
              <w:rPr>
                <w:b/>
                <w:sz w:val="20"/>
                <w:szCs w:val="20"/>
              </w:rPr>
            </w:pPr>
            <w:r w:rsidRPr="003C2E0B">
              <w:rPr>
                <w:b/>
                <w:sz w:val="20"/>
                <w:szCs w:val="20"/>
              </w:rPr>
              <w:t>-1 219 730</w:t>
            </w:r>
          </w:p>
        </w:tc>
      </w:tr>
      <w:tr w:rsidR="00995AB9" w:rsidRPr="003C2E0B" w14:paraId="69BA7EB7" w14:textId="77777777" w:rsidTr="003C2E0B">
        <w:trPr>
          <w:trHeight w:val="227"/>
        </w:trPr>
        <w:tc>
          <w:tcPr>
            <w:tcW w:w="2194" w:type="pct"/>
            <w:shd w:val="clear" w:color="auto" w:fill="FFFFFF"/>
            <w:noWrap/>
            <w:vAlign w:val="center"/>
          </w:tcPr>
          <w:p w14:paraId="242777CC" w14:textId="77777777" w:rsidR="00995AB9" w:rsidRPr="003C2E0B" w:rsidRDefault="00995AB9" w:rsidP="00A940B3">
            <w:pPr>
              <w:pStyle w:val="Bezriadkovania"/>
              <w:rPr>
                <w:b/>
                <w:sz w:val="20"/>
                <w:szCs w:val="20"/>
              </w:rPr>
            </w:pPr>
            <w:r w:rsidRPr="003C2E0B">
              <w:rPr>
                <w:b/>
                <w:sz w:val="20"/>
                <w:szCs w:val="20"/>
              </w:rPr>
              <w:t>% z HDP</w:t>
            </w:r>
          </w:p>
        </w:tc>
        <w:tc>
          <w:tcPr>
            <w:tcW w:w="561" w:type="pct"/>
            <w:shd w:val="clear" w:color="auto" w:fill="FFFFFF"/>
            <w:noWrap/>
          </w:tcPr>
          <w:p w14:paraId="192B8CBA" w14:textId="77777777" w:rsidR="00995AB9" w:rsidRPr="003C2E0B" w:rsidRDefault="00995AB9" w:rsidP="00A940B3">
            <w:pPr>
              <w:pStyle w:val="Bezriadkovania"/>
              <w:jc w:val="right"/>
              <w:rPr>
                <w:b/>
                <w:sz w:val="20"/>
                <w:szCs w:val="20"/>
              </w:rPr>
            </w:pPr>
            <w:r w:rsidRPr="003C2E0B">
              <w:rPr>
                <w:b/>
                <w:sz w:val="20"/>
                <w:szCs w:val="20"/>
              </w:rPr>
              <w:t>-1,0</w:t>
            </w:r>
          </w:p>
        </w:tc>
        <w:tc>
          <w:tcPr>
            <w:tcW w:w="562" w:type="pct"/>
            <w:shd w:val="clear" w:color="auto" w:fill="FFFFFF"/>
            <w:noWrap/>
          </w:tcPr>
          <w:p w14:paraId="36C27737" w14:textId="77777777" w:rsidR="00995AB9" w:rsidRPr="003C2E0B" w:rsidRDefault="00995AB9" w:rsidP="00A940B3">
            <w:pPr>
              <w:pStyle w:val="Bezriadkovania"/>
              <w:jc w:val="right"/>
              <w:rPr>
                <w:b/>
                <w:sz w:val="20"/>
                <w:szCs w:val="20"/>
              </w:rPr>
            </w:pPr>
            <w:r w:rsidRPr="003C2E0B">
              <w:rPr>
                <w:b/>
                <w:sz w:val="20"/>
                <w:szCs w:val="20"/>
              </w:rPr>
              <w:t>-1,1</w:t>
            </w:r>
          </w:p>
        </w:tc>
        <w:tc>
          <w:tcPr>
            <w:tcW w:w="561" w:type="pct"/>
            <w:shd w:val="clear" w:color="auto" w:fill="FFFFFF"/>
            <w:noWrap/>
          </w:tcPr>
          <w:p w14:paraId="5D6442EF" w14:textId="77777777" w:rsidR="00995AB9" w:rsidRPr="003C2E0B" w:rsidRDefault="00995AB9" w:rsidP="00A940B3">
            <w:pPr>
              <w:pStyle w:val="Bezriadkovania"/>
              <w:jc w:val="right"/>
              <w:rPr>
                <w:b/>
                <w:sz w:val="20"/>
                <w:szCs w:val="20"/>
              </w:rPr>
            </w:pPr>
            <w:r w:rsidRPr="003C2E0B">
              <w:rPr>
                <w:b/>
                <w:sz w:val="20"/>
                <w:szCs w:val="20"/>
              </w:rPr>
              <w:t>-1,3</w:t>
            </w:r>
          </w:p>
        </w:tc>
        <w:tc>
          <w:tcPr>
            <w:tcW w:w="562" w:type="pct"/>
            <w:shd w:val="clear" w:color="auto" w:fill="FFFFFF"/>
            <w:noWrap/>
          </w:tcPr>
          <w:p w14:paraId="6A68AF60" w14:textId="77777777" w:rsidR="00995AB9" w:rsidRPr="003C2E0B" w:rsidRDefault="00995AB9" w:rsidP="00A940B3">
            <w:pPr>
              <w:pStyle w:val="Bezriadkovania"/>
              <w:jc w:val="right"/>
              <w:rPr>
                <w:b/>
                <w:sz w:val="20"/>
                <w:szCs w:val="20"/>
              </w:rPr>
            </w:pPr>
            <w:r w:rsidRPr="003C2E0B">
              <w:rPr>
                <w:b/>
                <w:sz w:val="20"/>
                <w:szCs w:val="20"/>
              </w:rPr>
              <w:t>0,0</w:t>
            </w:r>
          </w:p>
        </w:tc>
        <w:tc>
          <w:tcPr>
            <w:tcW w:w="560" w:type="pct"/>
            <w:shd w:val="clear" w:color="auto" w:fill="FFFFFF"/>
            <w:noWrap/>
          </w:tcPr>
          <w:p w14:paraId="4D1CECF0" w14:textId="77777777" w:rsidR="00995AB9" w:rsidRPr="003C2E0B" w:rsidRDefault="00995AB9" w:rsidP="00A940B3">
            <w:pPr>
              <w:pStyle w:val="Bezriadkovania"/>
              <w:jc w:val="right"/>
              <w:rPr>
                <w:b/>
                <w:sz w:val="20"/>
                <w:szCs w:val="20"/>
              </w:rPr>
            </w:pPr>
            <w:r w:rsidRPr="003C2E0B">
              <w:rPr>
                <w:b/>
                <w:sz w:val="20"/>
                <w:szCs w:val="20"/>
              </w:rPr>
              <w:t>-1,3</w:t>
            </w:r>
          </w:p>
        </w:tc>
      </w:tr>
    </w:tbl>
    <w:p w14:paraId="06547999" w14:textId="3C87D949" w:rsidR="00C86F5B" w:rsidRDefault="003C2E0B" w:rsidP="003C2E0B">
      <w:pPr>
        <w:spacing w:after="120"/>
      </w:pPr>
      <w:r w:rsidRPr="00376728">
        <w:rPr>
          <w:i/>
          <w:sz w:val="18"/>
        </w:rPr>
        <w:t xml:space="preserve">Zdroj: </w:t>
      </w:r>
      <w:r>
        <w:rPr>
          <w:i/>
          <w:sz w:val="18"/>
        </w:rPr>
        <w:t xml:space="preserve">Návrh </w:t>
      </w:r>
      <w:r w:rsidRPr="00376728">
        <w:rPr>
          <w:i/>
          <w:sz w:val="18"/>
        </w:rPr>
        <w:t>ŠZÚ</w:t>
      </w:r>
      <w:r>
        <w:rPr>
          <w:i/>
          <w:sz w:val="18"/>
        </w:rPr>
        <w:t xml:space="preserve"> za rok 2019</w:t>
      </w:r>
    </w:p>
    <w:p w14:paraId="1F32E151" w14:textId="6B51E4E0" w:rsidR="00E15F18" w:rsidRPr="00995AB9" w:rsidRDefault="00E15F18" w:rsidP="00E15F18">
      <w:pPr>
        <w:jc w:val="both"/>
        <w:rPr>
          <w:rFonts w:eastAsia="Calibri" w:cs="Times New Roman"/>
          <w:b/>
          <w:i/>
        </w:rPr>
      </w:pPr>
      <w:r>
        <w:rPr>
          <w:rFonts w:eastAsia="Calibri" w:cs="Times New Roman"/>
          <w:b/>
          <w:i/>
        </w:rPr>
        <w:lastRenderedPageBreak/>
        <w:t xml:space="preserve">Tabuľka 3: </w:t>
      </w:r>
      <w:r w:rsidRPr="00995AB9">
        <w:rPr>
          <w:rFonts w:eastAsia="Calibri" w:cs="Times New Roman"/>
          <w:b/>
          <w:i/>
        </w:rPr>
        <w:t>Vývoj príjmov VS v rokoch 2018 a 2019</w:t>
      </w:r>
    </w:p>
    <w:tbl>
      <w:tblPr>
        <w:tblStyle w:val="Mriekatabuky8"/>
        <w:tblW w:w="5000" w:type="pct"/>
        <w:tblLook w:val="04A0" w:firstRow="1" w:lastRow="0" w:firstColumn="1" w:lastColumn="0" w:noHBand="0" w:noVBand="1"/>
      </w:tblPr>
      <w:tblGrid>
        <w:gridCol w:w="3008"/>
        <w:gridCol w:w="1133"/>
        <w:gridCol w:w="1079"/>
        <w:gridCol w:w="1133"/>
        <w:gridCol w:w="947"/>
        <w:gridCol w:w="969"/>
        <w:gridCol w:w="1077"/>
      </w:tblGrid>
      <w:tr w:rsidR="00E15F18" w:rsidRPr="00995AB9" w14:paraId="5FF42F92" w14:textId="77777777" w:rsidTr="0070471B">
        <w:trPr>
          <w:trHeight w:hRule="exact" w:val="510"/>
          <w:tblHeader/>
        </w:trPr>
        <w:tc>
          <w:tcPr>
            <w:tcW w:w="1619" w:type="pct"/>
            <w:shd w:val="clear" w:color="auto" w:fill="0070C0"/>
            <w:vAlign w:val="center"/>
          </w:tcPr>
          <w:p w14:paraId="7DFA9C5D" w14:textId="77777777" w:rsidR="00E15F18" w:rsidRPr="00995AB9" w:rsidRDefault="00E15F18" w:rsidP="0070471B">
            <w:pPr>
              <w:jc w:val="center"/>
              <w:rPr>
                <w:rFonts w:eastAsia="Calibri" w:cs="Times New Roman"/>
                <w:b/>
                <w:color w:val="FFFFFF"/>
                <w:sz w:val="20"/>
              </w:rPr>
            </w:pPr>
            <w:r w:rsidRPr="00995AB9">
              <w:rPr>
                <w:rFonts w:eastAsia="Calibri" w:cs="Times New Roman"/>
                <w:b/>
                <w:color w:val="FFFFFF"/>
                <w:sz w:val="20"/>
              </w:rPr>
              <w:t>Príjmy VS (ESA 2010, v tis. eur)</w:t>
            </w:r>
          </w:p>
        </w:tc>
        <w:tc>
          <w:tcPr>
            <w:tcW w:w="588" w:type="pct"/>
            <w:shd w:val="clear" w:color="auto" w:fill="0070C0"/>
            <w:vAlign w:val="center"/>
          </w:tcPr>
          <w:p w14:paraId="124DA7FB" w14:textId="77777777" w:rsidR="00E15F18" w:rsidRPr="00995AB9" w:rsidRDefault="00E15F18" w:rsidP="0070471B">
            <w:pPr>
              <w:jc w:val="center"/>
              <w:rPr>
                <w:rFonts w:eastAsia="Calibri" w:cs="Times New Roman"/>
                <w:b/>
                <w:color w:val="FFFFFF"/>
                <w:sz w:val="20"/>
              </w:rPr>
            </w:pPr>
            <w:r w:rsidRPr="00995AB9">
              <w:rPr>
                <w:rFonts w:eastAsia="Calibri" w:cs="Times New Roman"/>
                <w:b/>
                <w:color w:val="FFFFFF"/>
                <w:sz w:val="20"/>
              </w:rPr>
              <w:t>Skutočnosť 2018</w:t>
            </w:r>
          </w:p>
        </w:tc>
        <w:tc>
          <w:tcPr>
            <w:tcW w:w="587" w:type="pct"/>
            <w:shd w:val="clear" w:color="auto" w:fill="0070C0"/>
            <w:vAlign w:val="center"/>
          </w:tcPr>
          <w:p w14:paraId="4831F5F7" w14:textId="77777777" w:rsidR="00E15F18" w:rsidRPr="00995AB9" w:rsidRDefault="00E15F18" w:rsidP="0070471B">
            <w:pPr>
              <w:jc w:val="center"/>
              <w:rPr>
                <w:rFonts w:eastAsia="Calibri" w:cs="Times New Roman"/>
                <w:b/>
                <w:color w:val="FFFFFF"/>
                <w:sz w:val="20"/>
              </w:rPr>
            </w:pPr>
            <w:r w:rsidRPr="00995AB9">
              <w:rPr>
                <w:rFonts w:eastAsia="Calibri" w:cs="Times New Roman"/>
                <w:b/>
                <w:color w:val="FFFFFF"/>
                <w:sz w:val="20"/>
              </w:rPr>
              <w:t>Rozpočet 2019</w:t>
            </w:r>
          </w:p>
        </w:tc>
        <w:tc>
          <w:tcPr>
            <w:tcW w:w="588" w:type="pct"/>
            <w:shd w:val="clear" w:color="auto" w:fill="0070C0"/>
            <w:vAlign w:val="center"/>
          </w:tcPr>
          <w:p w14:paraId="3FB5DDE5" w14:textId="77777777" w:rsidR="00E15F18" w:rsidRPr="00995AB9" w:rsidRDefault="00E15F18" w:rsidP="0070471B">
            <w:pPr>
              <w:jc w:val="center"/>
              <w:rPr>
                <w:rFonts w:eastAsia="Calibri" w:cs="Times New Roman"/>
                <w:b/>
                <w:color w:val="FFFFFF"/>
                <w:sz w:val="20"/>
              </w:rPr>
            </w:pPr>
            <w:r w:rsidRPr="00995AB9">
              <w:rPr>
                <w:rFonts w:eastAsia="Calibri" w:cs="Times New Roman"/>
                <w:b/>
                <w:color w:val="FFFFFF"/>
                <w:sz w:val="20"/>
              </w:rPr>
              <w:t>Skutočnosť 2019</w:t>
            </w:r>
          </w:p>
        </w:tc>
        <w:tc>
          <w:tcPr>
            <w:tcW w:w="516" w:type="pct"/>
            <w:shd w:val="clear" w:color="auto" w:fill="0070C0"/>
            <w:vAlign w:val="center"/>
          </w:tcPr>
          <w:p w14:paraId="3F0E79E0" w14:textId="77777777" w:rsidR="00E15F18" w:rsidRPr="00995AB9" w:rsidRDefault="00E15F18" w:rsidP="0070471B">
            <w:pPr>
              <w:jc w:val="center"/>
              <w:rPr>
                <w:rFonts w:eastAsia="Calibri" w:cs="Times New Roman"/>
                <w:b/>
                <w:color w:val="FFFFFF"/>
                <w:sz w:val="20"/>
              </w:rPr>
            </w:pPr>
            <w:r w:rsidRPr="00995AB9">
              <w:rPr>
                <w:rFonts w:eastAsia="Calibri" w:cs="Times New Roman"/>
                <w:b/>
                <w:color w:val="FFFFFF"/>
                <w:sz w:val="20"/>
              </w:rPr>
              <w:t>Rozdiel</w:t>
            </w:r>
          </w:p>
        </w:tc>
        <w:tc>
          <w:tcPr>
            <w:tcW w:w="515" w:type="pct"/>
            <w:shd w:val="clear" w:color="auto" w:fill="0070C0"/>
            <w:vAlign w:val="center"/>
          </w:tcPr>
          <w:p w14:paraId="29665E7E" w14:textId="53E82547" w:rsidR="00E15F18" w:rsidRPr="00995AB9" w:rsidRDefault="0072153C" w:rsidP="0072153C">
            <w:pPr>
              <w:jc w:val="center"/>
              <w:rPr>
                <w:rFonts w:eastAsia="Calibri" w:cs="Times New Roman"/>
                <w:b/>
                <w:color w:val="FFFFFF"/>
                <w:sz w:val="20"/>
              </w:rPr>
            </w:pPr>
            <w:r>
              <w:rPr>
                <w:rFonts w:eastAsia="Calibri" w:cs="Times New Roman"/>
                <w:b/>
                <w:color w:val="FFFFFF"/>
                <w:sz w:val="20"/>
              </w:rPr>
              <w:t>Index</w:t>
            </w:r>
            <w:r w:rsidR="00E15F18" w:rsidRPr="00995AB9">
              <w:rPr>
                <w:rFonts w:eastAsia="Calibri" w:cs="Times New Roman"/>
                <w:b/>
                <w:color w:val="FFFFFF"/>
                <w:sz w:val="20"/>
              </w:rPr>
              <w:t xml:space="preserve"> </w:t>
            </w:r>
            <w:r w:rsidR="00E15F18" w:rsidRPr="00995AB9">
              <w:rPr>
                <w:rFonts w:eastAsia="Calibri" w:cs="Times New Roman"/>
                <w:b/>
                <w:color w:val="FFFFFF"/>
                <w:sz w:val="20"/>
              </w:rPr>
              <w:br/>
              <w:t>(v %)</w:t>
            </w:r>
          </w:p>
        </w:tc>
        <w:tc>
          <w:tcPr>
            <w:tcW w:w="586" w:type="pct"/>
            <w:shd w:val="clear" w:color="auto" w:fill="0070C0"/>
            <w:vAlign w:val="center"/>
          </w:tcPr>
          <w:p w14:paraId="5743D2A0" w14:textId="77777777" w:rsidR="00E15F18" w:rsidRPr="00995AB9" w:rsidRDefault="00E15F18" w:rsidP="0070471B">
            <w:pPr>
              <w:jc w:val="center"/>
              <w:rPr>
                <w:rFonts w:eastAsia="Calibri" w:cs="Times New Roman"/>
                <w:b/>
                <w:color w:val="FFFFFF"/>
                <w:sz w:val="20"/>
              </w:rPr>
            </w:pPr>
            <w:r w:rsidRPr="00995AB9">
              <w:rPr>
                <w:rFonts w:eastAsia="Calibri" w:cs="Times New Roman"/>
                <w:b/>
                <w:color w:val="FFFFFF"/>
                <w:sz w:val="20"/>
              </w:rPr>
              <w:t>Rozdiel</w:t>
            </w:r>
          </w:p>
        </w:tc>
      </w:tr>
      <w:tr w:rsidR="00E15F18" w:rsidRPr="00995AB9" w14:paraId="71000E41" w14:textId="77777777" w:rsidTr="0070471B">
        <w:trPr>
          <w:trHeight w:hRule="exact" w:val="255"/>
          <w:tblHeader/>
        </w:trPr>
        <w:tc>
          <w:tcPr>
            <w:tcW w:w="1619" w:type="pct"/>
            <w:vAlign w:val="center"/>
          </w:tcPr>
          <w:p w14:paraId="35D1E003" w14:textId="77777777" w:rsidR="00E15F18" w:rsidRPr="00995AB9" w:rsidRDefault="00E15F18" w:rsidP="0070471B">
            <w:pPr>
              <w:jc w:val="center"/>
              <w:rPr>
                <w:rFonts w:eastAsia="Calibri" w:cs="Times New Roman"/>
                <w:sz w:val="20"/>
              </w:rPr>
            </w:pPr>
            <w:r w:rsidRPr="00995AB9">
              <w:rPr>
                <w:rFonts w:eastAsia="Calibri" w:cs="Times New Roman"/>
                <w:sz w:val="20"/>
              </w:rPr>
              <w:t>a</w:t>
            </w:r>
          </w:p>
        </w:tc>
        <w:tc>
          <w:tcPr>
            <w:tcW w:w="588" w:type="pct"/>
            <w:vAlign w:val="center"/>
          </w:tcPr>
          <w:p w14:paraId="4F8BA31D" w14:textId="77777777" w:rsidR="00E15F18" w:rsidRPr="00995AB9" w:rsidRDefault="00E15F18" w:rsidP="0070471B">
            <w:pPr>
              <w:jc w:val="center"/>
              <w:rPr>
                <w:rFonts w:eastAsia="Calibri" w:cs="Times New Roman"/>
                <w:sz w:val="20"/>
              </w:rPr>
            </w:pPr>
            <w:r w:rsidRPr="00995AB9">
              <w:rPr>
                <w:rFonts w:eastAsia="Calibri" w:cs="Times New Roman"/>
                <w:sz w:val="20"/>
              </w:rPr>
              <w:t>1</w:t>
            </w:r>
          </w:p>
        </w:tc>
        <w:tc>
          <w:tcPr>
            <w:tcW w:w="587" w:type="pct"/>
            <w:vAlign w:val="center"/>
          </w:tcPr>
          <w:p w14:paraId="3AFD6913" w14:textId="77777777" w:rsidR="00E15F18" w:rsidRPr="00995AB9" w:rsidRDefault="00E15F18" w:rsidP="0070471B">
            <w:pPr>
              <w:jc w:val="center"/>
              <w:rPr>
                <w:rFonts w:eastAsia="Calibri" w:cs="Times New Roman"/>
                <w:sz w:val="20"/>
              </w:rPr>
            </w:pPr>
            <w:r w:rsidRPr="00995AB9">
              <w:rPr>
                <w:rFonts w:eastAsia="Calibri" w:cs="Times New Roman"/>
                <w:sz w:val="20"/>
              </w:rPr>
              <w:t>2</w:t>
            </w:r>
          </w:p>
        </w:tc>
        <w:tc>
          <w:tcPr>
            <w:tcW w:w="588" w:type="pct"/>
            <w:vAlign w:val="center"/>
          </w:tcPr>
          <w:p w14:paraId="26B4DA11" w14:textId="77777777" w:rsidR="00E15F18" w:rsidRPr="00995AB9" w:rsidRDefault="00E15F18" w:rsidP="0070471B">
            <w:pPr>
              <w:jc w:val="center"/>
              <w:rPr>
                <w:rFonts w:eastAsia="Calibri" w:cs="Times New Roman"/>
                <w:sz w:val="20"/>
              </w:rPr>
            </w:pPr>
            <w:r w:rsidRPr="00995AB9">
              <w:rPr>
                <w:rFonts w:eastAsia="Calibri" w:cs="Times New Roman"/>
                <w:sz w:val="20"/>
              </w:rPr>
              <w:t>3</w:t>
            </w:r>
          </w:p>
        </w:tc>
        <w:tc>
          <w:tcPr>
            <w:tcW w:w="516" w:type="pct"/>
            <w:vAlign w:val="center"/>
          </w:tcPr>
          <w:p w14:paraId="031E81B1" w14:textId="77777777" w:rsidR="00E15F18" w:rsidRPr="00995AB9" w:rsidRDefault="00E15F18" w:rsidP="0070471B">
            <w:pPr>
              <w:jc w:val="center"/>
              <w:rPr>
                <w:rFonts w:eastAsia="Calibri" w:cs="Times New Roman"/>
                <w:sz w:val="20"/>
              </w:rPr>
            </w:pPr>
            <w:r w:rsidRPr="00995AB9">
              <w:rPr>
                <w:rFonts w:eastAsia="Calibri" w:cs="Times New Roman"/>
                <w:sz w:val="20"/>
              </w:rPr>
              <w:t>4 = 3 - 1</w:t>
            </w:r>
          </w:p>
        </w:tc>
        <w:tc>
          <w:tcPr>
            <w:tcW w:w="515" w:type="pct"/>
            <w:vAlign w:val="center"/>
          </w:tcPr>
          <w:p w14:paraId="446209AA" w14:textId="77777777" w:rsidR="00E15F18" w:rsidRPr="00995AB9" w:rsidRDefault="00E15F18" w:rsidP="0070471B">
            <w:pPr>
              <w:jc w:val="center"/>
              <w:rPr>
                <w:rFonts w:eastAsia="Calibri" w:cs="Times New Roman"/>
                <w:sz w:val="20"/>
              </w:rPr>
            </w:pPr>
            <w:r w:rsidRPr="00995AB9">
              <w:rPr>
                <w:rFonts w:eastAsia="Calibri" w:cs="Times New Roman"/>
                <w:sz w:val="20"/>
              </w:rPr>
              <w:t>5=3/1*100</w:t>
            </w:r>
          </w:p>
        </w:tc>
        <w:tc>
          <w:tcPr>
            <w:tcW w:w="586" w:type="pct"/>
            <w:vAlign w:val="center"/>
          </w:tcPr>
          <w:p w14:paraId="0019989A" w14:textId="77777777" w:rsidR="00E15F18" w:rsidRPr="00995AB9" w:rsidRDefault="00E15F18" w:rsidP="0070471B">
            <w:pPr>
              <w:jc w:val="center"/>
              <w:rPr>
                <w:rFonts w:eastAsia="Calibri" w:cs="Times New Roman"/>
                <w:sz w:val="20"/>
              </w:rPr>
            </w:pPr>
            <w:r w:rsidRPr="00995AB9">
              <w:rPr>
                <w:rFonts w:eastAsia="Calibri" w:cs="Times New Roman"/>
                <w:sz w:val="20"/>
              </w:rPr>
              <w:t>6 = 3 - 2</w:t>
            </w:r>
          </w:p>
        </w:tc>
      </w:tr>
      <w:tr w:rsidR="00E15F18" w:rsidRPr="00995AB9" w14:paraId="2DDD5FE3" w14:textId="77777777" w:rsidTr="0070471B">
        <w:trPr>
          <w:trHeight w:val="255"/>
        </w:trPr>
        <w:tc>
          <w:tcPr>
            <w:tcW w:w="1619" w:type="pct"/>
            <w:vAlign w:val="center"/>
          </w:tcPr>
          <w:p w14:paraId="2A2FCA4E" w14:textId="77777777" w:rsidR="00E15F18" w:rsidRPr="00995AB9" w:rsidRDefault="00E15F18" w:rsidP="0070471B">
            <w:pPr>
              <w:rPr>
                <w:rFonts w:eastAsia="Calibri" w:cs="Times New Roman"/>
                <w:b/>
                <w:sz w:val="20"/>
              </w:rPr>
            </w:pPr>
            <w:r w:rsidRPr="00995AB9">
              <w:rPr>
                <w:rFonts w:eastAsia="Calibri" w:cs="Times New Roman"/>
                <w:b/>
                <w:sz w:val="20"/>
              </w:rPr>
              <w:t>Príjmy spolu*</w:t>
            </w:r>
          </w:p>
        </w:tc>
        <w:tc>
          <w:tcPr>
            <w:tcW w:w="588" w:type="pct"/>
            <w:vAlign w:val="center"/>
          </w:tcPr>
          <w:p w14:paraId="0670C8D0" w14:textId="77777777" w:rsidR="00E15F18" w:rsidRPr="00995AB9" w:rsidRDefault="00E15F18" w:rsidP="0070471B">
            <w:pPr>
              <w:jc w:val="right"/>
              <w:rPr>
                <w:rFonts w:eastAsia="Calibri" w:cs="Times New Roman"/>
                <w:b/>
                <w:sz w:val="20"/>
              </w:rPr>
            </w:pPr>
            <w:r w:rsidRPr="00995AB9">
              <w:rPr>
                <w:rFonts w:eastAsia="Calibri" w:cs="Times New Roman"/>
                <w:b/>
                <w:sz w:val="20"/>
              </w:rPr>
              <w:t>36 419 372</w:t>
            </w:r>
          </w:p>
        </w:tc>
        <w:tc>
          <w:tcPr>
            <w:tcW w:w="587" w:type="pct"/>
            <w:vAlign w:val="center"/>
          </w:tcPr>
          <w:p w14:paraId="2FD48910" w14:textId="77777777" w:rsidR="00E15F18" w:rsidRPr="00995AB9" w:rsidRDefault="00E15F18" w:rsidP="0070471B">
            <w:pPr>
              <w:jc w:val="right"/>
              <w:rPr>
                <w:rFonts w:eastAsia="Calibri" w:cs="Times New Roman"/>
                <w:b/>
                <w:sz w:val="20"/>
              </w:rPr>
            </w:pPr>
            <w:r w:rsidRPr="00995AB9">
              <w:rPr>
                <w:rFonts w:eastAsia="Calibri" w:cs="Times New Roman"/>
                <w:b/>
                <w:sz w:val="20"/>
              </w:rPr>
              <w:t>36 902 142</w:t>
            </w:r>
          </w:p>
        </w:tc>
        <w:tc>
          <w:tcPr>
            <w:tcW w:w="588" w:type="pct"/>
            <w:vAlign w:val="center"/>
          </w:tcPr>
          <w:p w14:paraId="079AF8D1" w14:textId="77777777" w:rsidR="00E15F18" w:rsidRPr="00995AB9" w:rsidRDefault="00E15F18" w:rsidP="0070471B">
            <w:pPr>
              <w:jc w:val="right"/>
              <w:rPr>
                <w:rFonts w:eastAsia="Calibri" w:cs="Times New Roman"/>
                <w:b/>
                <w:sz w:val="20"/>
              </w:rPr>
            </w:pPr>
            <w:r w:rsidRPr="00995AB9">
              <w:rPr>
                <w:rFonts w:eastAsia="Calibri" w:cs="Times New Roman"/>
                <w:b/>
                <w:sz w:val="20"/>
              </w:rPr>
              <w:t>39 178 292</w:t>
            </w:r>
          </w:p>
        </w:tc>
        <w:tc>
          <w:tcPr>
            <w:tcW w:w="516" w:type="pct"/>
            <w:vAlign w:val="center"/>
          </w:tcPr>
          <w:p w14:paraId="5F4820C6" w14:textId="77777777" w:rsidR="00E15F18" w:rsidRPr="00995AB9" w:rsidRDefault="00E15F18" w:rsidP="0070471B">
            <w:pPr>
              <w:jc w:val="right"/>
              <w:rPr>
                <w:rFonts w:eastAsia="Calibri" w:cs="Times New Roman"/>
                <w:b/>
                <w:sz w:val="20"/>
              </w:rPr>
            </w:pPr>
            <w:r w:rsidRPr="00995AB9">
              <w:rPr>
                <w:rFonts w:eastAsia="Calibri" w:cs="Times New Roman"/>
                <w:b/>
                <w:sz w:val="20"/>
              </w:rPr>
              <w:t>2 758 920</w:t>
            </w:r>
          </w:p>
        </w:tc>
        <w:tc>
          <w:tcPr>
            <w:tcW w:w="515" w:type="pct"/>
            <w:vAlign w:val="center"/>
          </w:tcPr>
          <w:p w14:paraId="6D1E2445" w14:textId="77777777" w:rsidR="00E15F18" w:rsidRPr="00995AB9" w:rsidRDefault="00E15F18" w:rsidP="0070471B">
            <w:pPr>
              <w:jc w:val="right"/>
              <w:rPr>
                <w:rFonts w:eastAsia="Calibri" w:cs="Times New Roman"/>
                <w:b/>
                <w:sz w:val="20"/>
              </w:rPr>
            </w:pPr>
            <w:r w:rsidRPr="00995AB9">
              <w:rPr>
                <w:rFonts w:eastAsia="Calibri" w:cs="Times New Roman"/>
                <w:b/>
                <w:sz w:val="20"/>
              </w:rPr>
              <w:t>107,6</w:t>
            </w:r>
          </w:p>
        </w:tc>
        <w:tc>
          <w:tcPr>
            <w:tcW w:w="586" w:type="pct"/>
            <w:vAlign w:val="center"/>
          </w:tcPr>
          <w:p w14:paraId="38624AD3" w14:textId="77777777" w:rsidR="00E15F18" w:rsidRPr="00995AB9" w:rsidRDefault="00E15F18" w:rsidP="0070471B">
            <w:pPr>
              <w:jc w:val="right"/>
              <w:rPr>
                <w:rFonts w:eastAsia="Calibri" w:cs="Times New Roman"/>
                <w:b/>
                <w:sz w:val="20"/>
              </w:rPr>
            </w:pPr>
            <w:r w:rsidRPr="00995AB9">
              <w:rPr>
                <w:rFonts w:eastAsia="Calibri" w:cs="Times New Roman"/>
                <w:b/>
                <w:sz w:val="20"/>
              </w:rPr>
              <w:t>2 276 152</w:t>
            </w:r>
          </w:p>
        </w:tc>
      </w:tr>
      <w:tr w:rsidR="00E15F18" w:rsidRPr="00995AB9" w14:paraId="1C899F1D" w14:textId="77777777" w:rsidTr="0070471B">
        <w:trPr>
          <w:trHeight w:val="255"/>
        </w:trPr>
        <w:tc>
          <w:tcPr>
            <w:tcW w:w="1619" w:type="pct"/>
            <w:vAlign w:val="center"/>
          </w:tcPr>
          <w:p w14:paraId="20B45C23" w14:textId="77777777" w:rsidR="00E15F18" w:rsidRPr="00995AB9" w:rsidRDefault="00E15F18" w:rsidP="0070471B">
            <w:pPr>
              <w:rPr>
                <w:rFonts w:eastAsia="Calibri" w:cs="Times New Roman"/>
                <w:b/>
                <w:sz w:val="20"/>
              </w:rPr>
            </w:pPr>
            <w:r w:rsidRPr="00995AB9">
              <w:rPr>
                <w:rFonts w:eastAsia="Calibri" w:cs="Times New Roman"/>
                <w:b/>
                <w:sz w:val="20"/>
              </w:rPr>
              <w:t>Daňové príjmy</w:t>
            </w:r>
          </w:p>
        </w:tc>
        <w:tc>
          <w:tcPr>
            <w:tcW w:w="588" w:type="pct"/>
            <w:vAlign w:val="center"/>
          </w:tcPr>
          <w:p w14:paraId="423F67EE" w14:textId="77777777" w:rsidR="00E15F18" w:rsidRPr="00995AB9" w:rsidRDefault="00E15F18" w:rsidP="0070471B">
            <w:pPr>
              <w:jc w:val="right"/>
              <w:rPr>
                <w:rFonts w:eastAsia="Calibri" w:cs="Times New Roman"/>
                <w:b/>
                <w:sz w:val="20"/>
              </w:rPr>
            </w:pPr>
            <w:r w:rsidRPr="00995AB9">
              <w:rPr>
                <w:rFonts w:eastAsia="Calibri" w:cs="Times New Roman"/>
                <w:b/>
                <w:sz w:val="20"/>
              </w:rPr>
              <w:t>16 021 064</w:t>
            </w:r>
          </w:p>
        </w:tc>
        <w:tc>
          <w:tcPr>
            <w:tcW w:w="587" w:type="pct"/>
            <w:vAlign w:val="center"/>
          </w:tcPr>
          <w:p w14:paraId="1582FEAA" w14:textId="77777777" w:rsidR="00E15F18" w:rsidRPr="00995AB9" w:rsidRDefault="00E15F18" w:rsidP="0070471B">
            <w:pPr>
              <w:jc w:val="right"/>
              <w:rPr>
                <w:rFonts w:eastAsia="Calibri" w:cs="Times New Roman"/>
                <w:b/>
                <w:sz w:val="20"/>
              </w:rPr>
            </w:pPr>
            <w:r w:rsidRPr="00995AB9">
              <w:rPr>
                <w:rFonts w:eastAsia="Calibri" w:cs="Times New Roman"/>
                <w:b/>
                <w:sz w:val="20"/>
              </w:rPr>
              <w:t>17 107 754</w:t>
            </w:r>
          </w:p>
        </w:tc>
        <w:tc>
          <w:tcPr>
            <w:tcW w:w="588" w:type="pct"/>
            <w:vAlign w:val="center"/>
          </w:tcPr>
          <w:p w14:paraId="5D707422" w14:textId="77777777" w:rsidR="00E15F18" w:rsidRPr="00995AB9" w:rsidRDefault="00E15F18" w:rsidP="0070471B">
            <w:pPr>
              <w:jc w:val="right"/>
              <w:rPr>
                <w:rFonts w:eastAsia="Calibri" w:cs="Times New Roman"/>
                <w:b/>
                <w:sz w:val="20"/>
              </w:rPr>
            </w:pPr>
            <w:r w:rsidRPr="00995AB9">
              <w:rPr>
                <w:rFonts w:eastAsia="Calibri" w:cs="Times New Roman"/>
                <w:b/>
                <w:sz w:val="20"/>
              </w:rPr>
              <w:t>16 964 517</w:t>
            </w:r>
          </w:p>
        </w:tc>
        <w:tc>
          <w:tcPr>
            <w:tcW w:w="516" w:type="pct"/>
            <w:vAlign w:val="center"/>
          </w:tcPr>
          <w:p w14:paraId="3E2414EB" w14:textId="77777777" w:rsidR="00E15F18" w:rsidRPr="00995AB9" w:rsidRDefault="00E15F18" w:rsidP="0070471B">
            <w:pPr>
              <w:jc w:val="right"/>
              <w:rPr>
                <w:rFonts w:eastAsia="Calibri" w:cs="Times New Roman"/>
                <w:b/>
                <w:sz w:val="20"/>
              </w:rPr>
            </w:pPr>
            <w:r w:rsidRPr="00995AB9">
              <w:rPr>
                <w:rFonts w:eastAsia="Calibri" w:cs="Times New Roman"/>
                <w:b/>
                <w:sz w:val="20"/>
              </w:rPr>
              <w:t>943 453</w:t>
            </w:r>
          </w:p>
        </w:tc>
        <w:tc>
          <w:tcPr>
            <w:tcW w:w="515" w:type="pct"/>
            <w:vAlign w:val="center"/>
          </w:tcPr>
          <w:p w14:paraId="094349AD" w14:textId="77777777" w:rsidR="00E15F18" w:rsidRPr="00995AB9" w:rsidRDefault="00E15F18" w:rsidP="0070471B">
            <w:pPr>
              <w:jc w:val="right"/>
              <w:rPr>
                <w:rFonts w:eastAsia="Calibri" w:cs="Times New Roman"/>
                <w:b/>
                <w:sz w:val="20"/>
              </w:rPr>
            </w:pPr>
            <w:r w:rsidRPr="00995AB9">
              <w:rPr>
                <w:rFonts w:eastAsia="Calibri" w:cs="Times New Roman"/>
                <w:b/>
                <w:sz w:val="20"/>
              </w:rPr>
              <w:t>105,9</w:t>
            </w:r>
          </w:p>
        </w:tc>
        <w:tc>
          <w:tcPr>
            <w:tcW w:w="586" w:type="pct"/>
            <w:vAlign w:val="center"/>
          </w:tcPr>
          <w:p w14:paraId="756E1E34" w14:textId="77777777" w:rsidR="00E15F18" w:rsidRPr="00995AB9" w:rsidRDefault="00E15F18" w:rsidP="0070471B">
            <w:pPr>
              <w:jc w:val="right"/>
              <w:rPr>
                <w:rFonts w:eastAsia="Calibri" w:cs="Times New Roman"/>
                <w:b/>
                <w:sz w:val="20"/>
              </w:rPr>
            </w:pPr>
            <w:r w:rsidRPr="00995AB9">
              <w:rPr>
                <w:rFonts w:eastAsia="Calibri" w:cs="Times New Roman"/>
                <w:b/>
                <w:sz w:val="20"/>
              </w:rPr>
              <w:t>-143 237</w:t>
            </w:r>
          </w:p>
        </w:tc>
      </w:tr>
      <w:tr w:rsidR="00E15F18" w:rsidRPr="00995AB9" w14:paraId="7B5FA1F5" w14:textId="77777777" w:rsidTr="0070471B">
        <w:trPr>
          <w:trHeight w:val="255"/>
        </w:trPr>
        <w:tc>
          <w:tcPr>
            <w:tcW w:w="1619" w:type="pct"/>
            <w:vAlign w:val="center"/>
          </w:tcPr>
          <w:p w14:paraId="66A9D680" w14:textId="77777777" w:rsidR="00E15F18" w:rsidRPr="00995AB9" w:rsidRDefault="00E15F18" w:rsidP="0070471B">
            <w:pPr>
              <w:ind w:firstLine="176"/>
              <w:rPr>
                <w:rFonts w:eastAsia="Calibri" w:cs="Times New Roman"/>
                <w:sz w:val="20"/>
              </w:rPr>
            </w:pPr>
            <w:r w:rsidRPr="00995AB9">
              <w:rPr>
                <w:rFonts w:eastAsia="Calibri" w:cs="Times New Roman"/>
                <w:sz w:val="20"/>
              </w:rPr>
              <w:t>Daň z príjmov fyzických osôb</w:t>
            </w:r>
          </w:p>
        </w:tc>
        <w:tc>
          <w:tcPr>
            <w:tcW w:w="588" w:type="pct"/>
            <w:vAlign w:val="center"/>
          </w:tcPr>
          <w:p w14:paraId="1C96EAD5" w14:textId="77777777" w:rsidR="00E15F18" w:rsidRPr="00995AB9" w:rsidRDefault="00E15F18" w:rsidP="0070471B">
            <w:pPr>
              <w:jc w:val="right"/>
              <w:rPr>
                <w:rFonts w:eastAsia="Calibri" w:cs="Times New Roman"/>
                <w:sz w:val="20"/>
              </w:rPr>
            </w:pPr>
            <w:r w:rsidRPr="00995AB9">
              <w:rPr>
                <w:rFonts w:eastAsia="Calibri" w:cs="Times New Roman"/>
                <w:sz w:val="20"/>
              </w:rPr>
              <w:t>3 217 628</w:t>
            </w:r>
          </w:p>
        </w:tc>
        <w:tc>
          <w:tcPr>
            <w:tcW w:w="587" w:type="pct"/>
            <w:vAlign w:val="center"/>
          </w:tcPr>
          <w:p w14:paraId="64BBAA4B" w14:textId="77777777" w:rsidR="00E15F18" w:rsidRPr="00995AB9" w:rsidRDefault="00E15F18" w:rsidP="0070471B">
            <w:pPr>
              <w:jc w:val="right"/>
              <w:rPr>
                <w:rFonts w:eastAsia="Calibri" w:cs="Times New Roman"/>
                <w:sz w:val="20"/>
              </w:rPr>
            </w:pPr>
            <w:r w:rsidRPr="00995AB9">
              <w:rPr>
                <w:rFonts w:eastAsia="Calibri" w:cs="Times New Roman"/>
                <w:sz w:val="20"/>
              </w:rPr>
              <w:t>3 426 902</w:t>
            </w:r>
          </w:p>
        </w:tc>
        <w:tc>
          <w:tcPr>
            <w:tcW w:w="588" w:type="pct"/>
            <w:vAlign w:val="center"/>
          </w:tcPr>
          <w:p w14:paraId="0E80F2F0" w14:textId="77777777" w:rsidR="00E15F18" w:rsidRPr="00995AB9" w:rsidRDefault="00E15F18" w:rsidP="0070471B">
            <w:pPr>
              <w:jc w:val="right"/>
              <w:rPr>
                <w:rFonts w:eastAsia="Calibri" w:cs="Times New Roman"/>
                <w:sz w:val="20"/>
              </w:rPr>
            </w:pPr>
            <w:r w:rsidRPr="00995AB9">
              <w:rPr>
                <w:rFonts w:eastAsia="Calibri" w:cs="Times New Roman"/>
                <w:sz w:val="20"/>
              </w:rPr>
              <w:t>3 540 185</w:t>
            </w:r>
          </w:p>
        </w:tc>
        <w:tc>
          <w:tcPr>
            <w:tcW w:w="516" w:type="pct"/>
            <w:vAlign w:val="center"/>
          </w:tcPr>
          <w:p w14:paraId="03F4A60D" w14:textId="77777777" w:rsidR="00E15F18" w:rsidRPr="00995AB9" w:rsidRDefault="00E15F18" w:rsidP="0070471B">
            <w:pPr>
              <w:jc w:val="right"/>
              <w:rPr>
                <w:rFonts w:eastAsia="Calibri" w:cs="Times New Roman"/>
                <w:sz w:val="20"/>
              </w:rPr>
            </w:pPr>
            <w:r w:rsidRPr="00995AB9">
              <w:rPr>
                <w:rFonts w:eastAsia="Calibri" w:cs="Times New Roman"/>
                <w:sz w:val="20"/>
              </w:rPr>
              <w:t>322 557</w:t>
            </w:r>
          </w:p>
        </w:tc>
        <w:tc>
          <w:tcPr>
            <w:tcW w:w="515" w:type="pct"/>
            <w:vAlign w:val="center"/>
          </w:tcPr>
          <w:p w14:paraId="5B92F16D" w14:textId="77777777" w:rsidR="00E15F18" w:rsidRPr="00995AB9" w:rsidRDefault="00E15F18" w:rsidP="0070471B">
            <w:pPr>
              <w:jc w:val="right"/>
              <w:rPr>
                <w:rFonts w:eastAsia="Calibri" w:cs="Times New Roman"/>
                <w:sz w:val="20"/>
              </w:rPr>
            </w:pPr>
            <w:r w:rsidRPr="00995AB9">
              <w:rPr>
                <w:rFonts w:eastAsia="Calibri" w:cs="Times New Roman"/>
                <w:sz w:val="20"/>
              </w:rPr>
              <w:t>110,0</w:t>
            </w:r>
          </w:p>
        </w:tc>
        <w:tc>
          <w:tcPr>
            <w:tcW w:w="586" w:type="pct"/>
            <w:vAlign w:val="center"/>
          </w:tcPr>
          <w:p w14:paraId="2F44BEFC" w14:textId="77777777" w:rsidR="00E15F18" w:rsidRPr="00995AB9" w:rsidRDefault="00E15F18" w:rsidP="0070471B">
            <w:pPr>
              <w:jc w:val="right"/>
              <w:rPr>
                <w:rFonts w:eastAsia="Calibri" w:cs="Times New Roman"/>
                <w:sz w:val="20"/>
              </w:rPr>
            </w:pPr>
            <w:r w:rsidRPr="00995AB9">
              <w:rPr>
                <w:rFonts w:eastAsia="Calibri" w:cs="Times New Roman"/>
                <w:sz w:val="20"/>
              </w:rPr>
              <w:t>113 283</w:t>
            </w:r>
          </w:p>
        </w:tc>
      </w:tr>
      <w:tr w:rsidR="00E15F18" w:rsidRPr="00995AB9" w14:paraId="3AE86E6C" w14:textId="77777777" w:rsidTr="0070471B">
        <w:trPr>
          <w:trHeight w:val="255"/>
        </w:trPr>
        <w:tc>
          <w:tcPr>
            <w:tcW w:w="1619" w:type="pct"/>
            <w:vAlign w:val="center"/>
          </w:tcPr>
          <w:p w14:paraId="1ED54119" w14:textId="77777777" w:rsidR="00E15F18" w:rsidRPr="00995AB9" w:rsidRDefault="00E15F18" w:rsidP="0070471B">
            <w:pPr>
              <w:ind w:firstLine="459"/>
              <w:rPr>
                <w:rFonts w:eastAsia="Calibri" w:cs="Times New Roman"/>
                <w:sz w:val="20"/>
              </w:rPr>
            </w:pPr>
            <w:r w:rsidRPr="00995AB9">
              <w:rPr>
                <w:rFonts w:eastAsia="Calibri" w:cs="Times New Roman"/>
                <w:sz w:val="20"/>
              </w:rPr>
              <w:t>DPFO zo závislej činnosti</w:t>
            </w:r>
          </w:p>
        </w:tc>
        <w:tc>
          <w:tcPr>
            <w:tcW w:w="588" w:type="pct"/>
            <w:vAlign w:val="center"/>
          </w:tcPr>
          <w:p w14:paraId="762F10C1" w14:textId="77777777" w:rsidR="00E15F18" w:rsidRPr="00995AB9" w:rsidRDefault="00E15F18" w:rsidP="0070471B">
            <w:pPr>
              <w:jc w:val="right"/>
              <w:rPr>
                <w:rFonts w:eastAsia="Calibri" w:cs="Times New Roman"/>
                <w:sz w:val="20"/>
              </w:rPr>
            </w:pPr>
            <w:r w:rsidRPr="00995AB9">
              <w:rPr>
                <w:rFonts w:eastAsia="Calibri" w:cs="Times New Roman"/>
                <w:sz w:val="20"/>
              </w:rPr>
              <w:t>3 093 913</w:t>
            </w:r>
          </w:p>
        </w:tc>
        <w:tc>
          <w:tcPr>
            <w:tcW w:w="587" w:type="pct"/>
            <w:vAlign w:val="center"/>
          </w:tcPr>
          <w:p w14:paraId="06A2B08E" w14:textId="77777777" w:rsidR="00E15F18" w:rsidRPr="00995AB9" w:rsidRDefault="00E15F18" w:rsidP="0070471B">
            <w:pPr>
              <w:jc w:val="right"/>
              <w:rPr>
                <w:rFonts w:eastAsia="Calibri" w:cs="Times New Roman"/>
                <w:sz w:val="20"/>
              </w:rPr>
            </w:pPr>
            <w:r w:rsidRPr="00995AB9">
              <w:rPr>
                <w:rFonts w:eastAsia="Calibri" w:cs="Times New Roman"/>
                <w:sz w:val="20"/>
              </w:rPr>
              <w:t>3 307 288</w:t>
            </w:r>
          </w:p>
        </w:tc>
        <w:tc>
          <w:tcPr>
            <w:tcW w:w="588" w:type="pct"/>
            <w:vAlign w:val="center"/>
          </w:tcPr>
          <w:p w14:paraId="2A5BF58E" w14:textId="77777777" w:rsidR="00E15F18" w:rsidRPr="00995AB9" w:rsidRDefault="00E15F18" w:rsidP="0070471B">
            <w:pPr>
              <w:jc w:val="right"/>
              <w:rPr>
                <w:rFonts w:eastAsia="Calibri" w:cs="Times New Roman"/>
                <w:sz w:val="20"/>
              </w:rPr>
            </w:pPr>
            <w:r w:rsidRPr="00995AB9">
              <w:rPr>
                <w:rFonts w:eastAsia="Calibri" w:cs="Times New Roman"/>
                <w:sz w:val="20"/>
              </w:rPr>
              <w:t>3 409 857</w:t>
            </w:r>
          </w:p>
        </w:tc>
        <w:tc>
          <w:tcPr>
            <w:tcW w:w="516" w:type="pct"/>
            <w:vAlign w:val="center"/>
          </w:tcPr>
          <w:p w14:paraId="24E80461" w14:textId="77777777" w:rsidR="00E15F18" w:rsidRPr="00995AB9" w:rsidRDefault="00E15F18" w:rsidP="0070471B">
            <w:pPr>
              <w:jc w:val="right"/>
              <w:rPr>
                <w:rFonts w:eastAsia="Calibri" w:cs="Times New Roman"/>
                <w:sz w:val="20"/>
              </w:rPr>
            </w:pPr>
            <w:r w:rsidRPr="00995AB9">
              <w:rPr>
                <w:rFonts w:eastAsia="Calibri" w:cs="Times New Roman"/>
                <w:sz w:val="20"/>
              </w:rPr>
              <w:t>315 944</w:t>
            </w:r>
          </w:p>
        </w:tc>
        <w:tc>
          <w:tcPr>
            <w:tcW w:w="515" w:type="pct"/>
            <w:vAlign w:val="center"/>
          </w:tcPr>
          <w:p w14:paraId="73FCD520" w14:textId="77777777" w:rsidR="00E15F18" w:rsidRPr="00995AB9" w:rsidRDefault="00E15F18" w:rsidP="0070471B">
            <w:pPr>
              <w:jc w:val="right"/>
              <w:rPr>
                <w:rFonts w:eastAsia="Calibri" w:cs="Times New Roman"/>
                <w:sz w:val="20"/>
              </w:rPr>
            </w:pPr>
            <w:r w:rsidRPr="00995AB9">
              <w:rPr>
                <w:rFonts w:eastAsia="Calibri" w:cs="Times New Roman"/>
                <w:sz w:val="20"/>
              </w:rPr>
              <w:t>110,2</w:t>
            </w:r>
          </w:p>
        </w:tc>
        <w:tc>
          <w:tcPr>
            <w:tcW w:w="586" w:type="pct"/>
            <w:vAlign w:val="center"/>
          </w:tcPr>
          <w:p w14:paraId="45892F4D" w14:textId="77777777" w:rsidR="00E15F18" w:rsidRPr="00995AB9" w:rsidRDefault="00E15F18" w:rsidP="0070471B">
            <w:pPr>
              <w:jc w:val="right"/>
              <w:rPr>
                <w:rFonts w:eastAsia="Calibri" w:cs="Times New Roman"/>
                <w:sz w:val="20"/>
              </w:rPr>
            </w:pPr>
            <w:r w:rsidRPr="00995AB9">
              <w:rPr>
                <w:rFonts w:eastAsia="Calibri" w:cs="Times New Roman"/>
                <w:sz w:val="20"/>
              </w:rPr>
              <w:t>102 569</w:t>
            </w:r>
          </w:p>
        </w:tc>
      </w:tr>
      <w:tr w:rsidR="00E15F18" w:rsidRPr="00995AB9" w14:paraId="670ABA29" w14:textId="77777777" w:rsidTr="0070471B">
        <w:trPr>
          <w:trHeight w:val="255"/>
        </w:trPr>
        <w:tc>
          <w:tcPr>
            <w:tcW w:w="1619" w:type="pct"/>
            <w:vAlign w:val="center"/>
          </w:tcPr>
          <w:p w14:paraId="01E0E9B9" w14:textId="77777777" w:rsidR="00E15F18" w:rsidRPr="00995AB9" w:rsidRDefault="00E15F18" w:rsidP="0070471B">
            <w:pPr>
              <w:ind w:firstLine="459"/>
              <w:rPr>
                <w:rFonts w:eastAsia="Calibri" w:cs="Times New Roman"/>
                <w:sz w:val="20"/>
              </w:rPr>
            </w:pPr>
            <w:r w:rsidRPr="00995AB9">
              <w:rPr>
                <w:rFonts w:eastAsia="Calibri" w:cs="Times New Roman"/>
                <w:sz w:val="20"/>
              </w:rPr>
              <w:t>DPFO z podnikania</w:t>
            </w:r>
          </w:p>
        </w:tc>
        <w:tc>
          <w:tcPr>
            <w:tcW w:w="588" w:type="pct"/>
            <w:vAlign w:val="center"/>
          </w:tcPr>
          <w:p w14:paraId="2C73126F" w14:textId="77777777" w:rsidR="00E15F18" w:rsidRPr="00995AB9" w:rsidRDefault="00E15F18" w:rsidP="0070471B">
            <w:pPr>
              <w:jc w:val="right"/>
              <w:rPr>
                <w:rFonts w:eastAsia="Calibri" w:cs="Times New Roman"/>
                <w:sz w:val="20"/>
              </w:rPr>
            </w:pPr>
            <w:r w:rsidRPr="00995AB9">
              <w:rPr>
                <w:rFonts w:eastAsia="Calibri" w:cs="Times New Roman"/>
                <w:sz w:val="20"/>
              </w:rPr>
              <w:t>123 715</w:t>
            </w:r>
          </w:p>
        </w:tc>
        <w:tc>
          <w:tcPr>
            <w:tcW w:w="587" w:type="pct"/>
            <w:vAlign w:val="center"/>
          </w:tcPr>
          <w:p w14:paraId="5596F6F4" w14:textId="77777777" w:rsidR="00E15F18" w:rsidRPr="00995AB9" w:rsidRDefault="00E15F18" w:rsidP="0070471B">
            <w:pPr>
              <w:jc w:val="right"/>
              <w:rPr>
                <w:rFonts w:eastAsia="Calibri" w:cs="Times New Roman"/>
                <w:sz w:val="20"/>
              </w:rPr>
            </w:pPr>
            <w:r w:rsidRPr="00995AB9">
              <w:rPr>
                <w:rFonts w:eastAsia="Calibri" w:cs="Times New Roman"/>
                <w:sz w:val="20"/>
              </w:rPr>
              <w:t>119 614</w:t>
            </w:r>
          </w:p>
        </w:tc>
        <w:tc>
          <w:tcPr>
            <w:tcW w:w="588" w:type="pct"/>
            <w:vAlign w:val="center"/>
          </w:tcPr>
          <w:p w14:paraId="1B8CDC30" w14:textId="77777777" w:rsidR="00E15F18" w:rsidRPr="00995AB9" w:rsidRDefault="00E15F18" w:rsidP="0070471B">
            <w:pPr>
              <w:jc w:val="right"/>
              <w:rPr>
                <w:rFonts w:eastAsia="Calibri" w:cs="Times New Roman"/>
                <w:sz w:val="20"/>
              </w:rPr>
            </w:pPr>
            <w:r w:rsidRPr="00995AB9">
              <w:rPr>
                <w:rFonts w:eastAsia="Calibri" w:cs="Times New Roman"/>
                <w:sz w:val="20"/>
              </w:rPr>
              <w:t>130 328</w:t>
            </w:r>
          </w:p>
        </w:tc>
        <w:tc>
          <w:tcPr>
            <w:tcW w:w="516" w:type="pct"/>
            <w:vAlign w:val="center"/>
          </w:tcPr>
          <w:p w14:paraId="05E7E659" w14:textId="77777777" w:rsidR="00E15F18" w:rsidRPr="00995AB9" w:rsidRDefault="00E15F18" w:rsidP="0070471B">
            <w:pPr>
              <w:jc w:val="right"/>
              <w:rPr>
                <w:rFonts w:eastAsia="Calibri" w:cs="Times New Roman"/>
                <w:sz w:val="20"/>
              </w:rPr>
            </w:pPr>
            <w:r w:rsidRPr="00995AB9">
              <w:rPr>
                <w:rFonts w:eastAsia="Calibri" w:cs="Times New Roman"/>
                <w:sz w:val="20"/>
              </w:rPr>
              <w:t>6 613</w:t>
            </w:r>
          </w:p>
        </w:tc>
        <w:tc>
          <w:tcPr>
            <w:tcW w:w="515" w:type="pct"/>
            <w:vAlign w:val="center"/>
          </w:tcPr>
          <w:p w14:paraId="2C7C8DB2" w14:textId="77777777" w:rsidR="00E15F18" w:rsidRPr="00995AB9" w:rsidRDefault="00E15F18" w:rsidP="0070471B">
            <w:pPr>
              <w:jc w:val="right"/>
              <w:rPr>
                <w:rFonts w:eastAsia="Calibri" w:cs="Times New Roman"/>
                <w:sz w:val="20"/>
              </w:rPr>
            </w:pPr>
            <w:r w:rsidRPr="00995AB9">
              <w:rPr>
                <w:rFonts w:eastAsia="Calibri" w:cs="Times New Roman"/>
                <w:sz w:val="20"/>
              </w:rPr>
              <w:t>105,3</w:t>
            </w:r>
          </w:p>
        </w:tc>
        <w:tc>
          <w:tcPr>
            <w:tcW w:w="586" w:type="pct"/>
            <w:vAlign w:val="center"/>
          </w:tcPr>
          <w:p w14:paraId="4154A355" w14:textId="77777777" w:rsidR="00E15F18" w:rsidRPr="00995AB9" w:rsidRDefault="00E15F18" w:rsidP="0070471B">
            <w:pPr>
              <w:jc w:val="right"/>
              <w:rPr>
                <w:rFonts w:eastAsia="Calibri" w:cs="Times New Roman"/>
                <w:sz w:val="20"/>
              </w:rPr>
            </w:pPr>
            <w:r w:rsidRPr="00995AB9">
              <w:rPr>
                <w:rFonts w:eastAsia="Calibri" w:cs="Times New Roman"/>
                <w:sz w:val="20"/>
              </w:rPr>
              <w:t>10 714</w:t>
            </w:r>
          </w:p>
        </w:tc>
      </w:tr>
      <w:tr w:rsidR="00E15F18" w:rsidRPr="00995AB9" w14:paraId="4FAB1BE9" w14:textId="77777777" w:rsidTr="0070471B">
        <w:trPr>
          <w:trHeight w:val="255"/>
        </w:trPr>
        <w:tc>
          <w:tcPr>
            <w:tcW w:w="1619" w:type="pct"/>
            <w:vAlign w:val="center"/>
          </w:tcPr>
          <w:p w14:paraId="21949F46" w14:textId="77777777" w:rsidR="00E15F18" w:rsidRPr="00995AB9" w:rsidRDefault="00E15F18" w:rsidP="0070471B">
            <w:pPr>
              <w:ind w:firstLine="176"/>
              <w:rPr>
                <w:rFonts w:eastAsia="Calibri" w:cs="Times New Roman"/>
                <w:sz w:val="20"/>
              </w:rPr>
            </w:pPr>
            <w:r w:rsidRPr="00995AB9">
              <w:rPr>
                <w:rFonts w:eastAsia="Calibri" w:cs="Times New Roman"/>
                <w:sz w:val="20"/>
              </w:rPr>
              <w:t xml:space="preserve">Daň z príjmov právnických osôb </w:t>
            </w:r>
          </w:p>
        </w:tc>
        <w:tc>
          <w:tcPr>
            <w:tcW w:w="588" w:type="pct"/>
            <w:vAlign w:val="center"/>
          </w:tcPr>
          <w:p w14:paraId="5DAEF4E1" w14:textId="77777777" w:rsidR="00E15F18" w:rsidRPr="00995AB9" w:rsidRDefault="00E15F18" w:rsidP="0070471B">
            <w:pPr>
              <w:jc w:val="right"/>
              <w:rPr>
                <w:rFonts w:eastAsia="Calibri" w:cs="Times New Roman"/>
                <w:sz w:val="20"/>
              </w:rPr>
            </w:pPr>
            <w:r w:rsidRPr="00995AB9">
              <w:rPr>
                <w:rFonts w:eastAsia="Calibri" w:cs="Times New Roman"/>
                <w:sz w:val="20"/>
              </w:rPr>
              <w:t>2 787 700</w:t>
            </w:r>
          </w:p>
        </w:tc>
        <w:tc>
          <w:tcPr>
            <w:tcW w:w="587" w:type="pct"/>
            <w:vAlign w:val="center"/>
          </w:tcPr>
          <w:p w14:paraId="1BF53B46" w14:textId="77777777" w:rsidR="00E15F18" w:rsidRPr="00995AB9" w:rsidRDefault="00E15F18" w:rsidP="0070471B">
            <w:pPr>
              <w:jc w:val="right"/>
              <w:rPr>
                <w:rFonts w:eastAsia="Calibri" w:cs="Times New Roman"/>
                <w:sz w:val="20"/>
              </w:rPr>
            </w:pPr>
            <w:r w:rsidRPr="00995AB9">
              <w:rPr>
                <w:rFonts w:eastAsia="Calibri" w:cs="Times New Roman"/>
                <w:sz w:val="20"/>
              </w:rPr>
              <w:t>2 868 647</w:t>
            </w:r>
          </w:p>
        </w:tc>
        <w:tc>
          <w:tcPr>
            <w:tcW w:w="588" w:type="pct"/>
            <w:vAlign w:val="center"/>
          </w:tcPr>
          <w:p w14:paraId="29EFB69C" w14:textId="77777777" w:rsidR="00E15F18" w:rsidRPr="00995AB9" w:rsidRDefault="00E15F18" w:rsidP="0070471B">
            <w:pPr>
              <w:jc w:val="right"/>
              <w:rPr>
                <w:rFonts w:eastAsia="Calibri" w:cs="Times New Roman"/>
                <w:sz w:val="20"/>
              </w:rPr>
            </w:pPr>
            <w:r w:rsidRPr="00995AB9">
              <w:rPr>
                <w:rFonts w:eastAsia="Calibri" w:cs="Times New Roman"/>
                <w:sz w:val="20"/>
              </w:rPr>
              <w:t>2 747 360</w:t>
            </w:r>
          </w:p>
        </w:tc>
        <w:tc>
          <w:tcPr>
            <w:tcW w:w="516" w:type="pct"/>
            <w:vAlign w:val="center"/>
          </w:tcPr>
          <w:p w14:paraId="6C3D51C4" w14:textId="77777777" w:rsidR="00E15F18" w:rsidRPr="00995AB9" w:rsidRDefault="00E15F18" w:rsidP="0070471B">
            <w:pPr>
              <w:jc w:val="right"/>
              <w:rPr>
                <w:rFonts w:eastAsia="Calibri" w:cs="Times New Roman"/>
                <w:sz w:val="20"/>
              </w:rPr>
            </w:pPr>
            <w:r w:rsidRPr="00995AB9">
              <w:rPr>
                <w:rFonts w:eastAsia="Calibri" w:cs="Times New Roman"/>
                <w:sz w:val="20"/>
              </w:rPr>
              <w:t>-40 340</w:t>
            </w:r>
          </w:p>
        </w:tc>
        <w:tc>
          <w:tcPr>
            <w:tcW w:w="515" w:type="pct"/>
            <w:vAlign w:val="center"/>
          </w:tcPr>
          <w:p w14:paraId="0776B6E8" w14:textId="77777777" w:rsidR="00E15F18" w:rsidRPr="00995AB9" w:rsidRDefault="00E15F18" w:rsidP="0070471B">
            <w:pPr>
              <w:jc w:val="right"/>
              <w:rPr>
                <w:rFonts w:eastAsia="Calibri" w:cs="Times New Roman"/>
                <w:sz w:val="20"/>
              </w:rPr>
            </w:pPr>
            <w:r w:rsidRPr="00995AB9">
              <w:rPr>
                <w:rFonts w:eastAsia="Calibri" w:cs="Times New Roman"/>
                <w:sz w:val="20"/>
              </w:rPr>
              <w:t>98,6</w:t>
            </w:r>
          </w:p>
        </w:tc>
        <w:tc>
          <w:tcPr>
            <w:tcW w:w="586" w:type="pct"/>
            <w:vAlign w:val="center"/>
          </w:tcPr>
          <w:p w14:paraId="70538891" w14:textId="77777777" w:rsidR="00E15F18" w:rsidRPr="00995AB9" w:rsidRDefault="00E15F18" w:rsidP="0070471B">
            <w:pPr>
              <w:jc w:val="right"/>
              <w:rPr>
                <w:rFonts w:eastAsia="Calibri" w:cs="Times New Roman"/>
                <w:sz w:val="20"/>
              </w:rPr>
            </w:pPr>
            <w:r w:rsidRPr="00995AB9">
              <w:rPr>
                <w:rFonts w:eastAsia="Calibri" w:cs="Times New Roman"/>
                <w:sz w:val="20"/>
              </w:rPr>
              <w:t>-121 287</w:t>
            </w:r>
          </w:p>
        </w:tc>
      </w:tr>
      <w:tr w:rsidR="00E15F18" w:rsidRPr="00995AB9" w14:paraId="1A7EF064" w14:textId="77777777" w:rsidTr="0070471B">
        <w:trPr>
          <w:trHeight w:val="255"/>
        </w:trPr>
        <w:tc>
          <w:tcPr>
            <w:tcW w:w="1619" w:type="pct"/>
            <w:vAlign w:val="center"/>
          </w:tcPr>
          <w:p w14:paraId="725A8F96" w14:textId="77777777" w:rsidR="00E15F18" w:rsidRPr="00995AB9" w:rsidRDefault="00E15F18" w:rsidP="0070471B">
            <w:pPr>
              <w:ind w:firstLine="176"/>
              <w:rPr>
                <w:rFonts w:eastAsia="Calibri" w:cs="Times New Roman"/>
                <w:sz w:val="20"/>
              </w:rPr>
            </w:pPr>
            <w:r w:rsidRPr="00995AB9">
              <w:rPr>
                <w:rFonts w:eastAsia="Calibri" w:cs="Times New Roman"/>
                <w:sz w:val="20"/>
              </w:rPr>
              <w:t xml:space="preserve">Daň z príjmov vyberaná zrážkou </w:t>
            </w:r>
          </w:p>
        </w:tc>
        <w:tc>
          <w:tcPr>
            <w:tcW w:w="588" w:type="pct"/>
            <w:vAlign w:val="center"/>
          </w:tcPr>
          <w:p w14:paraId="17435472" w14:textId="77777777" w:rsidR="00E15F18" w:rsidRPr="00995AB9" w:rsidRDefault="00E15F18" w:rsidP="0070471B">
            <w:pPr>
              <w:jc w:val="right"/>
              <w:rPr>
                <w:rFonts w:eastAsia="Calibri" w:cs="Times New Roman"/>
                <w:sz w:val="20"/>
              </w:rPr>
            </w:pPr>
            <w:r w:rsidRPr="00995AB9">
              <w:rPr>
                <w:rFonts w:eastAsia="Calibri" w:cs="Times New Roman"/>
                <w:sz w:val="20"/>
              </w:rPr>
              <w:t>209 170</w:t>
            </w:r>
          </w:p>
        </w:tc>
        <w:tc>
          <w:tcPr>
            <w:tcW w:w="587" w:type="pct"/>
            <w:vAlign w:val="center"/>
          </w:tcPr>
          <w:p w14:paraId="0D0B6312" w14:textId="77777777" w:rsidR="00E15F18" w:rsidRPr="00995AB9" w:rsidRDefault="00E15F18" w:rsidP="0070471B">
            <w:pPr>
              <w:jc w:val="right"/>
              <w:rPr>
                <w:rFonts w:eastAsia="Calibri" w:cs="Times New Roman"/>
                <w:sz w:val="20"/>
              </w:rPr>
            </w:pPr>
            <w:r w:rsidRPr="00995AB9">
              <w:rPr>
                <w:rFonts w:eastAsia="Calibri" w:cs="Times New Roman"/>
                <w:sz w:val="20"/>
              </w:rPr>
              <w:t>235 639</w:t>
            </w:r>
          </w:p>
        </w:tc>
        <w:tc>
          <w:tcPr>
            <w:tcW w:w="588" w:type="pct"/>
            <w:vAlign w:val="center"/>
          </w:tcPr>
          <w:p w14:paraId="08E47239" w14:textId="77777777" w:rsidR="00E15F18" w:rsidRPr="00995AB9" w:rsidRDefault="00E15F18" w:rsidP="0070471B">
            <w:pPr>
              <w:jc w:val="right"/>
              <w:rPr>
                <w:rFonts w:eastAsia="Calibri" w:cs="Times New Roman"/>
                <w:sz w:val="20"/>
              </w:rPr>
            </w:pPr>
            <w:r w:rsidRPr="00995AB9">
              <w:rPr>
                <w:rFonts w:eastAsia="Calibri" w:cs="Times New Roman"/>
                <w:sz w:val="20"/>
              </w:rPr>
              <w:t>245 615</w:t>
            </w:r>
          </w:p>
        </w:tc>
        <w:tc>
          <w:tcPr>
            <w:tcW w:w="516" w:type="pct"/>
            <w:vAlign w:val="center"/>
          </w:tcPr>
          <w:p w14:paraId="3EFEAF87" w14:textId="77777777" w:rsidR="00E15F18" w:rsidRPr="00995AB9" w:rsidRDefault="00E15F18" w:rsidP="0070471B">
            <w:pPr>
              <w:jc w:val="right"/>
              <w:rPr>
                <w:rFonts w:eastAsia="Calibri" w:cs="Times New Roman"/>
                <w:sz w:val="20"/>
              </w:rPr>
            </w:pPr>
            <w:r w:rsidRPr="00995AB9">
              <w:rPr>
                <w:rFonts w:eastAsia="Calibri" w:cs="Times New Roman"/>
                <w:sz w:val="20"/>
              </w:rPr>
              <w:t>36 445</w:t>
            </w:r>
          </w:p>
        </w:tc>
        <w:tc>
          <w:tcPr>
            <w:tcW w:w="515" w:type="pct"/>
            <w:vAlign w:val="center"/>
          </w:tcPr>
          <w:p w14:paraId="4BA09812" w14:textId="77777777" w:rsidR="00E15F18" w:rsidRPr="00995AB9" w:rsidRDefault="00E15F18" w:rsidP="0070471B">
            <w:pPr>
              <w:jc w:val="right"/>
              <w:rPr>
                <w:rFonts w:eastAsia="Calibri" w:cs="Times New Roman"/>
                <w:sz w:val="20"/>
              </w:rPr>
            </w:pPr>
            <w:r w:rsidRPr="00995AB9">
              <w:rPr>
                <w:rFonts w:eastAsia="Calibri" w:cs="Times New Roman"/>
                <w:sz w:val="20"/>
              </w:rPr>
              <w:t>117,4</w:t>
            </w:r>
          </w:p>
        </w:tc>
        <w:tc>
          <w:tcPr>
            <w:tcW w:w="586" w:type="pct"/>
            <w:vAlign w:val="center"/>
          </w:tcPr>
          <w:p w14:paraId="6AF6D60F" w14:textId="77777777" w:rsidR="00E15F18" w:rsidRPr="00995AB9" w:rsidRDefault="00E15F18" w:rsidP="0070471B">
            <w:pPr>
              <w:jc w:val="right"/>
              <w:rPr>
                <w:rFonts w:eastAsia="Calibri" w:cs="Times New Roman"/>
                <w:sz w:val="20"/>
              </w:rPr>
            </w:pPr>
            <w:r w:rsidRPr="00995AB9">
              <w:rPr>
                <w:rFonts w:eastAsia="Calibri" w:cs="Times New Roman"/>
                <w:sz w:val="20"/>
              </w:rPr>
              <w:t>9 976</w:t>
            </w:r>
          </w:p>
        </w:tc>
      </w:tr>
      <w:tr w:rsidR="00E15F18" w:rsidRPr="00995AB9" w14:paraId="5229F3D8" w14:textId="77777777" w:rsidTr="0070471B">
        <w:trPr>
          <w:trHeight w:val="255"/>
        </w:trPr>
        <w:tc>
          <w:tcPr>
            <w:tcW w:w="1619" w:type="pct"/>
            <w:vAlign w:val="center"/>
          </w:tcPr>
          <w:p w14:paraId="12D8F862" w14:textId="77777777" w:rsidR="00E15F18" w:rsidRPr="00995AB9" w:rsidRDefault="00E15F18" w:rsidP="0070471B">
            <w:pPr>
              <w:ind w:firstLine="176"/>
              <w:rPr>
                <w:rFonts w:eastAsia="Calibri" w:cs="Times New Roman"/>
                <w:sz w:val="20"/>
              </w:rPr>
            </w:pPr>
            <w:r w:rsidRPr="00995AB9">
              <w:rPr>
                <w:rFonts w:eastAsia="Calibri" w:cs="Times New Roman"/>
                <w:sz w:val="20"/>
              </w:rPr>
              <w:t>Daň z pridanej hodnoty</w:t>
            </w:r>
          </w:p>
        </w:tc>
        <w:tc>
          <w:tcPr>
            <w:tcW w:w="588" w:type="pct"/>
            <w:vAlign w:val="center"/>
          </w:tcPr>
          <w:p w14:paraId="28BD8917" w14:textId="77777777" w:rsidR="00E15F18" w:rsidRPr="00995AB9" w:rsidRDefault="00E15F18" w:rsidP="0070471B">
            <w:pPr>
              <w:jc w:val="right"/>
              <w:rPr>
                <w:rFonts w:eastAsia="Calibri" w:cs="Times New Roman"/>
                <w:sz w:val="20"/>
              </w:rPr>
            </w:pPr>
            <w:r w:rsidRPr="00995AB9">
              <w:rPr>
                <w:rFonts w:eastAsia="Calibri" w:cs="Times New Roman"/>
                <w:sz w:val="20"/>
              </w:rPr>
              <w:t>6 316 156</w:t>
            </w:r>
          </w:p>
        </w:tc>
        <w:tc>
          <w:tcPr>
            <w:tcW w:w="587" w:type="pct"/>
            <w:vAlign w:val="center"/>
          </w:tcPr>
          <w:p w14:paraId="0A4107C2" w14:textId="77777777" w:rsidR="00E15F18" w:rsidRPr="00995AB9" w:rsidRDefault="00E15F18" w:rsidP="0070471B">
            <w:pPr>
              <w:jc w:val="right"/>
              <w:rPr>
                <w:rFonts w:eastAsia="Calibri" w:cs="Times New Roman"/>
                <w:sz w:val="20"/>
              </w:rPr>
            </w:pPr>
            <w:r w:rsidRPr="00995AB9">
              <w:rPr>
                <w:rFonts w:eastAsia="Calibri" w:cs="Times New Roman"/>
                <w:sz w:val="20"/>
              </w:rPr>
              <w:t>6 663 664</w:t>
            </w:r>
          </w:p>
        </w:tc>
        <w:tc>
          <w:tcPr>
            <w:tcW w:w="588" w:type="pct"/>
            <w:vAlign w:val="center"/>
          </w:tcPr>
          <w:p w14:paraId="7BD34D21" w14:textId="77777777" w:rsidR="00E15F18" w:rsidRPr="00995AB9" w:rsidRDefault="00E15F18" w:rsidP="0070471B">
            <w:pPr>
              <w:jc w:val="right"/>
              <w:rPr>
                <w:rFonts w:eastAsia="Calibri" w:cs="Times New Roman"/>
                <w:sz w:val="20"/>
              </w:rPr>
            </w:pPr>
            <w:r w:rsidRPr="00995AB9">
              <w:rPr>
                <w:rFonts w:eastAsia="Calibri" w:cs="Times New Roman"/>
                <w:sz w:val="20"/>
              </w:rPr>
              <w:t>6 825 663</w:t>
            </w:r>
          </w:p>
        </w:tc>
        <w:tc>
          <w:tcPr>
            <w:tcW w:w="516" w:type="pct"/>
            <w:vAlign w:val="center"/>
          </w:tcPr>
          <w:p w14:paraId="7442D8E8" w14:textId="77777777" w:rsidR="00E15F18" w:rsidRPr="00995AB9" w:rsidRDefault="00E15F18" w:rsidP="0070471B">
            <w:pPr>
              <w:jc w:val="right"/>
              <w:rPr>
                <w:rFonts w:eastAsia="Calibri" w:cs="Times New Roman"/>
                <w:sz w:val="20"/>
              </w:rPr>
            </w:pPr>
            <w:r w:rsidRPr="00995AB9">
              <w:rPr>
                <w:rFonts w:eastAsia="Calibri" w:cs="Times New Roman"/>
                <w:sz w:val="20"/>
              </w:rPr>
              <w:t>509 507</w:t>
            </w:r>
          </w:p>
        </w:tc>
        <w:tc>
          <w:tcPr>
            <w:tcW w:w="515" w:type="pct"/>
            <w:vAlign w:val="center"/>
          </w:tcPr>
          <w:p w14:paraId="4388281A" w14:textId="77777777" w:rsidR="00E15F18" w:rsidRPr="00995AB9" w:rsidRDefault="00E15F18" w:rsidP="0070471B">
            <w:pPr>
              <w:jc w:val="right"/>
              <w:rPr>
                <w:rFonts w:eastAsia="Calibri" w:cs="Times New Roman"/>
                <w:sz w:val="20"/>
              </w:rPr>
            </w:pPr>
            <w:r w:rsidRPr="00995AB9">
              <w:rPr>
                <w:rFonts w:eastAsia="Calibri" w:cs="Times New Roman"/>
                <w:sz w:val="20"/>
              </w:rPr>
              <w:t>108,1</w:t>
            </w:r>
          </w:p>
        </w:tc>
        <w:tc>
          <w:tcPr>
            <w:tcW w:w="586" w:type="pct"/>
            <w:vAlign w:val="center"/>
          </w:tcPr>
          <w:p w14:paraId="597755F8" w14:textId="77777777" w:rsidR="00E15F18" w:rsidRPr="00995AB9" w:rsidRDefault="00E15F18" w:rsidP="0070471B">
            <w:pPr>
              <w:jc w:val="right"/>
              <w:rPr>
                <w:rFonts w:eastAsia="Calibri" w:cs="Times New Roman"/>
                <w:sz w:val="20"/>
              </w:rPr>
            </w:pPr>
            <w:r w:rsidRPr="00995AB9">
              <w:rPr>
                <w:rFonts w:eastAsia="Calibri" w:cs="Times New Roman"/>
                <w:sz w:val="20"/>
              </w:rPr>
              <w:t>161 999</w:t>
            </w:r>
          </w:p>
        </w:tc>
      </w:tr>
      <w:tr w:rsidR="00E15F18" w:rsidRPr="00995AB9" w14:paraId="727BDFDE" w14:textId="77777777" w:rsidTr="0070471B">
        <w:trPr>
          <w:trHeight w:val="255"/>
        </w:trPr>
        <w:tc>
          <w:tcPr>
            <w:tcW w:w="1619" w:type="pct"/>
            <w:vAlign w:val="center"/>
          </w:tcPr>
          <w:p w14:paraId="2E7C7CC3" w14:textId="77777777" w:rsidR="00E15F18" w:rsidRPr="00995AB9" w:rsidRDefault="00E15F18" w:rsidP="0070471B">
            <w:pPr>
              <w:ind w:firstLine="176"/>
              <w:rPr>
                <w:rFonts w:eastAsia="Calibri" w:cs="Times New Roman"/>
                <w:sz w:val="20"/>
              </w:rPr>
            </w:pPr>
            <w:r w:rsidRPr="00995AB9">
              <w:rPr>
                <w:rFonts w:eastAsia="Calibri" w:cs="Times New Roman"/>
                <w:sz w:val="20"/>
              </w:rPr>
              <w:t>Spotrebné dane</w:t>
            </w:r>
          </w:p>
        </w:tc>
        <w:tc>
          <w:tcPr>
            <w:tcW w:w="588" w:type="pct"/>
            <w:vAlign w:val="center"/>
          </w:tcPr>
          <w:p w14:paraId="78CB0FC4" w14:textId="77777777" w:rsidR="00E15F18" w:rsidRPr="00995AB9" w:rsidRDefault="00E15F18" w:rsidP="0070471B">
            <w:pPr>
              <w:jc w:val="right"/>
              <w:rPr>
                <w:rFonts w:eastAsia="Calibri" w:cs="Times New Roman"/>
                <w:sz w:val="20"/>
              </w:rPr>
            </w:pPr>
            <w:r w:rsidRPr="00995AB9">
              <w:rPr>
                <w:rFonts w:eastAsia="Calibri" w:cs="Times New Roman"/>
                <w:sz w:val="20"/>
              </w:rPr>
              <w:t>2 315 349</w:t>
            </w:r>
          </w:p>
        </w:tc>
        <w:tc>
          <w:tcPr>
            <w:tcW w:w="587" w:type="pct"/>
            <w:vAlign w:val="center"/>
          </w:tcPr>
          <w:p w14:paraId="2128C49F" w14:textId="77777777" w:rsidR="00E15F18" w:rsidRPr="00995AB9" w:rsidRDefault="00E15F18" w:rsidP="0070471B">
            <w:pPr>
              <w:jc w:val="right"/>
              <w:rPr>
                <w:rFonts w:eastAsia="Calibri" w:cs="Times New Roman"/>
                <w:sz w:val="20"/>
              </w:rPr>
            </w:pPr>
            <w:r w:rsidRPr="00995AB9">
              <w:rPr>
                <w:rFonts w:eastAsia="Calibri" w:cs="Times New Roman"/>
                <w:sz w:val="20"/>
              </w:rPr>
              <w:t>2 426 425</w:t>
            </w:r>
          </w:p>
        </w:tc>
        <w:tc>
          <w:tcPr>
            <w:tcW w:w="588" w:type="pct"/>
            <w:vAlign w:val="center"/>
          </w:tcPr>
          <w:p w14:paraId="340BC953" w14:textId="77777777" w:rsidR="00E15F18" w:rsidRPr="00995AB9" w:rsidRDefault="00E15F18" w:rsidP="0070471B">
            <w:pPr>
              <w:jc w:val="right"/>
              <w:rPr>
                <w:rFonts w:eastAsia="Calibri" w:cs="Times New Roman"/>
                <w:sz w:val="20"/>
              </w:rPr>
            </w:pPr>
            <w:r w:rsidRPr="00995AB9">
              <w:rPr>
                <w:rFonts w:eastAsia="Calibri" w:cs="Times New Roman"/>
                <w:sz w:val="20"/>
              </w:rPr>
              <w:t>2 373 261</w:t>
            </w:r>
          </w:p>
        </w:tc>
        <w:tc>
          <w:tcPr>
            <w:tcW w:w="516" w:type="pct"/>
            <w:vAlign w:val="center"/>
          </w:tcPr>
          <w:p w14:paraId="43374C85" w14:textId="77777777" w:rsidR="00E15F18" w:rsidRPr="00995AB9" w:rsidRDefault="00E15F18" w:rsidP="0070471B">
            <w:pPr>
              <w:jc w:val="right"/>
              <w:rPr>
                <w:rFonts w:eastAsia="Calibri" w:cs="Times New Roman"/>
                <w:sz w:val="20"/>
              </w:rPr>
            </w:pPr>
            <w:r w:rsidRPr="00995AB9">
              <w:rPr>
                <w:rFonts w:eastAsia="Calibri" w:cs="Times New Roman"/>
                <w:sz w:val="20"/>
              </w:rPr>
              <w:t>57 912</w:t>
            </w:r>
          </w:p>
        </w:tc>
        <w:tc>
          <w:tcPr>
            <w:tcW w:w="515" w:type="pct"/>
            <w:vAlign w:val="center"/>
          </w:tcPr>
          <w:p w14:paraId="3B7F5C37" w14:textId="77777777" w:rsidR="00E15F18" w:rsidRPr="00995AB9" w:rsidRDefault="00E15F18" w:rsidP="0070471B">
            <w:pPr>
              <w:jc w:val="right"/>
              <w:rPr>
                <w:rFonts w:eastAsia="Calibri" w:cs="Times New Roman"/>
                <w:sz w:val="20"/>
              </w:rPr>
            </w:pPr>
            <w:r w:rsidRPr="00995AB9">
              <w:rPr>
                <w:rFonts w:eastAsia="Calibri" w:cs="Times New Roman"/>
                <w:sz w:val="20"/>
              </w:rPr>
              <w:t>102,5</w:t>
            </w:r>
          </w:p>
        </w:tc>
        <w:tc>
          <w:tcPr>
            <w:tcW w:w="586" w:type="pct"/>
            <w:vAlign w:val="center"/>
          </w:tcPr>
          <w:p w14:paraId="200171EA" w14:textId="77777777" w:rsidR="00E15F18" w:rsidRPr="00995AB9" w:rsidRDefault="00E15F18" w:rsidP="0070471B">
            <w:pPr>
              <w:jc w:val="right"/>
              <w:rPr>
                <w:rFonts w:eastAsia="Calibri" w:cs="Times New Roman"/>
                <w:sz w:val="20"/>
              </w:rPr>
            </w:pPr>
            <w:r w:rsidRPr="00995AB9">
              <w:rPr>
                <w:rFonts w:eastAsia="Calibri" w:cs="Times New Roman"/>
                <w:sz w:val="20"/>
              </w:rPr>
              <w:t>-53 164</w:t>
            </w:r>
          </w:p>
        </w:tc>
      </w:tr>
      <w:tr w:rsidR="00E15F18" w:rsidRPr="00995AB9" w14:paraId="7A9EDCD8" w14:textId="77777777" w:rsidTr="0070471B">
        <w:trPr>
          <w:trHeight w:val="255"/>
        </w:trPr>
        <w:tc>
          <w:tcPr>
            <w:tcW w:w="1619" w:type="pct"/>
            <w:vAlign w:val="center"/>
          </w:tcPr>
          <w:p w14:paraId="15483AE4" w14:textId="77777777" w:rsidR="00E15F18" w:rsidRPr="00995AB9" w:rsidRDefault="00E15F18" w:rsidP="0070471B">
            <w:pPr>
              <w:ind w:firstLine="459"/>
              <w:rPr>
                <w:rFonts w:eastAsia="Calibri" w:cs="Times New Roman"/>
                <w:sz w:val="20"/>
              </w:rPr>
            </w:pPr>
            <w:r w:rsidRPr="00995AB9">
              <w:rPr>
                <w:rFonts w:eastAsia="Calibri" w:cs="Times New Roman"/>
                <w:sz w:val="20"/>
              </w:rPr>
              <w:t>Z minerálnych olejov</w:t>
            </w:r>
          </w:p>
        </w:tc>
        <w:tc>
          <w:tcPr>
            <w:tcW w:w="588" w:type="pct"/>
            <w:vAlign w:val="center"/>
          </w:tcPr>
          <w:p w14:paraId="0F07FE65" w14:textId="77777777" w:rsidR="00E15F18" w:rsidRPr="00995AB9" w:rsidRDefault="00E15F18" w:rsidP="0070471B">
            <w:pPr>
              <w:jc w:val="right"/>
              <w:rPr>
                <w:rFonts w:eastAsia="Calibri" w:cs="Times New Roman"/>
                <w:sz w:val="20"/>
              </w:rPr>
            </w:pPr>
            <w:r w:rsidRPr="00995AB9">
              <w:rPr>
                <w:rFonts w:eastAsia="Calibri" w:cs="Times New Roman"/>
                <w:sz w:val="20"/>
              </w:rPr>
              <w:t>1 266 853</w:t>
            </w:r>
          </w:p>
        </w:tc>
        <w:tc>
          <w:tcPr>
            <w:tcW w:w="587" w:type="pct"/>
            <w:vAlign w:val="center"/>
          </w:tcPr>
          <w:p w14:paraId="40B719B2" w14:textId="77777777" w:rsidR="00E15F18" w:rsidRPr="00995AB9" w:rsidRDefault="00E15F18" w:rsidP="0070471B">
            <w:pPr>
              <w:jc w:val="right"/>
              <w:rPr>
                <w:rFonts w:eastAsia="Calibri" w:cs="Times New Roman"/>
                <w:sz w:val="20"/>
              </w:rPr>
            </w:pPr>
            <w:r w:rsidRPr="00995AB9">
              <w:rPr>
                <w:rFonts w:eastAsia="Calibri" w:cs="Times New Roman"/>
                <w:sz w:val="20"/>
              </w:rPr>
              <w:t>1 337 220</w:t>
            </w:r>
          </w:p>
        </w:tc>
        <w:tc>
          <w:tcPr>
            <w:tcW w:w="588" w:type="pct"/>
            <w:vAlign w:val="center"/>
          </w:tcPr>
          <w:p w14:paraId="4B61938F" w14:textId="77777777" w:rsidR="00E15F18" w:rsidRPr="00995AB9" w:rsidRDefault="00E15F18" w:rsidP="0070471B">
            <w:pPr>
              <w:jc w:val="right"/>
              <w:rPr>
                <w:rFonts w:eastAsia="Calibri" w:cs="Times New Roman"/>
                <w:sz w:val="20"/>
              </w:rPr>
            </w:pPr>
            <w:r w:rsidRPr="00995AB9">
              <w:rPr>
                <w:rFonts w:eastAsia="Calibri" w:cs="Times New Roman"/>
                <w:sz w:val="20"/>
              </w:rPr>
              <w:t>1 288 894</w:t>
            </w:r>
          </w:p>
        </w:tc>
        <w:tc>
          <w:tcPr>
            <w:tcW w:w="516" w:type="pct"/>
            <w:vAlign w:val="center"/>
          </w:tcPr>
          <w:p w14:paraId="7966C33E" w14:textId="77777777" w:rsidR="00E15F18" w:rsidRPr="00995AB9" w:rsidRDefault="00E15F18" w:rsidP="0070471B">
            <w:pPr>
              <w:jc w:val="right"/>
              <w:rPr>
                <w:rFonts w:eastAsia="Calibri" w:cs="Times New Roman"/>
                <w:sz w:val="20"/>
              </w:rPr>
            </w:pPr>
            <w:r w:rsidRPr="00995AB9">
              <w:rPr>
                <w:rFonts w:eastAsia="Calibri" w:cs="Times New Roman"/>
                <w:sz w:val="20"/>
              </w:rPr>
              <w:t>22 041</w:t>
            </w:r>
          </w:p>
        </w:tc>
        <w:tc>
          <w:tcPr>
            <w:tcW w:w="515" w:type="pct"/>
            <w:vAlign w:val="center"/>
          </w:tcPr>
          <w:p w14:paraId="765D09BF" w14:textId="77777777" w:rsidR="00E15F18" w:rsidRPr="00995AB9" w:rsidRDefault="00E15F18" w:rsidP="0070471B">
            <w:pPr>
              <w:jc w:val="right"/>
              <w:rPr>
                <w:rFonts w:eastAsia="Calibri" w:cs="Times New Roman"/>
                <w:sz w:val="20"/>
              </w:rPr>
            </w:pPr>
            <w:r w:rsidRPr="00995AB9">
              <w:rPr>
                <w:rFonts w:eastAsia="Calibri" w:cs="Times New Roman"/>
                <w:sz w:val="20"/>
              </w:rPr>
              <w:t>101,7</w:t>
            </w:r>
          </w:p>
        </w:tc>
        <w:tc>
          <w:tcPr>
            <w:tcW w:w="586" w:type="pct"/>
            <w:vAlign w:val="center"/>
          </w:tcPr>
          <w:p w14:paraId="6A4BD7B3" w14:textId="77777777" w:rsidR="00E15F18" w:rsidRPr="00995AB9" w:rsidRDefault="00E15F18" w:rsidP="0070471B">
            <w:pPr>
              <w:jc w:val="right"/>
              <w:rPr>
                <w:rFonts w:eastAsia="Calibri" w:cs="Times New Roman"/>
                <w:sz w:val="20"/>
              </w:rPr>
            </w:pPr>
            <w:r w:rsidRPr="00995AB9">
              <w:rPr>
                <w:rFonts w:eastAsia="Calibri" w:cs="Times New Roman"/>
                <w:sz w:val="20"/>
              </w:rPr>
              <w:t>-48 326</w:t>
            </w:r>
          </w:p>
        </w:tc>
      </w:tr>
      <w:tr w:rsidR="00E15F18" w:rsidRPr="00995AB9" w14:paraId="7E7C9EBD" w14:textId="77777777" w:rsidTr="0070471B">
        <w:trPr>
          <w:trHeight w:val="255"/>
        </w:trPr>
        <w:tc>
          <w:tcPr>
            <w:tcW w:w="1619" w:type="pct"/>
            <w:vAlign w:val="center"/>
          </w:tcPr>
          <w:p w14:paraId="3B8B3D1C" w14:textId="77777777" w:rsidR="00E15F18" w:rsidRPr="00995AB9" w:rsidRDefault="00E15F18" w:rsidP="0070471B">
            <w:pPr>
              <w:ind w:firstLine="459"/>
              <w:rPr>
                <w:rFonts w:eastAsia="Calibri" w:cs="Times New Roman"/>
                <w:sz w:val="20"/>
              </w:rPr>
            </w:pPr>
            <w:r w:rsidRPr="00995AB9">
              <w:rPr>
                <w:rFonts w:eastAsia="Calibri" w:cs="Times New Roman"/>
                <w:sz w:val="20"/>
              </w:rPr>
              <w:t>Z tabaku a tabakových výrobkov</w:t>
            </w:r>
          </w:p>
        </w:tc>
        <w:tc>
          <w:tcPr>
            <w:tcW w:w="588" w:type="pct"/>
            <w:vAlign w:val="center"/>
          </w:tcPr>
          <w:p w14:paraId="67B431B6" w14:textId="77777777" w:rsidR="00E15F18" w:rsidRPr="00995AB9" w:rsidRDefault="00E15F18" w:rsidP="0070471B">
            <w:pPr>
              <w:jc w:val="right"/>
              <w:rPr>
                <w:rFonts w:eastAsia="Calibri" w:cs="Times New Roman"/>
                <w:sz w:val="20"/>
              </w:rPr>
            </w:pPr>
            <w:r w:rsidRPr="00995AB9">
              <w:rPr>
                <w:rFonts w:eastAsia="Calibri" w:cs="Times New Roman"/>
                <w:sz w:val="20"/>
              </w:rPr>
              <w:t>727 645</w:t>
            </w:r>
          </w:p>
        </w:tc>
        <w:tc>
          <w:tcPr>
            <w:tcW w:w="587" w:type="pct"/>
            <w:vAlign w:val="center"/>
          </w:tcPr>
          <w:p w14:paraId="06E40B75" w14:textId="77777777" w:rsidR="00E15F18" w:rsidRPr="00995AB9" w:rsidRDefault="00E15F18" w:rsidP="0070471B">
            <w:pPr>
              <w:jc w:val="right"/>
              <w:rPr>
                <w:rFonts w:eastAsia="Calibri" w:cs="Times New Roman"/>
                <w:sz w:val="20"/>
              </w:rPr>
            </w:pPr>
            <w:r w:rsidRPr="00995AB9">
              <w:rPr>
                <w:rFonts w:eastAsia="Calibri" w:cs="Times New Roman"/>
                <w:sz w:val="20"/>
              </w:rPr>
              <w:t>765 590</w:t>
            </w:r>
          </w:p>
        </w:tc>
        <w:tc>
          <w:tcPr>
            <w:tcW w:w="588" w:type="pct"/>
            <w:vAlign w:val="center"/>
          </w:tcPr>
          <w:p w14:paraId="7598300A" w14:textId="77777777" w:rsidR="00E15F18" w:rsidRPr="00995AB9" w:rsidRDefault="00E15F18" w:rsidP="0070471B">
            <w:pPr>
              <w:jc w:val="right"/>
              <w:rPr>
                <w:rFonts w:eastAsia="Calibri" w:cs="Times New Roman"/>
                <w:sz w:val="20"/>
              </w:rPr>
            </w:pPr>
            <w:r w:rsidRPr="00995AB9">
              <w:rPr>
                <w:rFonts w:eastAsia="Calibri" w:cs="Times New Roman"/>
                <w:sz w:val="20"/>
              </w:rPr>
              <w:t>766 577</w:t>
            </w:r>
          </w:p>
        </w:tc>
        <w:tc>
          <w:tcPr>
            <w:tcW w:w="516" w:type="pct"/>
            <w:vAlign w:val="center"/>
          </w:tcPr>
          <w:p w14:paraId="6A77D3BC" w14:textId="77777777" w:rsidR="00E15F18" w:rsidRPr="00995AB9" w:rsidRDefault="00E15F18" w:rsidP="0070471B">
            <w:pPr>
              <w:jc w:val="right"/>
              <w:rPr>
                <w:rFonts w:eastAsia="Calibri" w:cs="Times New Roman"/>
                <w:sz w:val="20"/>
              </w:rPr>
            </w:pPr>
            <w:r w:rsidRPr="00995AB9">
              <w:rPr>
                <w:rFonts w:eastAsia="Calibri" w:cs="Times New Roman"/>
                <w:sz w:val="20"/>
              </w:rPr>
              <w:t>38 932</w:t>
            </w:r>
          </w:p>
        </w:tc>
        <w:tc>
          <w:tcPr>
            <w:tcW w:w="515" w:type="pct"/>
            <w:vAlign w:val="center"/>
          </w:tcPr>
          <w:p w14:paraId="1202C6EA" w14:textId="77777777" w:rsidR="00E15F18" w:rsidRPr="00995AB9" w:rsidRDefault="00E15F18" w:rsidP="0070471B">
            <w:pPr>
              <w:jc w:val="right"/>
              <w:rPr>
                <w:rFonts w:eastAsia="Calibri" w:cs="Times New Roman"/>
                <w:sz w:val="20"/>
              </w:rPr>
            </w:pPr>
            <w:r w:rsidRPr="00995AB9">
              <w:rPr>
                <w:rFonts w:eastAsia="Calibri" w:cs="Times New Roman"/>
                <w:sz w:val="20"/>
              </w:rPr>
              <w:t>105,4</w:t>
            </w:r>
          </w:p>
        </w:tc>
        <w:tc>
          <w:tcPr>
            <w:tcW w:w="586" w:type="pct"/>
            <w:vAlign w:val="center"/>
          </w:tcPr>
          <w:p w14:paraId="0F95BCE7" w14:textId="77777777" w:rsidR="00E15F18" w:rsidRPr="00995AB9" w:rsidRDefault="00E15F18" w:rsidP="0070471B">
            <w:pPr>
              <w:jc w:val="right"/>
              <w:rPr>
                <w:rFonts w:eastAsia="Calibri" w:cs="Times New Roman"/>
                <w:sz w:val="20"/>
              </w:rPr>
            </w:pPr>
            <w:r w:rsidRPr="00995AB9">
              <w:rPr>
                <w:rFonts w:eastAsia="Calibri" w:cs="Times New Roman"/>
                <w:sz w:val="20"/>
              </w:rPr>
              <w:t>987</w:t>
            </w:r>
          </w:p>
        </w:tc>
      </w:tr>
      <w:tr w:rsidR="00E15F18" w:rsidRPr="00995AB9" w14:paraId="48DC214E" w14:textId="77777777" w:rsidTr="0070471B">
        <w:trPr>
          <w:trHeight w:val="255"/>
        </w:trPr>
        <w:tc>
          <w:tcPr>
            <w:tcW w:w="1619" w:type="pct"/>
            <w:vAlign w:val="center"/>
          </w:tcPr>
          <w:p w14:paraId="0DE2BB0A" w14:textId="77777777" w:rsidR="00E15F18" w:rsidRPr="00995AB9" w:rsidRDefault="00E15F18" w:rsidP="0070471B">
            <w:pPr>
              <w:ind w:firstLine="176"/>
              <w:rPr>
                <w:rFonts w:eastAsia="Calibri" w:cs="Times New Roman"/>
                <w:sz w:val="20"/>
              </w:rPr>
            </w:pPr>
            <w:r w:rsidRPr="00995AB9">
              <w:rPr>
                <w:rFonts w:eastAsia="Calibri" w:cs="Times New Roman"/>
                <w:sz w:val="20"/>
              </w:rPr>
              <w:t>Dane z majetku (nehnuteľnosti)</w:t>
            </w:r>
          </w:p>
        </w:tc>
        <w:tc>
          <w:tcPr>
            <w:tcW w:w="588" w:type="pct"/>
            <w:vAlign w:val="center"/>
          </w:tcPr>
          <w:p w14:paraId="4E2E2435" w14:textId="77777777" w:rsidR="00E15F18" w:rsidRPr="00995AB9" w:rsidRDefault="00E15F18" w:rsidP="0070471B">
            <w:pPr>
              <w:jc w:val="right"/>
              <w:rPr>
                <w:rFonts w:eastAsia="Calibri" w:cs="Times New Roman"/>
                <w:sz w:val="20"/>
              </w:rPr>
            </w:pPr>
            <w:r w:rsidRPr="00995AB9">
              <w:rPr>
                <w:rFonts w:eastAsia="Calibri" w:cs="Times New Roman"/>
                <w:sz w:val="20"/>
              </w:rPr>
              <w:t>354 944</w:t>
            </w:r>
          </w:p>
        </w:tc>
        <w:tc>
          <w:tcPr>
            <w:tcW w:w="587" w:type="pct"/>
            <w:vAlign w:val="center"/>
          </w:tcPr>
          <w:p w14:paraId="5B2FDA39" w14:textId="77777777" w:rsidR="00E15F18" w:rsidRPr="00995AB9" w:rsidRDefault="00E15F18" w:rsidP="0070471B">
            <w:pPr>
              <w:jc w:val="right"/>
              <w:rPr>
                <w:rFonts w:eastAsia="Calibri" w:cs="Times New Roman"/>
                <w:sz w:val="20"/>
              </w:rPr>
            </w:pPr>
            <w:r w:rsidRPr="00995AB9">
              <w:rPr>
                <w:rFonts w:eastAsia="Calibri" w:cs="Times New Roman"/>
                <w:sz w:val="20"/>
              </w:rPr>
              <w:t>358 985</w:t>
            </w:r>
          </w:p>
        </w:tc>
        <w:tc>
          <w:tcPr>
            <w:tcW w:w="588" w:type="pct"/>
            <w:vAlign w:val="center"/>
          </w:tcPr>
          <w:p w14:paraId="55D395CC" w14:textId="77777777" w:rsidR="00E15F18" w:rsidRPr="00995AB9" w:rsidRDefault="00E15F18" w:rsidP="0070471B">
            <w:pPr>
              <w:jc w:val="right"/>
              <w:rPr>
                <w:rFonts w:eastAsia="Calibri" w:cs="Times New Roman"/>
                <w:sz w:val="20"/>
              </w:rPr>
            </w:pPr>
            <w:r w:rsidRPr="00995AB9">
              <w:rPr>
                <w:rFonts w:eastAsia="Calibri" w:cs="Times New Roman"/>
                <w:sz w:val="20"/>
              </w:rPr>
              <w:t>364 823</w:t>
            </w:r>
          </w:p>
        </w:tc>
        <w:tc>
          <w:tcPr>
            <w:tcW w:w="516" w:type="pct"/>
            <w:vAlign w:val="center"/>
          </w:tcPr>
          <w:p w14:paraId="31268BD3" w14:textId="77777777" w:rsidR="00E15F18" w:rsidRPr="00995AB9" w:rsidRDefault="00E15F18" w:rsidP="0070471B">
            <w:pPr>
              <w:jc w:val="right"/>
              <w:rPr>
                <w:rFonts w:eastAsia="Calibri" w:cs="Times New Roman"/>
                <w:sz w:val="20"/>
              </w:rPr>
            </w:pPr>
            <w:r w:rsidRPr="00995AB9">
              <w:rPr>
                <w:rFonts w:eastAsia="Calibri" w:cs="Times New Roman"/>
                <w:sz w:val="20"/>
              </w:rPr>
              <w:t>9 879</w:t>
            </w:r>
          </w:p>
        </w:tc>
        <w:tc>
          <w:tcPr>
            <w:tcW w:w="515" w:type="pct"/>
            <w:vAlign w:val="center"/>
          </w:tcPr>
          <w:p w14:paraId="2ECEF9E4" w14:textId="77777777" w:rsidR="00E15F18" w:rsidRPr="00995AB9" w:rsidRDefault="00E15F18" w:rsidP="0070471B">
            <w:pPr>
              <w:jc w:val="right"/>
              <w:rPr>
                <w:rFonts w:eastAsia="Calibri" w:cs="Times New Roman"/>
                <w:sz w:val="20"/>
              </w:rPr>
            </w:pPr>
            <w:r w:rsidRPr="00995AB9">
              <w:rPr>
                <w:rFonts w:eastAsia="Calibri" w:cs="Times New Roman"/>
                <w:sz w:val="20"/>
              </w:rPr>
              <w:t>102,8</w:t>
            </w:r>
          </w:p>
        </w:tc>
        <w:tc>
          <w:tcPr>
            <w:tcW w:w="586" w:type="pct"/>
            <w:vAlign w:val="center"/>
          </w:tcPr>
          <w:p w14:paraId="55556A4E" w14:textId="77777777" w:rsidR="00E15F18" w:rsidRPr="00995AB9" w:rsidRDefault="00E15F18" w:rsidP="0070471B">
            <w:pPr>
              <w:jc w:val="right"/>
              <w:rPr>
                <w:rFonts w:eastAsia="Calibri" w:cs="Times New Roman"/>
                <w:sz w:val="20"/>
              </w:rPr>
            </w:pPr>
            <w:r w:rsidRPr="00995AB9">
              <w:rPr>
                <w:rFonts w:eastAsia="Calibri" w:cs="Times New Roman"/>
                <w:sz w:val="20"/>
              </w:rPr>
              <w:t>5 838</w:t>
            </w:r>
          </w:p>
        </w:tc>
      </w:tr>
      <w:tr w:rsidR="00E15F18" w:rsidRPr="00995AB9" w14:paraId="003C86A8" w14:textId="77777777" w:rsidTr="0070471B">
        <w:trPr>
          <w:trHeight w:val="255"/>
        </w:trPr>
        <w:tc>
          <w:tcPr>
            <w:tcW w:w="1619" w:type="pct"/>
            <w:vAlign w:val="center"/>
          </w:tcPr>
          <w:p w14:paraId="3FF6878D" w14:textId="77777777" w:rsidR="00E15F18" w:rsidRPr="00995AB9" w:rsidRDefault="00E15F18" w:rsidP="0070471B">
            <w:pPr>
              <w:ind w:firstLine="176"/>
              <w:rPr>
                <w:rFonts w:eastAsia="Calibri" w:cs="Times New Roman"/>
                <w:sz w:val="20"/>
              </w:rPr>
            </w:pPr>
            <w:r w:rsidRPr="00995AB9">
              <w:rPr>
                <w:rFonts w:eastAsia="Calibri" w:cs="Times New Roman"/>
                <w:sz w:val="20"/>
              </w:rPr>
              <w:t>Dane z medzinárodného obchodu</w:t>
            </w:r>
          </w:p>
        </w:tc>
        <w:tc>
          <w:tcPr>
            <w:tcW w:w="588" w:type="pct"/>
            <w:vAlign w:val="center"/>
          </w:tcPr>
          <w:p w14:paraId="6FBAFA5F" w14:textId="77777777" w:rsidR="00E15F18" w:rsidRPr="00995AB9" w:rsidRDefault="00E15F18" w:rsidP="0070471B">
            <w:pPr>
              <w:jc w:val="right"/>
              <w:rPr>
                <w:rFonts w:eastAsia="Calibri" w:cs="Times New Roman"/>
                <w:sz w:val="20"/>
              </w:rPr>
            </w:pPr>
            <w:r w:rsidRPr="00995AB9">
              <w:rPr>
                <w:rFonts w:eastAsia="Calibri" w:cs="Times New Roman"/>
                <w:sz w:val="20"/>
              </w:rPr>
              <w:t>23 365</w:t>
            </w:r>
          </w:p>
        </w:tc>
        <w:tc>
          <w:tcPr>
            <w:tcW w:w="587" w:type="pct"/>
            <w:vAlign w:val="center"/>
          </w:tcPr>
          <w:p w14:paraId="7323F9A8" w14:textId="77777777" w:rsidR="00E15F18" w:rsidRPr="00995AB9" w:rsidRDefault="00E15F18" w:rsidP="0070471B">
            <w:pPr>
              <w:jc w:val="right"/>
              <w:rPr>
                <w:rFonts w:eastAsia="Calibri" w:cs="Times New Roman"/>
                <w:sz w:val="20"/>
              </w:rPr>
            </w:pPr>
            <w:r w:rsidRPr="00995AB9">
              <w:rPr>
                <w:rFonts w:eastAsia="Calibri" w:cs="Times New Roman"/>
                <w:sz w:val="20"/>
              </w:rPr>
              <w:t>21 517</w:t>
            </w:r>
          </w:p>
        </w:tc>
        <w:tc>
          <w:tcPr>
            <w:tcW w:w="588" w:type="pct"/>
            <w:vAlign w:val="center"/>
          </w:tcPr>
          <w:p w14:paraId="462D98A5" w14:textId="77777777" w:rsidR="00E15F18" w:rsidRPr="00995AB9" w:rsidRDefault="00E15F18" w:rsidP="0070471B">
            <w:pPr>
              <w:jc w:val="right"/>
              <w:rPr>
                <w:rFonts w:eastAsia="Calibri" w:cs="Times New Roman"/>
                <w:sz w:val="20"/>
              </w:rPr>
            </w:pPr>
            <w:r w:rsidRPr="00995AB9">
              <w:rPr>
                <w:rFonts w:eastAsia="Calibri" w:cs="Times New Roman"/>
                <w:sz w:val="20"/>
              </w:rPr>
              <w:t>21 079</w:t>
            </w:r>
          </w:p>
        </w:tc>
        <w:tc>
          <w:tcPr>
            <w:tcW w:w="516" w:type="pct"/>
            <w:vAlign w:val="center"/>
          </w:tcPr>
          <w:p w14:paraId="5E45BA19" w14:textId="77777777" w:rsidR="00E15F18" w:rsidRPr="00995AB9" w:rsidRDefault="00E15F18" w:rsidP="0070471B">
            <w:pPr>
              <w:jc w:val="right"/>
              <w:rPr>
                <w:rFonts w:eastAsia="Calibri" w:cs="Times New Roman"/>
                <w:sz w:val="20"/>
              </w:rPr>
            </w:pPr>
            <w:r w:rsidRPr="00995AB9">
              <w:rPr>
                <w:rFonts w:eastAsia="Calibri" w:cs="Times New Roman"/>
                <w:sz w:val="20"/>
              </w:rPr>
              <w:t>-2 286</w:t>
            </w:r>
          </w:p>
        </w:tc>
        <w:tc>
          <w:tcPr>
            <w:tcW w:w="515" w:type="pct"/>
            <w:vAlign w:val="center"/>
          </w:tcPr>
          <w:p w14:paraId="340127DA" w14:textId="77777777" w:rsidR="00E15F18" w:rsidRPr="00995AB9" w:rsidRDefault="00E15F18" w:rsidP="0070471B">
            <w:pPr>
              <w:jc w:val="right"/>
              <w:rPr>
                <w:rFonts w:eastAsia="Calibri" w:cs="Times New Roman"/>
                <w:sz w:val="20"/>
              </w:rPr>
            </w:pPr>
            <w:r w:rsidRPr="00995AB9">
              <w:rPr>
                <w:rFonts w:eastAsia="Calibri" w:cs="Times New Roman"/>
                <w:sz w:val="20"/>
              </w:rPr>
              <w:t>90,2</w:t>
            </w:r>
          </w:p>
        </w:tc>
        <w:tc>
          <w:tcPr>
            <w:tcW w:w="586" w:type="pct"/>
            <w:vAlign w:val="center"/>
          </w:tcPr>
          <w:p w14:paraId="2B6296B6" w14:textId="77777777" w:rsidR="00E15F18" w:rsidRPr="00995AB9" w:rsidRDefault="00E15F18" w:rsidP="0070471B">
            <w:pPr>
              <w:jc w:val="right"/>
              <w:rPr>
                <w:rFonts w:eastAsia="Calibri" w:cs="Times New Roman"/>
                <w:sz w:val="20"/>
              </w:rPr>
            </w:pPr>
            <w:r w:rsidRPr="00995AB9">
              <w:rPr>
                <w:rFonts w:eastAsia="Calibri" w:cs="Times New Roman"/>
                <w:sz w:val="20"/>
              </w:rPr>
              <w:t>-438</w:t>
            </w:r>
          </w:p>
        </w:tc>
      </w:tr>
      <w:tr w:rsidR="00E15F18" w:rsidRPr="00995AB9" w14:paraId="09188DA9" w14:textId="77777777" w:rsidTr="0070471B">
        <w:trPr>
          <w:trHeight w:val="255"/>
        </w:trPr>
        <w:tc>
          <w:tcPr>
            <w:tcW w:w="1619" w:type="pct"/>
            <w:vAlign w:val="center"/>
          </w:tcPr>
          <w:p w14:paraId="2D0699E6" w14:textId="77777777" w:rsidR="00E15F18" w:rsidRPr="00995AB9" w:rsidRDefault="00E15F18" w:rsidP="0070471B">
            <w:pPr>
              <w:ind w:firstLine="176"/>
              <w:rPr>
                <w:rFonts w:eastAsia="Calibri" w:cs="Times New Roman"/>
                <w:sz w:val="20"/>
              </w:rPr>
            </w:pPr>
            <w:r w:rsidRPr="00995AB9">
              <w:rPr>
                <w:rFonts w:eastAsia="Calibri" w:cs="Times New Roman"/>
                <w:sz w:val="20"/>
              </w:rPr>
              <w:t>Ostatné dane a poplatky</w:t>
            </w:r>
          </w:p>
        </w:tc>
        <w:tc>
          <w:tcPr>
            <w:tcW w:w="588" w:type="pct"/>
            <w:vAlign w:val="center"/>
          </w:tcPr>
          <w:p w14:paraId="714ACF3D" w14:textId="77777777" w:rsidR="00E15F18" w:rsidRPr="00995AB9" w:rsidRDefault="00E15F18" w:rsidP="0070471B">
            <w:pPr>
              <w:jc w:val="right"/>
              <w:rPr>
                <w:rFonts w:eastAsia="Calibri" w:cs="Times New Roman"/>
                <w:sz w:val="20"/>
              </w:rPr>
            </w:pPr>
            <w:r w:rsidRPr="00995AB9">
              <w:rPr>
                <w:rFonts w:eastAsia="Calibri" w:cs="Times New Roman"/>
                <w:sz w:val="20"/>
              </w:rPr>
              <w:t>587 210</w:t>
            </w:r>
          </w:p>
        </w:tc>
        <w:tc>
          <w:tcPr>
            <w:tcW w:w="587" w:type="pct"/>
            <w:vAlign w:val="center"/>
          </w:tcPr>
          <w:p w14:paraId="5DFD58B6" w14:textId="77777777" w:rsidR="00E15F18" w:rsidRPr="00995AB9" w:rsidRDefault="00E15F18" w:rsidP="0070471B">
            <w:pPr>
              <w:jc w:val="right"/>
              <w:rPr>
                <w:rFonts w:eastAsia="Calibri" w:cs="Times New Roman"/>
                <w:sz w:val="20"/>
              </w:rPr>
            </w:pPr>
            <w:r w:rsidRPr="00995AB9">
              <w:rPr>
                <w:rFonts w:eastAsia="Calibri" w:cs="Times New Roman"/>
                <w:sz w:val="20"/>
              </w:rPr>
              <w:t>1 105 975</w:t>
            </w:r>
          </w:p>
        </w:tc>
        <w:tc>
          <w:tcPr>
            <w:tcW w:w="588" w:type="pct"/>
            <w:vAlign w:val="center"/>
          </w:tcPr>
          <w:p w14:paraId="5B411A34" w14:textId="77777777" w:rsidR="00E15F18" w:rsidRPr="00995AB9" w:rsidRDefault="00E15F18" w:rsidP="0070471B">
            <w:pPr>
              <w:jc w:val="right"/>
              <w:rPr>
                <w:rFonts w:eastAsia="Calibri" w:cs="Times New Roman"/>
                <w:sz w:val="20"/>
              </w:rPr>
            </w:pPr>
            <w:r w:rsidRPr="00995AB9">
              <w:rPr>
                <w:rFonts w:eastAsia="Calibri" w:cs="Times New Roman"/>
                <w:sz w:val="20"/>
              </w:rPr>
              <w:t>846 531</w:t>
            </w:r>
          </w:p>
        </w:tc>
        <w:tc>
          <w:tcPr>
            <w:tcW w:w="516" w:type="pct"/>
            <w:vAlign w:val="center"/>
          </w:tcPr>
          <w:p w14:paraId="6B971FCB" w14:textId="77777777" w:rsidR="00E15F18" w:rsidRPr="00995AB9" w:rsidRDefault="00E15F18" w:rsidP="0070471B">
            <w:pPr>
              <w:jc w:val="right"/>
              <w:rPr>
                <w:rFonts w:eastAsia="Calibri" w:cs="Times New Roman"/>
                <w:sz w:val="20"/>
              </w:rPr>
            </w:pPr>
            <w:r w:rsidRPr="00995AB9">
              <w:rPr>
                <w:rFonts w:eastAsia="Calibri" w:cs="Times New Roman"/>
                <w:sz w:val="20"/>
              </w:rPr>
              <w:t>259 321</w:t>
            </w:r>
          </w:p>
        </w:tc>
        <w:tc>
          <w:tcPr>
            <w:tcW w:w="515" w:type="pct"/>
            <w:vAlign w:val="center"/>
          </w:tcPr>
          <w:p w14:paraId="1FABA5F6" w14:textId="77777777" w:rsidR="00E15F18" w:rsidRPr="00995AB9" w:rsidRDefault="00E15F18" w:rsidP="0070471B">
            <w:pPr>
              <w:jc w:val="right"/>
              <w:rPr>
                <w:rFonts w:eastAsia="Calibri" w:cs="Times New Roman"/>
                <w:sz w:val="20"/>
              </w:rPr>
            </w:pPr>
            <w:r w:rsidRPr="00995AB9">
              <w:rPr>
                <w:rFonts w:eastAsia="Calibri" w:cs="Times New Roman"/>
                <w:sz w:val="20"/>
              </w:rPr>
              <w:t>144,2</w:t>
            </w:r>
          </w:p>
        </w:tc>
        <w:tc>
          <w:tcPr>
            <w:tcW w:w="586" w:type="pct"/>
            <w:vAlign w:val="center"/>
          </w:tcPr>
          <w:p w14:paraId="170A818C" w14:textId="77777777" w:rsidR="00E15F18" w:rsidRPr="00995AB9" w:rsidRDefault="00E15F18" w:rsidP="0070471B">
            <w:pPr>
              <w:jc w:val="right"/>
              <w:rPr>
                <w:rFonts w:eastAsia="Calibri" w:cs="Times New Roman"/>
                <w:sz w:val="20"/>
              </w:rPr>
            </w:pPr>
            <w:r w:rsidRPr="00995AB9">
              <w:rPr>
                <w:rFonts w:eastAsia="Calibri" w:cs="Times New Roman"/>
                <w:sz w:val="20"/>
              </w:rPr>
              <w:t>-259 444</w:t>
            </w:r>
          </w:p>
        </w:tc>
      </w:tr>
      <w:tr w:rsidR="00E15F18" w:rsidRPr="00995AB9" w14:paraId="30C969A6" w14:textId="77777777" w:rsidTr="0070471B">
        <w:trPr>
          <w:trHeight w:val="255"/>
        </w:trPr>
        <w:tc>
          <w:tcPr>
            <w:tcW w:w="1619" w:type="pct"/>
            <w:vAlign w:val="center"/>
          </w:tcPr>
          <w:p w14:paraId="0DFF4FE9" w14:textId="77777777" w:rsidR="00E15F18" w:rsidRPr="00995AB9" w:rsidRDefault="00E15F18" w:rsidP="0070471B">
            <w:pPr>
              <w:rPr>
                <w:rFonts w:eastAsia="Calibri" w:cs="Times New Roman"/>
                <w:b/>
                <w:sz w:val="20"/>
              </w:rPr>
            </w:pPr>
            <w:r w:rsidRPr="00995AB9">
              <w:rPr>
                <w:rFonts w:eastAsia="Calibri" w:cs="Times New Roman"/>
                <w:b/>
                <w:sz w:val="20"/>
              </w:rPr>
              <w:t>FSZP spolu</w:t>
            </w:r>
          </w:p>
        </w:tc>
        <w:tc>
          <w:tcPr>
            <w:tcW w:w="588" w:type="pct"/>
            <w:vAlign w:val="center"/>
          </w:tcPr>
          <w:p w14:paraId="16A94403" w14:textId="77777777" w:rsidR="00E15F18" w:rsidRPr="00995AB9" w:rsidRDefault="00E15F18" w:rsidP="0070471B">
            <w:pPr>
              <w:jc w:val="right"/>
              <w:rPr>
                <w:rFonts w:eastAsia="Calibri" w:cs="Times New Roman"/>
                <w:b/>
                <w:sz w:val="20"/>
              </w:rPr>
            </w:pPr>
            <w:r w:rsidRPr="00995AB9">
              <w:rPr>
                <w:rFonts w:eastAsia="Calibri" w:cs="Times New Roman"/>
                <w:b/>
                <w:sz w:val="20"/>
              </w:rPr>
              <w:t>11 490 684</w:t>
            </w:r>
          </w:p>
        </w:tc>
        <w:tc>
          <w:tcPr>
            <w:tcW w:w="587" w:type="pct"/>
            <w:vAlign w:val="center"/>
          </w:tcPr>
          <w:p w14:paraId="76A2DA90" w14:textId="77777777" w:rsidR="00E15F18" w:rsidRPr="00995AB9" w:rsidRDefault="00E15F18" w:rsidP="0070471B">
            <w:pPr>
              <w:jc w:val="right"/>
              <w:rPr>
                <w:rFonts w:eastAsia="Calibri" w:cs="Times New Roman"/>
                <w:b/>
                <w:sz w:val="20"/>
              </w:rPr>
            </w:pPr>
            <w:r w:rsidRPr="00995AB9">
              <w:rPr>
                <w:rFonts w:eastAsia="Calibri" w:cs="Times New Roman"/>
                <w:b/>
                <w:sz w:val="20"/>
              </w:rPr>
              <w:t>12 174 517</w:t>
            </w:r>
          </w:p>
        </w:tc>
        <w:tc>
          <w:tcPr>
            <w:tcW w:w="588" w:type="pct"/>
            <w:vAlign w:val="center"/>
          </w:tcPr>
          <w:p w14:paraId="60A7BE59" w14:textId="77777777" w:rsidR="00E15F18" w:rsidRPr="00995AB9" w:rsidRDefault="00E15F18" w:rsidP="0070471B">
            <w:pPr>
              <w:jc w:val="right"/>
              <w:rPr>
                <w:rFonts w:eastAsia="Calibri" w:cs="Times New Roman"/>
                <w:b/>
                <w:sz w:val="20"/>
              </w:rPr>
            </w:pPr>
            <w:r w:rsidRPr="00995AB9">
              <w:rPr>
                <w:rFonts w:eastAsia="Calibri" w:cs="Times New Roman"/>
                <w:b/>
                <w:sz w:val="20"/>
              </w:rPr>
              <w:t>12 187 459</w:t>
            </w:r>
          </w:p>
        </w:tc>
        <w:tc>
          <w:tcPr>
            <w:tcW w:w="516" w:type="pct"/>
            <w:vAlign w:val="center"/>
          </w:tcPr>
          <w:p w14:paraId="1E3E35E0" w14:textId="77777777" w:rsidR="00E15F18" w:rsidRPr="00995AB9" w:rsidRDefault="00E15F18" w:rsidP="0070471B">
            <w:pPr>
              <w:jc w:val="right"/>
              <w:rPr>
                <w:rFonts w:eastAsia="Calibri" w:cs="Times New Roman"/>
                <w:b/>
                <w:sz w:val="20"/>
              </w:rPr>
            </w:pPr>
            <w:r w:rsidRPr="00995AB9">
              <w:rPr>
                <w:rFonts w:eastAsia="Calibri" w:cs="Times New Roman"/>
                <w:b/>
                <w:sz w:val="20"/>
              </w:rPr>
              <w:t>696 775</w:t>
            </w:r>
          </w:p>
        </w:tc>
        <w:tc>
          <w:tcPr>
            <w:tcW w:w="515" w:type="pct"/>
            <w:vAlign w:val="center"/>
          </w:tcPr>
          <w:p w14:paraId="53A5882C" w14:textId="77777777" w:rsidR="00E15F18" w:rsidRPr="00995AB9" w:rsidRDefault="00E15F18" w:rsidP="0070471B">
            <w:pPr>
              <w:jc w:val="right"/>
              <w:rPr>
                <w:rFonts w:eastAsia="Calibri" w:cs="Times New Roman"/>
                <w:b/>
                <w:sz w:val="20"/>
              </w:rPr>
            </w:pPr>
            <w:r w:rsidRPr="00995AB9">
              <w:rPr>
                <w:rFonts w:eastAsia="Calibri" w:cs="Times New Roman"/>
                <w:b/>
                <w:sz w:val="20"/>
              </w:rPr>
              <w:t>106,1</w:t>
            </w:r>
          </w:p>
        </w:tc>
        <w:tc>
          <w:tcPr>
            <w:tcW w:w="586" w:type="pct"/>
            <w:vAlign w:val="center"/>
          </w:tcPr>
          <w:p w14:paraId="1065E9DC" w14:textId="77777777" w:rsidR="00E15F18" w:rsidRPr="00995AB9" w:rsidRDefault="00E15F18" w:rsidP="0070471B">
            <w:pPr>
              <w:jc w:val="right"/>
              <w:rPr>
                <w:rFonts w:eastAsia="Calibri" w:cs="Times New Roman"/>
                <w:b/>
                <w:sz w:val="20"/>
              </w:rPr>
            </w:pPr>
            <w:r w:rsidRPr="00995AB9">
              <w:rPr>
                <w:rFonts w:eastAsia="Calibri" w:cs="Times New Roman"/>
                <w:b/>
                <w:sz w:val="20"/>
              </w:rPr>
              <w:t>12 942</w:t>
            </w:r>
          </w:p>
        </w:tc>
      </w:tr>
      <w:tr w:rsidR="00E15F18" w:rsidRPr="00995AB9" w14:paraId="46835055" w14:textId="77777777" w:rsidTr="0070471B">
        <w:trPr>
          <w:trHeight w:val="255"/>
        </w:trPr>
        <w:tc>
          <w:tcPr>
            <w:tcW w:w="1619" w:type="pct"/>
            <w:vAlign w:val="center"/>
          </w:tcPr>
          <w:p w14:paraId="39E6DF25" w14:textId="77777777" w:rsidR="00E15F18" w:rsidRPr="00995AB9" w:rsidRDefault="00E15F18" w:rsidP="0070471B">
            <w:pPr>
              <w:ind w:firstLine="176"/>
              <w:rPr>
                <w:rFonts w:eastAsia="Calibri" w:cs="Times New Roman"/>
                <w:sz w:val="20"/>
              </w:rPr>
            </w:pPr>
            <w:r w:rsidRPr="00995AB9">
              <w:rPr>
                <w:rFonts w:eastAsia="Calibri" w:cs="Times New Roman"/>
                <w:sz w:val="20"/>
              </w:rPr>
              <w:t>Sociálna poisťovňa</w:t>
            </w:r>
          </w:p>
        </w:tc>
        <w:tc>
          <w:tcPr>
            <w:tcW w:w="588" w:type="pct"/>
            <w:vAlign w:val="center"/>
          </w:tcPr>
          <w:p w14:paraId="690B601C" w14:textId="77777777" w:rsidR="00E15F18" w:rsidRPr="00995AB9" w:rsidRDefault="00E15F18" w:rsidP="0070471B">
            <w:pPr>
              <w:jc w:val="right"/>
              <w:rPr>
                <w:rFonts w:eastAsia="Calibri" w:cs="Times New Roman"/>
                <w:sz w:val="20"/>
              </w:rPr>
            </w:pPr>
            <w:r w:rsidRPr="00995AB9">
              <w:rPr>
                <w:rFonts w:eastAsia="Calibri" w:cs="Times New Roman"/>
                <w:sz w:val="20"/>
              </w:rPr>
              <w:t>7 840 049</w:t>
            </w:r>
          </w:p>
        </w:tc>
        <w:tc>
          <w:tcPr>
            <w:tcW w:w="587" w:type="pct"/>
            <w:vAlign w:val="center"/>
          </w:tcPr>
          <w:p w14:paraId="747311EC" w14:textId="77777777" w:rsidR="00E15F18" w:rsidRPr="00995AB9" w:rsidRDefault="00E15F18" w:rsidP="0070471B">
            <w:pPr>
              <w:jc w:val="right"/>
              <w:rPr>
                <w:rFonts w:eastAsia="Calibri" w:cs="Times New Roman"/>
                <w:sz w:val="20"/>
              </w:rPr>
            </w:pPr>
            <w:r w:rsidRPr="00995AB9">
              <w:rPr>
                <w:rFonts w:eastAsia="Calibri" w:cs="Times New Roman"/>
                <w:sz w:val="20"/>
              </w:rPr>
              <w:t>8 152 696</w:t>
            </w:r>
          </w:p>
        </w:tc>
        <w:tc>
          <w:tcPr>
            <w:tcW w:w="588" w:type="pct"/>
            <w:vAlign w:val="center"/>
          </w:tcPr>
          <w:p w14:paraId="7D837F52" w14:textId="77777777" w:rsidR="00E15F18" w:rsidRPr="00995AB9" w:rsidRDefault="00E15F18" w:rsidP="0070471B">
            <w:pPr>
              <w:jc w:val="right"/>
              <w:rPr>
                <w:rFonts w:eastAsia="Calibri" w:cs="Times New Roman"/>
                <w:sz w:val="20"/>
              </w:rPr>
            </w:pPr>
            <w:r w:rsidRPr="00995AB9">
              <w:rPr>
                <w:rFonts w:eastAsia="Calibri" w:cs="Times New Roman"/>
                <w:sz w:val="20"/>
              </w:rPr>
              <w:t>8 185 453</w:t>
            </w:r>
          </w:p>
        </w:tc>
        <w:tc>
          <w:tcPr>
            <w:tcW w:w="516" w:type="pct"/>
            <w:vAlign w:val="center"/>
          </w:tcPr>
          <w:p w14:paraId="38B85EE8" w14:textId="77777777" w:rsidR="00E15F18" w:rsidRPr="00995AB9" w:rsidRDefault="00E15F18" w:rsidP="0070471B">
            <w:pPr>
              <w:jc w:val="right"/>
              <w:rPr>
                <w:rFonts w:eastAsia="Calibri" w:cs="Times New Roman"/>
                <w:sz w:val="20"/>
              </w:rPr>
            </w:pPr>
            <w:r w:rsidRPr="00995AB9">
              <w:rPr>
                <w:rFonts w:eastAsia="Calibri" w:cs="Times New Roman"/>
                <w:sz w:val="20"/>
              </w:rPr>
              <w:t>345 404</w:t>
            </w:r>
          </w:p>
        </w:tc>
        <w:tc>
          <w:tcPr>
            <w:tcW w:w="515" w:type="pct"/>
            <w:vAlign w:val="center"/>
          </w:tcPr>
          <w:p w14:paraId="141DB656" w14:textId="77777777" w:rsidR="00E15F18" w:rsidRPr="00995AB9" w:rsidRDefault="00E15F18" w:rsidP="0070471B">
            <w:pPr>
              <w:jc w:val="right"/>
              <w:rPr>
                <w:rFonts w:eastAsia="Calibri" w:cs="Times New Roman"/>
                <w:sz w:val="20"/>
              </w:rPr>
            </w:pPr>
            <w:r w:rsidRPr="00995AB9">
              <w:rPr>
                <w:rFonts w:eastAsia="Calibri" w:cs="Times New Roman"/>
                <w:sz w:val="20"/>
              </w:rPr>
              <w:t>104,4</w:t>
            </w:r>
          </w:p>
        </w:tc>
        <w:tc>
          <w:tcPr>
            <w:tcW w:w="586" w:type="pct"/>
            <w:vAlign w:val="center"/>
          </w:tcPr>
          <w:p w14:paraId="52E8C2BB" w14:textId="77777777" w:rsidR="00E15F18" w:rsidRPr="00995AB9" w:rsidRDefault="00E15F18" w:rsidP="0070471B">
            <w:pPr>
              <w:jc w:val="right"/>
              <w:rPr>
                <w:rFonts w:eastAsia="Calibri" w:cs="Times New Roman"/>
                <w:sz w:val="20"/>
              </w:rPr>
            </w:pPr>
            <w:r w:rsidRPr="00995AB9">
              <w:rPr>
                <w:rFonts w:eastAsia="Calibri" w:cs="Times New Roman"/>
                <w:sz w:val="20"/>
              </w:rPr>
              <w:t>32 757</w:t>
            </w:r>
          </w:p>
        </w:tc>
      </w:tr>
      <w:tr w:rsidR="00E15F18" w:rsidRPr="00995AB9" w14:paraId="3E14E984" w14:textId="77777777" w:rsidTr="0070471B">
        <w:trPr>
          <w:trHeight w:val="255"/>
        </w:trPr>
        <w:tc>
          <w:tcPr>
            <w:tcW w:w="1619" w:type="pct"/>
            <w:vAlign w:val="center"/>
          </w:tcPr>
          <w:p w14:paraId="36ADA2E6" w14:textId="77777777" w:rsidR="00E15F18" w:rsidRPr="00995AB9" w:rsidRDefault="00E15F18" w:rsidP="0070471B">
            <w:pPr>
              <w:ind w:firstLine="176"/>
              <w:rPr>
                <w:rFonts w:eastAsia="Calibri" w:cs="Times New Roman"/>
                <w:sz w:val="20"/>
              </w:rPr>
            </w:pPr>
            <w:r w:rsidRPr="00995AB9">
              <w:rPr>
                <w:rFonts w:eastAsia="Calibri" w:cs="Times New Roman"/>
                <w:sz w:val="20"/>
              </w:rPr>
              <w:t>Zdravotné poisťovne</w:t>
            </w:r>
          </w:p>
        </w:tc>
        <w:tc>
          <w:tcPr>
            <w:tcW w:w="588" w:type="pct"/>
            <w:vAlign w:val="center"/>
          </w:tcPr>
          <w:p w14:paraId="3E4F191D" w14:textId="77777777" w:rsidR="00E15F18" w:rsidRPr="00995AB9" w:rsidRDefault="00E15F18" w:rsidP="0070471B">
            <w:pPr>
              <w:jc w:val="right"/>
              <w:rPr>
                <w:rFonts w:eastAsia="Calibri" w:cs="Times New Roman"/>
                <w:sz w:val="20"/>
              </w:rPr>
            </w:pPr>
            <w:r w:rsidRPr="00995AB9">
              <w:rPr>
                <w:rFonts w:eastAsia="Calibri" w:cs="Times New Roman"/>
                <w:sz w:val="20"/>
              </w:rPr>
              <w:t>3 650 635</w:t>
            </w:r>
          </w:p>
        </w:tc>
        <w:tc>
          <w:tcPr>
            <w:tcW w:w="587" w:type="pct"/>
            <w:vAlign w:val="center"/>
          </w:tcPr>
          <w:p w14:paraId="7B8332EA" w14:textId="77777777" w:rsidR="00E15F18" w:rsidRPr="00995AB9" w:rsidRDefault="00E15F18" w:rsidP="0070471B">
            <w:pPr>
              <w:jc w:val="right"/>
              <w:rPr>
                <w:rFonts w:eastAsia="Calibri" w:cs="Times New Roman"/>
                <w:sz w:val="20"/>
              </w:rPr>
            </w:pPr>
            <w:r w:rsidRPr="00995AB9">
              <w:rPr>
                <w:rFonts w:eastAsia="Calibri" w:cs="Times New Roman"/>
                <w:sz w:val="20"/>
              </w:rPr>
              <w:t>4 021 821</w:t>
            </w:r>
          </w:p>
        </w:tc>
        <w:tc>
          <w:tcPr>
            <w:tcW w:w="588" w:type="pct"/>
            <w:vAlign w:val="center"/>
          </w:tcPr>
          <w:p w14:paraId="734542DA" w14:textId="77777777" w:rsidR="00E15F18" w:rsidRPr="00995AB9" w:rsidRDefault="00E15F18" w:rsidP="0070471B">
            <w:pPr>
              <w:jc w:val="right"/>
              <w:rPr>
                <w:rFonts w:eastAsia="Calibri" w:cs="Times New Roman"/>
                <w:sz w:val="20"/>
              </w:rPr>
            </w:pPr>
            <w:r w:rsidRPr="00995AB9">
              <w:rPr>
                <w:rFonts w:eastAsia="Calibri" w:cs="Times New Roman"/>
                <w:sz w:val="20"/>
              </w:rPr>
              <w:t>4 002 007</w:t>
            </w:r>
          </w:p>
        </w:tc>
        <w:tc>
          <w:tcPr>
            <w:tcW w:w="516" w:type="pct"/>
            <w:vAlign w:val="center"/>
          </w:tcPr>
          <w:p w14:paraId="43228B2C" w14:textId="77777777" w:rsidR="00E15F18" w:rsidRPr="00995AB9" w:rsidRDefault="00E15F18" w:rsidP="0070471B">
            <w:pPr>
              <w:jc w:val="right"/>
              <w:rPr>
                <w:rFonts w:eastAsia="Calibri" w:cs="Times New Roman"/>
                <w:sz w:val="20"/>
              </w:rPr>
            </w:pPr>
            <w:r w:rsidRPr="00995AB9">
              <w:rPr>
                <w:rFonts w:eastAsia="Calibri" w:cs="Times New Roman"/>
                <w:sz w:val="20"/>
              </w:rPr>
              <w:t>351 372</w:t>
            </w:r>
          </w:p>
        </w:tc>
        <w:tc>
          <w:tcPr>
            <w:tcW w:w="515" w:type="pct"/>
            <w:vAlign w:val="center"/>
          </w:tcPr>
          <w:p w14:paraId="1F41F911" w14:textId="77777777" w:rsidR="00E15F18" w:rsidRPr="00995AB9" w:rsidRDefault="00E15F18" w:rsidP="0070471B">
            <w:pPr>
              <w:jc w:val="right"/>
              <w:rPr>
                <w:rFonts w:eastAsia="Calibri" w:cs="Times New Roman"/>
                <w:sz w:val="20"/>
              </w:rPr>
            </w:pPr>
            <w:r w:rsidRPr="00995AB9">
              <w:rPr>
                <w:rFonts w:eastAsia="Calibri" w:cs="Times New Roman"/>
                <w:sz w:val="20"/>
              </w:rPr>
              <w:t>109,6</w:t>
            </w:r>
          </w:p>
        </w:tc>
        <w:tc>
          <w:tcPr>
            <w:tcW w:w="586" w:type="pct"/>
            <w:vAlign w:val="center"/>
          </w:tcPr>
          <w:p w14:paraId="40FCD219" w14:textId="77777777" w:rsidR="00E15F18" w:rsidRPr="00995AB9" w:rsidRDefault="00E15F18" w:rsidP="0070471B">
            <w:pPr>
              <w:jc w:val="right"/>
              <w:rPr>
                <w:rFonts w:eastAsia="Calibri" w:cs="Times New Roman"/>
                <w:sz w:val="20"/>
              </w:rPr>
            </w:pPr>
            <w:r w:rsidRPr="00995AB9">
              <w:rPr>
                <w:rFonts w:eastAsia="Calibri" w:cs="Times New Roman"/>
                <w:sz w:val="20"/>
              </w:rPr>
              <w:t>-19 814</w:t>
            </w:r>
          </w:p>
        </w:tc>
      </w:tr>
      <w:tr w:rsidR="00E15F18" w:rsidRPr="00995AB9" w14:paraId="4D2C6CFC" w14:textId="77777777" w:rsidTr="0070471B">
        <w:trPr>
          <w:trHeight w:val="255"/>
        </w:trPr>
        <w:tc>
          <w:tcPr>
            <w:tcW w:w="1619" w:type="pct"/>
            <w:vAlign w:val="center"/>
          </w:tcPr>
          <w:p w14:paraId="434F3E07" w14:textId="77777777" w:rsidR="00E15F18" w:rsidRPr="00995AB9" w:rsidRDefault="00E15F18" w:rsidP="0070471B">
            <w:pPr>
              <w:rPr>
                <w:rFonts w:eastAsia="Calibri" w:cs="Times New Roman"/>
                <w:b/>
                <w:sz w:val="20"/>
              </w:rPr>
            </w:pPr>
            <w:r w:rsidRPr="00995AB9">
              <w:rPr>
                <w:rFonts w:eastAsia="Calibri" w:cs="Times New Roman"/>
                <w:b/>
                <w:sz w:val="20"/>
              </w:rPr>
              <w:t>Spolu daňové a odvodové príjmy</w:t>
            </w:r>
          </w:p>
        </w:tc>
        <w:tc>
          <w:tcPr>
            <w:tcW w:w="588" w:type="pct"/>
            <w:vAlign w:val="center"/>
          </w:tcPr>
          <w:p w14:paraId="520B5A8C" w14:textId="77777777" w:rsidR="00E15F18" w:rsidRPr="00995AB9" w:rsidRDefault="00E15F18" w:rsidP="0070471B">
            <w:pPr>
              <w:jc w:val="right"/>
              <w:rPr>
                <w:rFonts w:eastAsia="Calibri" w:cs="Times New Roman"/>
                <w:b/>
                <w:sz w:val="20"/>
              </w:rPr>
            </w:pPr>
            <w:r w:rsidRPr="00995AB9">
              <w:rPr>
                <w:rFonts w:eastAsia="Calibri" w:cs="Times New Roman"/>
                <w:b/>
                <w:sz w:val="20"/>
              </w:rPr>
              <w:t>27 511 748</w:t>
            </w:r>
          </w:p>
        </w:tc>
        <w:tc>
          <w:tcPr>
            <w:tcW w:w="587" w:type="pct"/>
            <w:vAlign w:val="center"/>
          </w:tcPr>
          <w:p w14:paraId="189D9C0E" w14:textId="77777777" w:rsidR="00E15F18" w:rsidRPr="00995AB9" w:rsidRDefault="00E15F18" w:rsidP="0070471B">
            <w:pPr>
              <w:jc w:val="right"/>
              <w:rPr>
                <w:rFonts w:eastAsia="Calibri" w:cs="Times New Roman"/>
                <w:b/>
                <w:sz w:val="20"/>
              </w:rPr>
            </w:pPr>
            <w:r w:rsidRPr="00995AB9">
              <w:rPr>
                <w:rFonts w:eastAsia="Calibri" w:cs="Times New Roman"/>
                <w:b/>
                <w:sz w:val="20"/>
              </w:rPr>
              <w:t>29 282 271</w:t>
            </w:r>
          </w:p>
        </w:tc>
        <w:tc>
          <w:tcPr>
            <w:tcW w:w="588" w:type="pct"/>
            <w:vAlign w:val="center"/>
          </w:tcPr>
          <w:p w14:paraId="71788DD7" w14:textId="77777777" w:rsidR="00E15F18" w:rsidRPr="00995AB9" w:rsidRDefault="00E15F18" w:rsidP="0070471B">
            <w:pPr>
              <w:jc w:val="right"/>
              <w:rPr>
                <w:rFonts w:eastAsia="Calibri" w:cs="Times New Roman"/>
                <w:b/>
                <w:sz w:val="20"/>
              </w:rPr>
            </w:pPr>
            <w:r w:rsidRPr="00995AB9">
              <w:rPr>
                <w:rFonts w:eastAsia="Calibri" w:cs="Times New Roman"/>
                <w:b/>
                <w:sz w:val="20"/>
              </w:rPr>
              <w:t>29 151 976</w:t>
            </w:r>
          </w:p>
        </w:tc>
        <w:tc>
          <w:tcPr>
            <w:tcW w:w="516" w:type="pct"/>
            <w:vAlign w:val="center"/>
          </w:tcPr>
          <w:p w14:paraId="38E65942" w14:textId="77777777" w:rsidR="00E15F18" w:rsidRPr="00995AB9" w:rsidRDefault="00E15F18" w:rsidP="0070471B">
            <w:pPr>
              <w:jc w:val="right"/>
              <w:rPr>
                <w:rFonts w:eastAsia="Calibri" w:cs="Times New Roman"/>
                <w:b/>
                <w:sz w:val="20"/>
              </w:rPr>
            </w:pPr>
            <w:r w:rsidRPr="00995AB9">
              <w:rPr>
                <w:rFonts w:eastAsia="Calibri" w:cs="Times New Roman"/>
                <w:b/>
                <w:sz w:val="20"/>
              </w:rPr>
              <w:t>1 640 228</w:t>
            </w:r>
          </w:p>
        </w:tc>
        <w:tc>
          <w:tcPr>
            <w:tcW w:w="515" w:type="pct"/>
            <w:vAlign w:val="center"/>
          </w:tcPr>
          <w:p w14:paraId="77FAFF08" w14:textId="77777777" w:rsidR="00E15F18" w:rsidRPr="00995AB9" w:rsidRDefault="00E15F18" w:rsidP="0070471B">
            <w:pPr>
              <w:jc w:val="right"/>
              <w:rPr>
                <w:rFonts w:eastAsia="Calibri" w:cs="Times New Roman"/>
                <w:b/>
                <w:sz w:val="20"/>
              </w:rPr>
            </w:pPr>
            <w:r w:rsidRPr="00995AB9">
              <w:rPr>
                <w:rFonts w:eastAsia="Calibri" w:cs="Times New Roman"/>
                <w:b/>
                <w:sz w:val="20"/>
              </w:rPr>
              <w:t>106,0</w:t>
            </w:r>
          </w:p>
        </w:tc>
        <w:tc>
          <w:tcPr>
            <w:tcW w:w="586" w:type="pct"/>
            <w:vAlign w:val="center"/>
          </w:tcPr>
          <w:p w14:paraId="7316CFBD" w14:textId="77777777" w:rsidR="00E15F18" w:rsidRPr="00995AB9" w:rsidRDefault="00E15F18" w:rsidP="0070471B">
            <w:pPr>
              <w:jc w:val="right"/>
              <w:rPr>
                <w:rFonts w:eastAsia="Calibri" w:cs="Times New Roman"/>
                <w:b/>
                <w:sz w:val="20"/>
              </w:rPr>
            </w:pPr>
            <w:r w:rsidRPr="00995AB9">
              <w:rPr>
                <w:rFonts w:eastAsia="Calibri" w:cs="Times New Roman"/>
                <w:b/>
                <w:sz w:val="20"/>
              </w:rPr>
              <w:t>-130 295</w:t>
            </w:r>
          </w:p>
        </w:tc>
      </w:tr>
    </w:tbl>
    <w:p w14:paraId="3C5DEBF8" w14:textId="77777777" w:rsidR="00E15F18" w:rsidRPr="00995AB9" w:rsidRDefault="00E15F18" w:rsidP="00F21A98">
      <w:pPr>
        <w:spacing w:after="120"/>
        <w:rPr>
          <w:rFonts w:eastAsia="Calibri" w:cs="Times New Roman"/>
          <w:i/>
          <w:sz w:val="18"/>
        </w:rPr>
      </w:pPr>
      <w:r w:rsidRPr="00995AB9">
        <w:rPr>
          <w:rFonts w:eastAsia="Calibri" w:cs="Times New Roman"/>
          <w:i/>
          <w:sz w:val="18"/>
        </w:rPr>
        <w:t xml:space="preserve">Zdroj: MF SR, VpDP, Strednodobá prognóza daňových príjmov, apríl 2020, Návrh ŠZÚ 2019 </w:t>
      </w:r>
      <w:r w:rsidRPr="00995AB9">
        <w:rPr>
          <w:rFonts w:eastAsia="Calibri" w:cs="Times New Roman"/>
          <w:i/>
          <w:sz w:val="18"/>
        </w:rPr>
        <w:br/>
        <w:t>*na akruálnej báze</w:t>
      </w:r>
    </w:p>
    <w:p w14:paraId="5AD6EE6B" w14:textId="1DCBE0BB" w:rsidR="00C86F5B" w:rsidRPr="00220EB0" w:rsidRDefault="00C86F5B" w:rsidP="003C2E0B">
      <w:pPr>
        <w:rPr>
          <w:b/>
          <w:bCs/>
          <w:i/>
        </w:rPr>
      </w:pPr>
      <w:r w:rsidRPr="00220EB0">
        <w:rPr>
          <w:b/>
          <w:i/>
        </w:rPr>
        <w:t xml:space="preserve">Tabuľka </w:t>
      </w:r>
      <w:r w:rsidR="00E15F18" w:rsidRPr="00220EB0">
        <w:rPr>
          <w:b/>
          <w:i/>
        </w:rPr>
        <w:t>4</w:t>
      </w:r>
      <w:r w:rsidR="005B7EA6" w:rsidRPr="00220EB0">
        <w:rPr>
          <w:b/>
          <w:i/>
        </w:rPr>
        <w:t>:</w:t>
      </w:r>
      <w:r w:rsidR="00893B96" w:rsidRPr="00220EB0">
        <w:rPr>
          <w:b/>
          <w:i/>
        </w:rPr>
        <w:t xml:space="preserve"> </w:t>
      </w:r>
      <w:r w:rsidR="00893B96" w:rsidRPr="00220EB0">
        <w:rPr>
          <w:b/>
          <w:bCs/>
          <w:i/>
        </w:rPr>
        <w:t>Maastrichtský dlh verejnej správy podľa jednotlivých subjektov</w:t>
      </w:r>
      <w:r w:rsidR="00B83404">
        <w:rPr>
          <w:b/>
          <w:bCs/>
          <w:i/>
        </w:rPr>
        <w:t xml:space="preserve"> (v mil.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8"/>
        <w:gridCol w:w="1359"/>
        <w:gridCol w:w="1359"/>
        <w:gridCol w:w="895"/>
        <w:gridCol w:w="895"/>
      </w:tblGrid>
      <w:tr w:rsidR="00893B96" w:rsidRPr="003C2E0B" w14:paraId="1CE7A2AE" w14:textId="77777777" w:rsidTr="00733B45">
        <w:trPr>
          <w:trHeight w:val="20"/>
          <w:tblHeader/>
        </w:trPr>
        <w:tc>
          <w:tcPr>
            <w:tcW w:w="2588" w:type="pct"/>
            <w:tcBorders>
              <w:right w:val="single" w:sz="4" w:space="0" w:color="FFFFFF" w:themeColor="background1"/>
            </w:tcBorders>
            <w:shd w:val="clear" w:color="auto" w:fill="0070C0"/>
            <w:vAlign w:val="center"/>
          </w:tcPr>
          <w:p w14:paraId="0285581D" w14:textId="77777777" w:rsidR="00893B96" w:rsidRPr="003C2E0B" w:rsidRDefault="00893B96" w:rsidP="00733B45">
            <w:pPr>
              <w:rPr>
                <w:rFonts w:eastAsia="Times New Roman" w:cs="Tahoma"/>
                <w:b/>
                <w:bCs/>
                <w:color w:val="FFFFFF" w:themeColor="background1"/>
                <w:sz w:val="20"/>
                <w:szCs w:val="20"/>
                <w:lang w:eastAsia="sk-SK"/>
              </w:rPr>
            </w:pPr>
            <w:r w:rsidRPr="003C2E0B">
              <w:rPr>
                <w:rFonts w:eastAsia="Times New Roman" w:cs="Tahoma"/>
                <w:b/>
                <w:bCs/>
                <w:color w:val="FFFFFF" w:themeColor="background1"/>
                <w:sz w:val="20"/>
                <w:szCs w:val="20"/>
                <w:lang w:eastAsia="sk-SK"/>
              </w:rPr>
              <w:t>Subjekty verejnej správy</w:t>
            </w:r>
          </w:p>
        </w:tc>
        <w:tc>
          <w:tcPr>
            <w:tcW w:w="727" w:type="pct"/>
            <w:tcBorders>
              <w:left w:val="single" w:sz="4" w:space="0" w:color="FFFFFF" w:themeColor="background1"/>
              <w:right w:val="single" w:sz="4" w:space="0" w:color="FFFFFF" w:themeColor="background1"/>
            </w:tcBorders>
            <w:shd w:val="clear" w:color="auto" w:fill="0070C0"/>
            <w:vAlign w:val="center"/>
          </w:tcPr>
          <w:p w14:paraId="509210D3" w14:textId="77777777" w:rsidR="00893B96" w:rsidRPr="003C2E0B" w:rsidRDefault="00893B96" w:rsidP="00733B45">
            <w:pPr>
              <w:jc w:val="center"/>
              <w:rPr>
                <w:rFonts w:eastAsia="Times New Roman" w:cs="Tahoma"/>
                <w:b/>
                <w:bCs/>
                <w:color w:val="FFFFFF" w:themeColor="background1"/>
                <w:sz w:val="20"/>
                <w:szCs w:val="20"/>
                <w:lang w:eastAsia="sk-SK"/>
              </w:rPr>
            </w:pPr>
            <w:r w:rsidRPr="003C2E0B">
              <w:rPr>
                <w:rFonts w:eastAsia="Times New Roman" w:cs="Tahoma"/>
                <w:b/>
                <w:bCs/>
                <w:color w:val="FFFFFF" w:themeColor="background1"/>
                <w:sz w:val="20"/>
                <w:szCs w:val="20"/>
                <w:lang w:eastAsia="sk-SK"/>
              </w:rPr>
              <w:t>k 31.12.2018</w:t>
            </w:r>
          </w:p>
        </w:tc>
        <w:tc>
          <w:tcPr>
            <w:tcW w:w="727" w:type="pct"/>
            <w:tcBorders>
              <w:left w:val="single" w:sz="4" w:space="0" w:color="FFFFFF" w:themeColor="background1"/>
              <w:right w:val="single" w:sz="4" w:space="0" w:color="FFFFFF" w:themeColor="background1"/>
            </w:tcBorders>
            <w:shd w:val="clear" w:color="auto" w:fill="0070C0"/>
            <w:vAlign w:val="center"/>
          </w:tcPr>
          <w:p w14:paraId="0E9C42A7" w14:textId="77777777" w:rsidR="00893B96" w:rsidRPr="003C2E0B" w:rsidRDefault="00893B96" w:rsidP="00733B45">
            <w:pPr>
              <w:jc w:val="center"/>
              <w:rPr>
                <w:rFonts w:eastAsia="Times New Roman" w:cs="Tahoma"/>
                <w:b/>
                <w:bCs/>
                <w:color w:val="FFFFFF" w:themeColor="background1"/>
                <w:sz w:val="20"/>
                <w:szCs w:val="20"/>
                <w:lang w:eastAsia="sk-SK"/>
              </w:rPr>
            </w:pPr>
            <w:r w:rsidRPr="003C2E0B">
              <w:rPr>
                <w:rFonts w:eastAsia="Times New Roman" w:cs="Tahoma"/>
                <w:b/>
                <w:bCs/>
                <w:color w:val="FFFFFF" w:themeColor="background1"/>
                <w:sz w:val="20"/>
                <w:szCs w:val="20"/>
                <w:lang w:eastAsia="sk-SK"/>
              </w:rPr>
              <w:t>k 31.12.2019</w:t>
            </w:r>
          </w:p>
        </w:tc>
        <w:tc>
          <w:tcPr>
            <w:tcW w:w="479" w:type="pct"/>
            <w:tcBorders>
              <w:left w:val="single" w:sz="4" w:space="0" w:color="FFFFFF" w:themeColor="background1"/>
            </w:tcBorders>
            <w:shd w:val="clear" w:color="auto" w:fill="0070C0"/>
            <w:vAlign w:val="center"/>
          </w:tcPr>
          <w:p w14:paraId="1BB5BC8A" w14:textId="77777777" w:rsidR="00893B96" w:rsidRPr="003C2E0B" w:rsidRDefault="00893B96" w:rsidP="00733B45">
            <w:pPr>
              <w:jc w:val="center"/>
              <w:rPr>
                <w:rFonts w:eastAsia="Times New Roman" w:cs="Tahoma"/>
                <w:b/>
                <w:bCs/>
                <w:color w:val="FFFFFF" w:themeColor="background1"/>
                <w:sz w:val="20"/>
                <w:szCs w:val="20"/>
                <w:lang w:eastAsia="sk-SK"/>
              </w:rPr>
            </w:pPr>
            <w:r w:rsidRPr="003C2E0B">
              <w:rPr>
                <w:rFonts w:eastAsia="Times New Roman" w:cs="Tahoma"/>
                <w:b/>
                <w:bCs/>
                <w:color w:val="FFFFFF" w:themeColor="background1"/>
                <w:sz w:val="20"/>
                <w:szCs w:val="20"/>
                <w:lang w:eastAsia="sk-SK"/>
              </w:rPr>
              <w:t>Rozdiel</w:t>
            </w:r>
          </w:p>
        </w:tc>
        <w:tc>
          <w:tcPr>
            <w:tcW w:w="479" w:type="pct"/>
            <w:tcBorders>
              <w:left w:val="single" w:sz="4" w:space="0" w:color="FFFFFF" w:themeColor="background1"/>
            </w:tcBorders>
            <w:shd w:val="clear" w:color="auto" w:fill="0070C0"/>
          </w:tcPr>
          <w:p w14:paraId="260EB2A1" w14:textId="7A371168" w:rsidR="00893B96" w:rsidRPr="003C2E0B" w:rsidRDefault="0072153C" w:rsidP="0072153C">
            <w:pPr>
              <w:jc w:val="center"/>
              <w:rPr>
                <w:rFonts w:eastAsia="Times New Roman" w:cs="Tahoma"/>
                <w:b/>
                <w:bCs/>
                <w:color w:val="FFFFFF" w:themeColor="background1"/>
                <w:sz w:val="20"/>
                <w:szCs w:val="20"/>
                <w:lang w:eastAsia="sk-SK"/>
              </w:rPr>
            </w:pPr>
            <w:r>
              <w:rPr>
                <w:rFonts w:eastAsia="Times New Roman" w:cs="Tahoma"/>
                <w:b/>
                <w:bCs/>
                <w:color w:val="FFFFFF" w:themeColor="background1"/>
                <w:sz w:val="20"/>
                <w:szCs w:val="20"/>
                <w:lang w:eastAsia="sk-SK"/>
              </w:rPr>
              <w:t>Index (%)</w:t>
            </w:r>
          </w:p>
        </w:tc>
      </w:tr>
      <w:tr w:rsidR="00893B96" w:rsidRPr="003C2E0B" w14:paraId="7323E111" w14:textId="77777777" w:rsidTr="00733B45">
        <w:trPr>
          <w:trHeight w:val="20"/>
          <w:tblHeader/>
        </w:trPr>
        <w:tc>
          <w:tcPr>
            <w:tcW w:w="2588" w:type="pct"/>
            <w:shd w:val="clear" w:color="auto" w:fill="auto"/>
            <w:vAlign w:val="center"/>
          </w:tcPr>
          <w:p w14:paraId="7D58BF07" w14:textId="77777777" w:rsidR="00893B96" w:rsidRPr="003C2E0B" w:rsidRDefault="00893B96" w:rsidP="00733B45">
            <w:pPr>
              <w:jc w:val="center"/>
              <w:rPr>
                <w:rFonts w:eastAsia="Times New Roman" w:cs="Tahoma"/>
                <w:color w:val="000000"/>
                <w:sz w:val="20"/>
                <w:szCs w:val="20"/>
                <w:lang w:eastAsia="sk-SK"/>
              </w:rPr>
            </w:pPr>
            <w:r w:rsidRPr="003C2E0B">
              <w:rPr>
                <w:rFonts w:eastAsia="Times New Roman" w:cs="Tahoma"/>
                <w:color w:val="000000"/>
                <w:sz w:val="20"/>
                <w:szCs w:val="20"/>
                <w:lang w:eastAsia="sk-SK"/>
              </w:rPr>
              <w:t>a</w:t>
            </w:r>
          </w:p>
        </w:tc>
        <w:tc>
          <w:tcPr>
            <w:tcW w:w="727" w:type="pct"/>
            <w:shd w:val="clear" w:color="auto" w:fill="auto"/>
            <w:vAlign w:val="center"/>
          </w:tcPr>
          <w:p w14:paraId="50A57D3B" w14:textId="77777777" w:rsidR="00893B96" w:rsidRPr="003C2E0B" w:rsidRDefault="00893B96" w:rsidP="00733B45">
            <w:pPr>
              <w:jc w:val="center"/>
              <w:rPr>
                <w:rFonts w:eastAsia="Times New Roman" w:cs="Tahoma"/>
                <w:color w:val="000000"/>
                <w:sz w:val="20"/>
                <w:szCs w:val="20"/>
                <w:lang w:eastAsia="sk-SK"/>
              </w:rPr>
            </w:pPr>
            <w:r w:rsidRPr="003C2E0B">
              <w:rPr>
                <w:rFonts w:eastAsia="Times New Roman" w:cs="Tahoma"/>
                <w:color w:val="000000"/>
                <w:sz w:val="20"/>
                <w:szCs w:val="20"/>
                <w:lang w:eastAsia="sk-SK"/>
              </w:rPr>
              <w:t>1</w:t>
            </w:r>
          </w:p>
        </w:tc>
        <w:tc>
          <w:tcPr>
            <w:tcW w:w="727" w:type="pct"/>
            <w:shd w:val="clear" w:color="auto" w:fill="auto"/>
            <w:vAlign w:val="center"/>
          </w:tcPr>
          <w:p w14:paraId="77C22CDA" w14:textId="77777777" w:rsidR="00893B96" w:rsidRPr="003C2E0B" w:rsidRDefault="00893B96" w:rsidP="00733B45">
            <w:pPr>
              <w:jc w:val="center"/>
              <w:rPr>
                <w:rFonts w:eastAsia="Times New Roman" w:cs="Tahoma"/>
                <w:color w:val="000000"/>
                <w:sz w:val="20"/>
                <w:szCs w:val="20"/>
                <w:lang w:eastAsia="sk-SK"/>
              </w:rPr>
            </w:pPr>
            <w:r w:rsidRPr="003C2E0B">
              <w:rPr>
                <w:rFonts w:eastAsia="Times New Roman" w:cs="Tahoma"/>
                <w:color w:val="000000"/>
                <w:sz w:val="20"/>
                <w:szCs w:val="20"/>
                <w:lang w:eastAsia="sk-SK"/>
              </w:rPr>
              <w:t>2</w:t>
            </w:r>
          </w:p>
        </w:tc>
        <w:tc>
          <w:tcPr>
            <w:tcW w:w="479" w:type="pct"/>
            <w:shd w:val="clear" w:color="auto" w:fill="auto"/>
            <w:vAlign w:val="center"/>
          </w:tcPr>
          <w:p w14:paraId="6F3FA107" w14:textId="77777777" w:rsidR="00893B96" w:rsidRPr="003C2E0B" w:rsidRDefault="00893B96" w:rsidP="00733B45">
            <w:pPr>
              <w:jc w:val="center"/>
              <w:rPr>
                <w:rFonts w:eastAsia="Times New Roman" w:cs="Tahoma"/>
                <w:color w:val="000000"/>
                <w:sz w:val="20"/>
                <w:szCs w:val="20"/>
                <w:lang w:eastAsia="sk-SK"/>
              </w:rPr>
            </w:pPr>
            <w:r w:rsidRPr="003C2E0B">
              <w:rPr>
                <w:rFonts w:eastAsia="Times New Roman" w:cs="Tahoma"/>
                <w:color w:val="000000"/>
                <w:sz w:val="20"/>
                <w:szCs w:val="20"/>
                <w:lang w:eastAsia="sk-SK"/>
              </w:rPr>
              <w:t>3=2-1</w:t>
            </w:r>
          </w:p>
        </w:tc>
        <w:tc>
          <w:tcPr>
            <w:tcW w:w="479" w:type="pct"/>
          </w:tcPr>
          <w:p w14:paraId="771170DE" w14:textId="77777777" w:rsidR="00893B96" w:rsidRPr="003C2E0B" w:rsidRDefault="00893B96" w:rsidP="00733B45">
            <w:pPr>
              <w:jc w:val="center"/>
              <w:rPr>
                <w:rFonts w:eastAsia="Times New Roman" w:cs="Tahoma"/>
                <w:color w:val="000000"/>
                <w:sz w:val="20"/>
                <w:szCs w:val="20"/>
                <w:lang w:eastAsia="sk-SK"/>
              </w:rPr>
            </w:pPr>
            <w:r w:rsidRPr="003C2E0B">
              <w:rPr>
                <w:rFonts w:eastAsia="Times New Roman" w:cs="Tahoma"/>
                <w:color w:val="000000"/>
                <w:sz w:val="20"/>
                <w:szCs w:val="20"/>
                <w:lang w:eastAsia="sk-SK"/>
              </w:rPr>
              <w:t>4=2/1*100</w:t>
            </w:r>
          </w:p>
        </w:tc>
      </w:tr>
      <w:tr w:rsidR="00893B96" w:rsidRPr="003C2E0B" w14:paraId="71E1CF3E" w14:textId="77777777" w:rsidTr="00733B45">
        <w:trPr>
          <w:trHeight w:val="20"/>
        </w:trPr>
        <w:tc>
          <w:tcPr>
            <w:tcW w:w="2588" w:type="pct"/>
            <w:shd w:val="clear" w:color="auto" w:fill="auto"/>
            <w:vAlign w:val="center"/>
            <w:hideMark/>
          </w:tcPr>
          <w:p w14:paraId="427E4316" w14:textId="77777777" w:rsidR="00893B96" w:rsidRPr="003C2E0B" w:rsidRDefault="00893B96" w:rsidP="00733B45">
            <w:pPr>
              <w:rPr>
                <w:rFonts w:eastAsia="Times New Roman" w:cs="Tahoma"/>
                <w:b/>
                <w:bCs/>
                <w:color w:val="000000"/>
                <w:sz w:val="20"/>
                <w:szCs w:val="20"/>
                <w:lang w:eastAsia="sk-SK"/>
              </w:rPr>
            </w:pPr>
            <w:r w:rsidRPr="003C2E0B">
              <w:rPr>
                <w:rFonts w:eastAsia="Times New Roman" w:cs="Tahoma"/>
                <w:b/>
                <w:bCs/>
                <w:color w:val="000000"/>
                <w:sz w:val="20"/>
                <w:szCs w:val="20"/>
                <w:lang w:eastAsia="sk-SK"/>
              </w:rPr>
              <w:t>Ústredná správa</w:t>
            </w:r>
          </w:p>
        </w:tc>
        <w:tc>
          <w:tcPr>
            <w:tcW w:w="727" w:type="pct"/>
            <w:shd w:val="clear" w:color="auto" w:fill="auto"/>
            <w:vAlign w:val="center"/>
          </w:tcPr>
          <w:p w14:paraId="00E06ADA"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43 821,8</w:t>
            </w:r>
          </w:p>
        </w:tc>
        <w:tc>
          <w:tcPr>
            <w:tcW w:w="727" w:type="pct"/>
            <w:shd w:val="clear" w:color="auto" w:fill="auto"/>
            <w:vAlign w:val="center"/>
          </w:tcPr>
          <w:p w14:paraId="3C6FE817"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44 604,0</w:t>
            </w:r>
          </w:p>
        </w:tc>
        <w:tc>
          <w:tcPr>
            <w:tcW w:w="479" w:type="pct"/>
            <w:shd w:val="clear" w:color="auto" w:fill="auto"/>
            <w:vAlign w:val="center"/>
          </w:tcPr>
          <w:p w14:paraId="2C278B5B"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782,3</w:t>
            </w:r>
          </w:p>
        </w:tc>
        <w:tc>
          <w:tcPr>
            <w:tcW w:w="479" w:type="pct"/>
            <w:vAlign w:val="center"/>
          </w:tcPr>
          <w:p w14:paraId="0419EE90"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101,8</w:t>
            </w:r>
          </w:p>
        </w:tc>
      </w:tr>
      <w:tr w:rsidR="00893B96" w:rsidRPr="003C2E0B" w14:paraId="56D4BC9B" w14:textId="77777777" w:rsidTr="00733B45">
        <w:trPr>
          <w:trHeight w:val="20"/>
        </w:trPr>
        <w:tc>
          <w:tcPr>
            <w:tcW w:w="2588" w:type="pct"/>
            <w:shd w:val="clear" w:color="auto" w:fill="auto"/>
            <w:vAlign w:val="center"/>
            <w:hideMark/>
          </w:tcPr>
          <w:p w14:paraId="7ED881EB" w14:textId="77777777" w:rsidR="00893B96" w:rsidRPr="003C2E0B" w:rsidRDefault="00893B96" w:rsidP="00F919B9">
            <w:pPr>
              <w:pStyle w:val="Odsekzoznamu"/>
              <w:numPr>
                <w:ilvl w:val="0"/>
                <w:numId w:val="3"/>
              </w:numPr>
              <w:rPr>
                <w:rFonts w:eastAsia="Times New Roman" w:cs="Tahoma"/>
                <w:color w:val="000000"/>
                <w:sz w:val="20"/>
                <w:szCs w:val="20"/>
                <w:lang w:eastAsia="sk-SK"/>
              </w:rPr>
            </w:pPr>
            <w:r w:rsidRPr="003C2E0B">
              <w:rPr>
                <w:rFonts w:eastAsia="Times New Roman" w:cs="Tahoma"/>
                <w:color w:val="000000"/>
                <w:sz w:val="20"/>
                <w:szCs w:val="20"/>
                <w:lang w:eastAsia="sk-SK"/>
              </w:rPr>
              <w:t>Štátny dlh</w:t>
            </w:r>
            <w:r w:rsidRPr="003C2E0B">
              <w:rPr>
                <w:rFonts w:eastAsia="Times New Roman" w:cs="Tahoma"/>
                <w:color w:val="000000"/>
                <w:sz w:val="20"/>
                <w:szCs w:val="20"/>
                <w:vertAlign w:val="superscript"/>
                <w:lang w:eastAsia="sk-SK"/>
              </w:rPr>
              <w:t>1)</w:t>
            </w:r>
            <w:r w:rsidRPr="003C2E0B">
              <w:rPr>
                <w:rFonts w:eastAsia="Times New Roman" w:cs="Tahoma"/>
                <w:color w:val="000000"/>
                <w:sz w:val="20"/>
                <w:szCs w:val="20"/>
                <w:lang w:eastAsia="sk-SK"/>
              </w:rPr>
              <w:t xml:space="preserve"> </w:t>
            </w:r>
          </w:p>
        </w:tc>
        <w:tc>
          <w:tcPr>
            <w:tcW w:w="727" w:type="pct"/>
            <w:shd w:val="clear" w:color="auto" w:fill="auto"/>
            <w:vAlign w:val="center"/>
          </w:tcPr>
          <w:p w14:paraId="52FD1313"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42 560,2</w:t>
            </w:r>
          </w:p>
        </w:tc>
        <w:tc>
          <w:tcPr>
            <w:tcW w:w="727" w:type="pct"/>
            <w:shd w:val="clear" w:color="auto" w:fill="auto"/>
            <w:vAlign w:val="center"/>
          </w:tcPr>
          <w:p w14:paraId="51D19FBC"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43 184,6</w:t>
            </w:r>
          </w:p>
        </w:tc>
        <w:tc>
          <w:tcPr>
            <w:tcW w:w="479" w:type="pct"/>
            <w:shd w:val="clear" w:color="auto" w:fill="auto"/>
            <w:vAlign w:val="center"/>
          </w:tcPr>
          <w:p w14:paraId="71E9D559"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624,5</w:t>
            </w:r>
          </w:p>
        </w:tc>
        <w:tc>
          <w:tcPr>
            <w:tcW w:w="479" w:type="pct"/>
            <w:vAlign w:val="center"/>
          </w:tcPr>
          <w:p w14:paraId="32AAA04F"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101,5</w:t>
            </w:r>
          </w:p>
        </w:tc>
      </w:tr>
      <w:tr w:rsidR="00893B96" w:rsidRPr="003C2E0B" w14:paraId="7C2DDCA2" w14:textId="77777777" w:rsidTr="00733B45">
        <w:trPr>
          <w:trHeight w:val="20"/>
        </w:trPr>
        <w:tc>
          <w:tcPr>
            <w:tcW w:w="2588" w:type="pct"/>
            <w:shd w:val="clear" w:color="auto" w:fill="auto"/>
            <w:vAlign w:val="center"/>
            <w:hideMark/>
          </w:tcPr>
          <w:p w14:paraId="3A547235" w14:textId="77777777" w:rsidR="00893B96" w:rsidRPr="003C2E0B" w:rsidRDefault="00893B96" w:rsidP="00F919B9">
            <w:pPr>
              <w:pStyle w:val="Odsekzoznamu"/>
              <w:numPr>
                <w:ilvl w:val="0"/>
                <w:numId w:val="3"/>
              </w:numPr>
              <w:rPr>
                <w:rFonts w:eastAsia="Times New Roman" w:cs="Tahoma"/>
                <w:color w:val="000000"/>
                <w:sz w:val="20"/>
                <w:szCs w:val="20"/>
                <w:lang w:eastAsia="sk-SK"/>
              </w:rPr>
            </w:pPr>
            <w:r w:rsidRPr="003C2E0B">
              <w:rPr>
                <w:rFonts w:eastAsia="Times New Roman" w:cs="Tahoma"/>
                <w:color w:val="000000"/>
                <w:sz w:val="20"/>
                <w:szCs w:val="20"/>
                <w:lang w:eastAsia="sk-SK"/>
              </w:rPr>
              <w:t xml:space="preserve">Príspevkové organizácie ústrednej správy </w:t>
            </w:r>
          </w:p>
        </w:tc>
        <w:tc>
          <w:tcPr>
            <w:tcW w:w="727" w:type="pct"/>
            <w:shd w:val="clear" w:color="auto" w:fill="auto"/>
            <w:vAlign w:val="center"/>
          </w:tcPr>
          <w:p w14:paraId="54AE244F"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16,2</w:t>
            </w:r>
          </w:p>
        </w:tc>
        <w:tc>
          <w:tcPr>
            <w:tcW w:w="727" w:type="pct"/>
            <w:shd w:val="clear" w:color="auto" w:fill="auto"/>
            <w:vAlign w:val="center"/>
          </w:tcPr>
          <w:p w14:paraId="37B3C85C"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1,7</w:t>
            </w:r>
          </w:p>
        </w:tc>
        <w:tc>
          <w:tcPr>
            <w:tcW w:w="479" w:type="pct"/>
            <w:shd w:val="clear" w:color="auto" w:fill="auto"/>
            <w:vAlign w:val="center"/>
          </w:tcPr>
          <w:p w14:paraId="071A4D36"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-14,4</w:t>
            </w:r>
          </w:p>
        </w:tc>
        <w:tc>
          <w:tcPr>
            <w:tcW w:w="479" w:type="pct"/>
            <w:vAlign w:val="center"/>
          </w:tcPr>
          <w:p w14:paraId="1710D7A7"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10,7</w:t>
            </w:r>
          </w:p>
        </w:tc>
      </w:tr>
      <w:tr w:rsidR="00893B96" w:rsidRPr="003C2E0B" w14:paraId="3F9D7AD3" w14:textId="77777777" w:rsidTr="00733B45">
        <w:trPr>
          <w:trHeight w:val="20"/>
        </w:trPr>
        <w:tc>
          <w:tcPr>
            <w:tcW w:w="2588" w:type="pct"/>
            <w:shd w:val="clear" w:color="auto" w:fill="auto"/>
            <w:vAlign w:val="center"/>
            <w:hideMark/>
          </w:tcPr>
          <w:p w14:paraId="0676312F" w14:textId="77777777" w:rsidR="00893B96" w:rsidRPr="003C2E0B" w:rsidRDefault="00893B96" w:rsidP="00F919B9">
            <w:pPr>
              <w:pStyle w:val="Odsekzoznamu"/>
              <w:numPr>
                <w:ilvl w:val="0"/>
                <w:numId w:val="3"/>
              </w:numPr>
              <w:rPr>
                <w:rFonts w:eastAsia="Times New Roman" w:cs="Tahoma"/>
                <w:color w:val="000000"/>
                <w:sz w:val="20"/>
                <w:szCs w:val="20"/>
                <w:lang w:eastAsia="sk-SK"/>
              </w:rPr>
            </w:pPr>
            <w:r w:rsidRPr="003C2E0B">
              <w:rPr>
                <w:rFonts w:eastAsia="Times New Roman" w:cs="Tahoma"/>
                <w:color w:val="000000"/>
                <w:sz w:val="20"/>
                <w:szCs w:val="20"/>
                <w:lang w:eastAsia="sk-SK"/>
              </w:rPr>
              <w:t xml:space="preserve">Exportno-importná banka Slovenskej republiky </w:t>
            </w:r>
          </w:p>
        </w:tc>
        <w:tc>
          <w:tcPr>
            <w:tcW w:w="727" w:type="pct"/>
            <w:shd w:val="clear" w:color="auto" w:fill="auto"/>
            <w:vAlign w:val="center"/>
          </w:tcPr>
          <w:p w14:paraId="7F499523"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10,1</w:t>
            </w:r>
          </w:p>
        </w:tc>
        <w:tc>
          <w:tcPr>
            <w:tcW w:w="727" w:type="pct"/>
            <w:shd w:val="clear" w:color="auto" w:fill="auto"/>
            <w:vAlign w:val="center"/>
          </w:tcPr>
          <w:p w14:paraId="44EB6157"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124,5</w:t>
            </w:r>
          </w:p>
        </w:tc>
        <w:tc>
          <w:tcPr>
            <w:tcW w:w="479" w:type="pct"/>
            <w:shd w:val="clear" w:color="auto" w:fill="auto"/>
            <w:vAlign w:val="center"/>
          </w:tcPr>
          <w:p w14:paraId="150229BD"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114,3</w:t>
            </w:r>
          </w:p>
        </w:tc>
        <w:tc>
          <w:tcPr>
            <w:tcW w:w="479" w:type="pct"/>
            <w:vAlign w:val="center"/>
          </w:tcPr>
          <w:p w14:paraId="0F07F70E"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1 229,7</w:t>
            </w:r>
          </w:p>
        </w:tc>
      </w:tr>
      <w:tr w:rsidR="00893B96" w:rsidRPr="003C2E0B" w14:paraId="52658AEC" w14:textId="77777777" w:rsidTr="00733B45">
        <w:trPr>
          <w:trHeight w:val="20"/>
        </w:trPr>
        <w:tc>
          <w:tcPr>
            <w:tcW w:w="2588" w:type="pct"/>
            <w:shd w:val="clear" w:color="auto" w:fill="auto"/>
            <w:vAlign w:val="center"/>
            <w:hideMark/>
          </w:tcPr>
          <w:p w14:paraId="177DC6F9" w14:textId="77777777" w:rsidR="00893B96" w:rsidRPr="003C2E0B" w:rsidRDefault="00893B96" w:rsidP="00F919B9">
            <w:pPr>
              <w:pStyle w:val="Odsekzoznamu"/>
              <w:numPr>
                <w:ilvl w:val="0"/>
                <w:numId w:val="3"/>
              </w:numPr>
              <w:rPr>
                <w:rFonts w:eastAsia="Times New Roman" w:cs="Tahoma"/>
                <w:color w:val="000000"/>
                <w:sz w:val="20"/>
                <w:szCs w:val="20"/>
                <w:lang w:eastAsia="sk-SK"/>
              </w:rPr>
            </w:pPr>
            <w:r w:rsidRPr="003C2E0B">
              <w:rPr>
                <w:rFonts w:eastAsia="Times New Roman" w:cs="Tahoma"/>
                <w:color w:val="000000"/>
                <w:sz w:val="20"/>
                <w:szCs w:val="20"/>
                <w:lang w:eastAsia="sk-SK"/>
              </w:rPr>
              <w:t xml:space="preserve">Obchodné spoločnosti štátu </w:t>
            </w:r>
          </w:p>
        </w:tc>
        <w:tc>
          <w:tcPr>
            <w:tcW w:w="727" w:type="pct"/>
            <w:shd w:val="clear" w:color="auto" w:fill="auto"/>
            <w:vAlign w:val="center"/>
          </w:tcPr>
          <w:p w14:paraId="4F46FB86"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665,1</w:t>
            </w:r>
          </w:p>
        </w:tc>
        <w:tc>
          <w:tcPr>
            <w:tcW w:w="727" w:type="pct"/>
            <w:shd w:val="clear" w:color="auto" w:fill="auto"/>
            <w:vAlign w:val="center"/>
          </w:tcPr>
          <w:p w14:paraId="712C1EF1"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740,7</w:t>
            </w:r>
          </w:p>
        </w:tc>
        <w:tc>
          <w:tcPr>
            <w:tcW w:w="479" w:type="pct"/>
            <w:shd w:val="clear" w:color="auto" w:fill="auto"/>
            <w:vAlign w:val="center"/>
          </w:tcPr>
          <w:p w14:paraId="44ABE688"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75,6</w:t>
            </w:r>
          </w:p>
        </w:tc>
        <w:tc>
          <w:tcPr>
            <w:tcW w:w="479" w:type="pct"/>
            <w:vAlign w:val="center"/>
          </w:tcPr>
          <w:p w14:paraId="11B7C74D"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111,4</w:t>
            </w:r>
          </w:p>
        </w:tc>
      </w:tr>
      <w:tr w:rsidR="00893B96" w:rsidRPr="003C2E0B" w14:paraId="1C069093" w14:textId="77777777" w:rsidTr="00733B45">
        <w:trPr>
          <w:trHeight w:val="20"/>
        </w:trPr>
        <w:tc>
          <w:tcPr>
            <w:tcW w:w="2588" w:type="pct"/>
            <w:shd w:val="clear" w:color="auto" w:fill="auto"/>
            <w:vAlign w:val="center"/>
          </w:tcPr>
          <w:p w14:paraId="1C8F512F" w14:textId="77777777" w:rsidR="00893B96" w:rsidRPr="003C2E0B" w:rsidRDefault="00893B96" w:rsidP="00F919B9">
            <w:pPr>
              <w:pStyle w:val="Odsekzoznamu"/>
              <w:numPr>
                <w:ilvl w:val="0"/>
                <w:numId w:val="4"/>
              </w:numPr>
              <w:rPr>
                <w:rFonts w:eastAsia="Times New Roman" w:cs="Tahoma"/>
                <w:color w:val="000000"/>
                <w:sz w:val="20"/>
                <w:szCs w:val="20"/>
                <w:lang w:eastAsia="sk-SK"/>
              </w:rPr>
            </w:pPr>
            <w:r w:rsidRPr="003C2E0B">
              <w:rPr>
                <w:rFonts w:eastAsia="Times New Roman" w:cs="Tahoma"/>
                <w:color w:val="000000"/>
                <w:sz w:val="20"/>
                <w:szCs w:val="20"/>
                <w:lang w:eastAsia="sk-SK"/>
              </w:rPr>
              <w:t xml:space="preserve">Železničná spoločnosť Slovensko, a. s. </w:t>
            </w:r>
          </w:p>
        </w:tc>
        <w:tc>
          <w:tcPr>
            <w:tcW w:w="727" w:type="pct"/>
            <w:shd w:val="clear" w:color="auto" w:fill="auto"/>
            <w:vAlign w:val="center"/>
          </w:tcPr>
          <w:p w14:paraId="412A3C8F"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386,4</w:t>
            </w:r>
          </w:p>
        </w:tc>
        <w:tc>
          <w:tcPr>
            <w:tcW w:w="727" w:type="pct"/>
            <w:shd w:val="clear" w:color="auto" w:fill="auto"/>
            <w:vAlign w:val="center"/>
          </w:tcPr>
          <w:p w14:paraId="0C62148A"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455,3</w:t>
            </w:r>
          </w:p>
        </w:tc>
        <w:tc>
          <w:tcPr>
            <w:tcW w:w="479" w:type="pct"/>
            <w:shd w:val="clear" w:color="auto" w:fill="auto"/>
            <w:vAlign w:val="center"/>
          </w:tcPr>
          <w:p w14:paraId="29BABCC3"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68,9</w:t>
            </w:r>
          </w:p>
        </w:tc>
        <w:tc>
          <w:tcPr>
            <w:tcW w:w="479" w:type="pct"/>
            <w:vAlign w:val="center"/>
          </w:tcPr>
          <w:p w14:paraId="7BE85B61"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117,8</w:t>
            </w:r>
          </w:p>
        </w:tc>
      </w:tr>
      <w:tr w:rsidR="00893B96" w:rsidRPr="003C2E0B" w14:paraId="069BBAA4" w14:textId="77777777" w:rsidTr="00733B45">
        <w:trPr>
          <w:trHeight w:val="20"/>
        </w:trPr>
        <w:tc>
          <w:tcPr>
            <w:tcW w:w="2588" w:type="pct"/>
            <w:shd w:val="clear" w:color="auto" w:fill="auto"/>
            <w:vAlign w:val="center"/>
          </w:tcPr>
          <w:p w14:paraId="42E52674" w14:textId="77777777" w:rsidR="00893B96" w:rsidRPr="003C2E0B" w:rsidRDefault="00893B96" w:rsidP="00F919B9">
            <w:pPr>
              <w:pStyle w:val="Odsekzoznamu"/>
              <w:numPr>
                <w:ilvl w:val="0"/>
                <w:numId w:val="4"/>
              </w:numPr>
              <w:rPr>
                <w:rFonts w:eastAsia="Times New Roman" w:cs="Tahoma"/>
                <w:color w:val="000000"/>
                <w:sz w:val="20"/>
                <w:szCs w:val="20"/>
                <w:lang w:eastAsia="sk-SK"/>
              </w:rPr>
            </w:pPr>
            <w:r w:rsidRPr="003C2E0B">
              <w:rPr>
                <w:rFonts w:eastAsia="Times New Roman" w:cs="Tahoma"/>
                <w:color w:val="000000"/>
                <w:sz w:val="20"/>
                <w:szCs w:val="20"/>
                <w:lang w:eastAsia="sk-SK"/>
              </w:rPr>
              <w:t xml:space="preserve">Železnice Slovenskej republiky </w:t>
            </w:r>
          </w:p>
        </w:tc>
        <w:tc>
          <w:tcPr>
            <w:tcW w:w="727" w:type="pct"/>
            <w:shd w:val="clear" w:color="auto" w:fill="auto"/>
            <w:vAlign w:val="center"/>
          </w:tcPr>
          <w:p w14:paraId="6C00FBD1"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83,2</w:t>
            </w:r>
          </w:p>
        </w:tc>
        <w:tc>
          <w:tcPr>
            <w:tcW w:w="727" w:type="pct"/>
            <w:shd w:val="clear" w:color="auto" w:fill="auto"/>
            <w:vAlign w:val="center"/>
          </w:tcPr>
          <w:p w14:paraId="7CC96C4B"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131,1</w:t>
            </w:r>
          </w:p>
        </w:tc>
        <w:tc>
          <w:tcPr>
            <w:tcW w:w="479" w:type="pct"/>
            <w:shd w:val="clear" w:color="auto" w:fill="auto"/>
            <w:vAlign w:val="center"/>
          </w:tcPr>
          <w:p w14:paraId="564C84B0"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47,9</w:t>
            </w:r>
          </w:p>
        </w:tc>
        <w:tc>
          <w:tcPr>
            <w:tcW w:w="479" w:type="pct"/>
            <w:vAlign w:val="center"/>
          </w:tcPr>
          <w:p w14:paraId="508B2F20"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157,5</w:t>
            </w:r>
          </w:p>
        </w:tc>
      </w:tr>
      <w:tr w:rsidR="00893B96" w:rsidRPr="003C2E0B" w14:paraId="605BEA3C" w14:textId="77777777" w:rsidTr="00733B45">
        <w:trPr>
          <w:trHeight w:val="20"/>
        </w:trPr>
        <w:tc>
          <w:tcPr>
            <w:tcW w:w="2588" w:type="pct"/>
            <w:shd w:val="clear" w:color="auto" w:fill="auto"/>
            <w:vAlign w:val="center"/>
          </w:tcPr>
          <w:p w14:paraId="1F53DB27" w14:textId="77777777" w:rsidR="00893B96" w:rsidRPr="003C2E0B" w:rsidRDefault="00893B96" w:rsidP="00F919B9">
            <w:pPr>
              <w:pStyle w:val="Odsekzoznamu"/>
              <w:numPr>
                <w:ilvl w:val="0"/>
                <w:numId w:val="4"/>
              </w:numPr>
              <w:rPr>
                <w:rFonts w:eastAsia="Times New Roman" w:cs="Tahoma"/>
                <w:color w:val="000000"/>
                <w:sz w:val="20"/>
                <w:szCs w:val="20"/>
                <w:lang w:eastAsia="sk-SK"/>
              </w:rPr>
            </w:pPr>
            <w:r w:rsidRPr="003C2E0B">
              <w:rPr>
                <w:rFonts w:eastAsia="Times New Roman" w:cs="Tahoma"/>
                <w:color w:val="000000"/>
                <w:sz w:val="20"/>
                <w:szCs w:val="20"/>
                <w:lang w:eastAsia="sk-SK"/>
              </w:rPr>
              <w:t xml:space="preserve">Národná diaľničná spoločnosť, a. s. </w:t>
            </w:r>
          </w:p>
        </w:tc>
        <w:tc>
          <w:tcPr>
            <w:tcW w:w="727" w:type="pct"/>
            <w:shd w:val="clear" w:color="auto" w:fill="auto"/>
            <w:vAlign w:val="center"/>
          </w:tcPr>
          <w:p w14:paraId="6F0B3C22"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169,2</w:t>
            </w:r>
          </w:p>
        </w:tc>
        <w:tc>
          <w:tcPr>
            <w:tcW w:w="727" w:type="pct"/>
            <w:shd w:val="clear" w:color="auto" w:fill="auto"/>
            <w:vAlign w:val="center"/>
          </w:tcPr>
          <w:p w14:paraId="1D0EE3CF"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127,4</w:t>
            </w:r>
          </w:p>
        </w:tc>
        <w:tc>
          <w:tcPr>
            <w:tcW w:w="479" w:type="pct"/>
            <w:shd w:val="clear" w:color="auto" w:fill="auto"/>
            <w:vAlign w:val="center"/>
          </w:tcPr>
          <w:p w14:paraId="5F462EA0"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-41,9</w:t>
            </w:r>
          </w:p>
        </w:tc>
        <w:tc>
          <w:tcPr>
            <w:tcW w:w="479" w:type="pct"/>
            <w:vAlign w:val="center"/>
          </w:tcPr>
          <w:p w14:paraId="22779355"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75,3</w:t>
            </w:r>
          </w:p>
        </w:tc>
      </w:tr>
      <w:tr w:rsidR="00893B96" w:rsidRPr="003C2E0B" w14:paraId="427C06ED" w14:textId="77777777" w:rsidTr="00733B45">
        <w:trPr>
          <w:trHeight w:val="20"/>
        </w:trPr>
        <w:tc>
          <w:tcPr>
            <w:tcW w:w="2588" w:type="pct"/>
            <w:shd w:val="clear" w:color="auto" w:fill="auto"/>
            <w:vAlign w:val="center"/>
          </w:tcPr>
          <w:p w14:paraId="4135EF24" w14:textId="77777777" w:rsidR="00893B96" w:rsidRPr="003C2E0B" w:rsidRDefault="00893B96" w:rsidP="00F919B9">
            <w:pPr>
              <w:pStyle w:val="Odsekzoznamu"/>
              <w:numPr>
                <w:ilvl w:val="0"/>
                <w:numId w:val="4"/>
              </w:numPr>
              <w:rPr>
                <w:rFonts w:eastAsia="Times New Roman" w:cs="Tahoma"/>
                <w:color w:val="000000"/>
                <w:sz w:val="20"/>
                <w:szCs w:val="20"/>
                <w:lang w:eastAsia="sk-SK"/>
              </w:rPr>
            </w:pPr>
            <w:r w:rsidRPr="003C2E0B">
              <w:rPr>
                <w:rFonts w:eastAsia="Times New Roman" w:cs="Tahoma"/>
                <w:color w:val="000000"/>
                <w:sz w:val="20"/>
                <w:szCs w:val="20"/>
                <w:lang w:eastAsia="sk-SK"/>
              </w:rPr>
              <w:t xml:space="preserve">MH Manažment, a. s. </w:t>
            </w:r>
          </w:p>
        </w:tc>
        <w:tc>
          <w:tcPr>
            <w:tcW w:w="727" w:type="pct"/>
            <w:shd w:val="clear" w:color="auto" w:fill="auto"/>
            <w:vAlign w:val="center"/>
          </w:tcPr>
          <w:p w14:paraId="4D240EC5"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15,2</w:t>
            </w:r>
          </w:p>
        </w:tc>
        <w:tc>
          <w:tcPr>
            <w:tcW w:w="727" w:type="pct"/>
            <w:shd w:val="clear" w:color="auto" w:fill="auto"/>
            <w:vAlign w:val="center"/>
          </w:tcPr>
          <w:p w14:paraId="7B577B79"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15,2</w:t>
            </w:r>
          </w:p>
        </w:tc>
        <w:tc>
          <w:tcPr>
            <w:tcW w:w="479" w:type="pct"/>
            <w:shd w:val="clear" w:color="auto" w:fill="auto"/>
            <w:vAlign w:val="center"/>
          </w:tcPr>
          <w:p w14:paraId="6628BDFA"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0,0</w:t>
            </w:r>
          </w:p>
        </w:tc>
        <w:tc>
          <w:tcPr>
            <w:tcW w:w="479" w:type="pct"/>
            <w:vAlign w:val="center"/>
          </w:tcPr>
          <w:p w14:paraId="440D04C0"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100,0</w:t>
            </w:r>
          </w:p>
        </w:tc>
      </w:tr>
      <w:tr w:rsidR="00893B96" w:rsidRPr="003C2E0B" w14:paraId="3A9BC7E4" w14:textId="77777777" w:rsidTr="00733B45">
        <w:trPr>
          <w:trHeight w:val="20"/>
        </w:trPr>
        <w:tc>
          <w:tcPr>
            <w:tcW w:w="2588" w:type="pct"/>
            <w:shd w:val="clear" w:color="auto" w:fill="auto"/>
            <w:vAlign w:val="center"/>
          </w:tcPr>
          <w:p w14:paraId="2B228F63" w14:textId="77777777" w:rsidR="00893B96" w:rsidRPr="003C2E0B" w:rsidRDefault="00893B96" w:rsidP="00F919B9">
            <w:pPr>
              <w:pStyle w:val="Odsekzoznamu"/>
              <w:numPr>
                <w:ilvl w:val="0"/>
                <w:numId w:val="4"/>
              </w:numPr>
              <w:rPr>
                <w:rFonts w:eastAsia="Times New Roman" w:cs="Tahoma"/>
                <w:color w:val="000000"/>
                <w:sz w:val="20"/>
                <w:szCs w:val="20"/>
                <w:lang w:eastAsia="sk-SK"/>
              </w:rPr>
            </w:pPr>
            <w:r w:rsidRPr="003C2E0B">
              <w:rPr>
                <w:rFonts w:eastAsia="Times New Roman" w:cs="Tahoma"/>
                <w:color w:val="000000"/>
                <w:sz w:val="20"/>
                <w:szCs w:val="20"/>
                <w:lang w:eastAsia="sk-SK"/>
              </w:rPr>
              <w:t xml:space="preserve">JAVYS, a. s. </w:t>
            </w:r>
          </w:p>
        </w:tc>
        <w:tc>
          <w:tcPr>
            <w:tcW w:w="727" w:type="pct"/>
            <w:shd w:val="clear" w:color="auto" w:fill="auto"/>
            <w:vAlign w:val="center"/>
          </w:tcPr>
          <w:p w14:paraId="67E381E9"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8,3</w:t>
            </w:r>
          </w:p>
        </w:tc>
        <w:tc>
          <w:tcPr>
            <w:tcW w:w="727" w:type="pct"/>
            <w:shd w:val="clear" w:color="auto" w:fill="auto"/>
            <w:vAlign w:val="center"/>
          </w:tcPr>
          <w:p w14:paraId="1DFBA349"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9,0</w:t>
            </w:r>
          </w:p>
        </w:tc>
        <w:tc>
          <w:tcPr>
            <w:tcW w:w="479" w:type="pct"/>
            <w:shd w:val="clear" w:color="auto" w:fill="auto"/>
            <w:vAlign w:val="center"/>
          </w:tcPr>
          <w:p w14:paraId="59B3E09D"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0,6</w:t>
            </w:r>
          </w:p>
        </w:tc>
        <w:tc>
          <w:tcPr>
            <w:tcW w:w="479" w:type="pct"/>
            <w:vAlign w:val="center"/>
          </w:tcPr>
          <w:p w14:paraId="64BCD09B"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107,6</w:t>
            </w:r>
          </w:p>
        </w:tc>
      </w:tr>
      <w:tr w:rsidR="00893B96" w:rsidRPr="003C2E0B" w14:paraId="2E136386" w14:textId="77777777" w:rsidTr="00733B45">
        <w:trPr>
          <w:trHeight w:val="20"/>
        </w:trPr>
        <w:tc>
          <w:tcPr>
            <w:tcW w:w="2588" w:type="pct"/>
            <w:shd w:val="clear" w:color="auto" w:fill="auto"/>
            <w:vAlign w:val="center"/>
          </w:tcPr>
          <w:p w14:paraId="055039CB" w14:textId="77777777" w:rsidR="00893B96" w:rsidRPr="003C2E0B" w:rsidRDefault="00893B96" w:rsidP="00F919B9">
            <w:pPr>
              <w:pStyle w:val="Odsekzoznamu"/>
              <w:numPr>
                <w:ilvl w:val="0"/>
                <w:numId w:val="4"/>
              </w:numPr>
              <w:rPr>
                <w:rFonts w:eastAsia="Times New Roman" w:cs="Tahoma"/>
                <w:color w:val="000000"/>
                <w:sz w:val="20"/>
                <w:szCs w:val="20"/>
                <w:lang w:eastAsia="sk-SK"/>
              </w:rPr>
            </w:pPr>
            <w:r w:rsidRPr="003C2E0B">
              <w:rPr>
                <w:rFonts w:eastAsia="Times New Roman" w:cs="Tahoma"/>
                <w:color w:val="000000"/>
                <w:sz w:val="20"/>
                <w:szCs w:val="20"/>
                <w:lang w:eastAsia="sk-SK"/>
              </w:rPr>
              <w:t xml:space="preserve">MH Invest II., s. r. o. </w:t>
            </w:r>
          </w:p>
        </w:tc>
        <w:tc>
          <w:tcPr>
            <w:tcW w:w="727" w:type="pct"/>
            <w:shd w:val="clear" w:color="auto" w:fill="auto"/>
            <w:vAlign w:val="center"/>
          </w:tcPr>
          <w:p w14:paraId="71C5CA8E"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2,8</w:t>
            </w:r>
          </w:p>
        </w:tc>
        <w:tc>
          <w:tcPr>
            <w:tcW w:w="727" w:type="pct"/>
            <w:shd w:val="clear" w:color="auto" w:fill="auto"/>
            <w:vAlign w:val="center"/>
          </w:tcPr>
          <w:p w14:paraId="4BF89110"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2,7</w:t>
            </w:r>
          </w:p>
        </w:tc>
        <w:tc>
          <w:tcPr>
            <w:tcW w:w="479" w:type="pct"/>
            <w:shd w:val="clear" w:color="auto" w:fill="auto"/>
            <w:vAlign w:val="center"/>
          </w:tcPr>
          <w:p w14:paraId="19E1E6CF"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0,0</w:t>
            </w:r>
          </w:p>
        </w:tc>
        <w:tc>
          <w:tcPr>
            <w:tcW w:w="479" w:type="pct"/>
            <w:vAlign w:val="center"/>
          </w:tcPr>
          <w:p w14:paraId="0A605E6E"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99,1</w:t>
            </w:r>
          </w:p>
        </w:tc>
      </w:tr>
      <w:tr w:rsidR="00893B96" w:rsidRPr="003C2E0B" w14:paraId="67915D17" w14:textId="77777777" w:rsidTr="00733B45">
        <w:trPr>
          <w:trHeight w:val="20"/>
        </w:trPr>
        <w:tc>
          <w:tcPr>
            <w:tcW w:w="2588" w:type="pct"/>
            <w:shd w:val="clear" w:color="auto" w:fill="auto"/>
            <w:vAlign w:val="center"/>
            <w:hideMark/>
          </w:tcPr>
          <w:p w14:paraId="38DDE30C" w14:textId="77777777" w:rsidR="00893B96" w:rsidRPr="003C2E0B" w:rsidRDefault="00893B96" w:rsidP="00F919B9">
            <w:pPr>
              <w:pStyle w:val="Odsekzoznamu"/>
              <w:numPr>
                <w:ilvl w:val="0"/>
                <w:numId w:val="3"/>
              </w:numPr>
              <w:rPr>
                <w:rFonts w:eastAsia="Times New Roman" w:cs="Tahoma"/>
                <w:color w:val="000000"/>
                <w:sz w:val="20"/>
                <w:szCs w:val="20"/>
                <w:lang w:eastAsia="sk-SK"/>
              </w:rPr>
            </w:pPr>
            <w:r w:rsidRPr="003C2E0B">
              <w:rPr>
                <w:rFonts w:eastAsia="Times New Roman" w:cs="Tahoma"/>
                <w:color w:val="000000"/>
                <w:sz w:val="20"/>
                <w:szCs w:val="20"/>
                <w:lang w:eastAsia="sk-SK"/>
              </w:rPr>
              <w:t xml:space="preserve">Verejné vysoké školy </w:t>
            </w:r>
          </w:p>
        </w:tc>
        <w:tc>
          <w:tcPr>
            <w:tcW w:w="727" w:type="pct"/>
            <w:shd w:val="clear" w:color="auto" w:fill="auto"/>
            <w:vAlign w:val="center"/>
          </w:tcPr>
          <w:p w14:paraId="335C1542"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5,6</w:t>
            </w:r>
          </w:p>
        </w:tc>
        <w:tc>
          <w:tcPr>
            <w:tcW w:w="727" w:type="pct"/>
            <w:shd w:val="clear" w:color="auto" w:fill="auto"/>
            <w:vAlign w:val="center"/>
          </w:tcPr>
          <w:p w14:paraId="6EA84CE8"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5,4</w:t>
            </w:r>
          </w:p>
        </w:tc>
        <w:tc>
          <w:tcPr>
            <w:tcW w:w="479" w:type="pct"/>
            <w:shd w:val="clear" w:color="auto" w:fill="auto"/>
            <w:vAlign w:val="center"/>
          </w:tcPr>
          <w:p w14:paraId="499B4882"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-0,1</w:t>
            </w:r>
          </w:p>
        </w:tc>
        <w:tc>
          <w:tcPr>
            <w:tcW w:w="479" w:type="pct"/>
            <w:vAlign w:val="center"/>
          </w:tcPr>
          <w:p w14:paraId="6539702D"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97,9</w:t>
            </w:r>
          </w:p>
        </w:tc>
      </w:tr>
      <w:tr w:rsidR="00893B96" w:rsidRPr="003C2E0B" w14:paraId="3837801A" w14:textId="77777777" w:rsidTr="00733B45">
        <w:trPr>
          <w:trHeight w:val="20"/>
        </w:trPr>
        <w:tc>
          <w:tcPr>
            <w:tcW w:w="2588" w:type="pct"/>
            <w:shd w:val="clear" w:color="auto" w:fill="auto"/>
            <w:vAlign w:val="center"/>
            <w:hideMark/>
          </w:tcPr>
          <w:p w14:paraId="4EAD2707" w14:textId="77777777" w:rsidR="00893B96" w:rsidRPr="003C2E0B" w:rsidRDefault="00893B96" w:rsidP="00F919B9">
            <w:pPr>
              <w:pStyle w:val="Odsekzoznamu"/>
              <w:numPr>
                <w:ilvl w:val="0"/>
                <w:numId w:val="3"/>
              </w:numPr>
              <w:rPr>
                <w:rFonts w:eastAsia="Times New Roman" w:cs="Tahoma"/>
                <w:color w:val="000000"/>
                <w:sz w:val="20"/>
                <w:szCs w:val="20"/>
                <w:lang w:eastAsia="sk-SK"/>
              </w:rPr>
            </w:pPr>
            <w:r w:rsidRPr="003C2E0B">
              <w:rPr>
                <w:rFonts w:eastAsia="Times New Roman" w:cs="Tahoma"/>
                <w:color w:val="000000"/>
                <w:sz w:val="20"/>
                <w:szCs w:val="20"/>
                <w:lang w:eastAsia="sk-SK"/>
              </w:rPr>
              <w:t xml:space="preserve">Zdravotnícke zariadenia ústrednej správy </w:t>
            </w:r>
          </w:p>
        </w:tc>
        <w:tc>
          <w:tcPr>
            <w:tcW w:w="727" w:type="pct"/>
            <w:shd w:val="clear" w:color="auto" w:fill="auto"/>
            <w:vAlign w:val="center"/>
          </w:tcPr>
          <w:p w14:paraId="63BF120E"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152,2</w:t>
            </w:r>
          </w:p>
        </w:tc>
        <w:tc>
          <w:tcPr>
            <w:tcW w:w="727" w:type="pct"/>
            <w:shd w:val="clear" w:color="auto" w:fill="auto"/>
            <w:vAlign w:val="center"/>
          </w:tcPr>
          <w:p w14:paraId="34248D1C"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179,5</w:t>
            </w:r>
          </w:p>
        </w:tc>
        <w:tc>
          <w:tcPr>
            <w:tcW w:w="479" w:type="pct"/>
            <w:shd w:val="clear" w:color="auto" w:fill="auto"/>
            <w:vAlign w:val="center"/>
          </w:tcPr>
          <w:p w14:paraId="794645D5"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27,3</w:t>
            </w:r>
          </w:p>
        </w:tc>
        <w:tc>
          <w:tcPr>
            <w:tcW w:w="479" w:type="pct"/>
            <w:vAlign w:val="center"/>
          </w:tcPr>
          <w:p w14:paraId="17F1F458"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117,9</w:t>
            </w:r>
          </w:p>
        </w:tc>
      </w:tr>
      <w:tr w:rsidR="00893B96" w:rsidRPr="003C2E0B" w14:paraId="5F94533D" w14:textId="77777777" w:rsidTr="00733B45">
        <w:trPr>
          <w:trHeight w:val="20"/>
        </w:trPr>
        <w:tc>
          <w:tcPr>
            <w:tcW w:w="2588" w:type="pct"/>
            <w:shd w:val="clear" w:color="auto" w:fill="auto"/>
            <w:vAlign w:val="center"/>
            <w:hideMark/>
          </w:tcPr>
          <w:p w14:paraId="443A3EC3" w14:textId="77777777" w:rsidR="00893B96" w:rsidRPr="003C2E0B" w:rsidRDefault="00893B96" w:rsidP="00F919B9">
            <w:pPr>
              <w:pStyle w:val="Odsekzoznamu"/>
              <w:numPr>
                <w:ilvl w:val="0"/>
                <w:numId w:val="3"/>
              </w:numPr>
              <w:rPr>
                <w:rFonts w:eastAsia="Times New Roman" w:cs="Tahoma"/>
                <w:color w:val="000000"/>
                <w:sz w:val="20"/>
                <w:szCs w:val="20"/>
                <w:lang w:eastAsia="sk-SK"/>
              </w:rPr>
            </w:pPr>
            <w:r w:rsidRPr="003C2E0B">
              <w:rPr>
                <w:rFonts w:eastAsia="Times New Roman" w:cs="Tahoma"/>
                <w:color w:val="000000"/>
                <w:sz w:val="20"/>
                <w:szCs w:val="20"/>
                <w:lang w:eastAsia="sk-SK"/>
              </w:rPr>
              <w:t xml:space="preserve">Ostatné subjekty ústrednej správy </w:t>
            </w:r>
          </w:p>
        </w:tc>
        <w:tc>
          <w:tcPr>
            <w:tcW w:w="727" w:type="pct"/>
            <w:shd w:val="clear" w:color="auto" w:fill="auto"/>
            <w:vAlign w:val="center"/>
          </w:tcPr>
          <w:p w14:paraId="0986861A"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412,4</w:t>
            </w:r>
          </w:p>
        </w:tc>
        <w:tc>
          <w:tcPr>
            <w:tcW w:w="727" w:type="pct"/>
            <w:shd w:val="clear" w:color="auto" w:fill="auto"/>
            <w:vAlign w:val="center"/>
          </w:tcPr>
          <w:p w14:paraId="08D33CF6"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367,5</w:t>
            </w:r>
          </w:p>
        </w:tc>
        <w:tc>
          <w:tcPr>
            <w:tcW w:w="479" w:type="pct"/>
            <w:shd w:val="clear" w:color="auto" w:fill="auto"/>
            <w:vAlign w:val="center"/>
          </w:tcPr>
          <w:p w14:paraId="2AD64E9C"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-44,9</w:t>
            </w:r>
          </w:p>
        </w:tc>
        <w:tc>
          <w:tcPr>
            <w:tcW w:w="479" w:type="pct"/>
            <w:vAlign w:val="center"/>
          </w:tcPr>
          <w:p w14:paraId="7A9274B6"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89,1</w:t>
            </w:r>
          </w:p>
        </w:tc>
      </w:tr>
      <w:tr w:rsidR="00893B96" w:rsidRPr="003C2E0B" w14:paraId="5FBD1D96" w14:textId="77777777" w:rsidTr="00733B45">
        <w:trPr>
          <w:trHeight w:val="20"/>
        </w:trPr>
        <w:tc>
          <w:tcPr>
            <w:tcW w:w="2588" w:type="pct"/>
            <w:shd w:val="clear" w:color="auto" w:fill="auto"/>
            <w:vAlign w:val="center"/>
            <w:hideMark/>
          </w:tcPr>
          <w:p w14:paraId="584A455E" w14:textId="77777777" w:rsidR="00893B96" w:rsidRPr="003C2E0B" w:rsidRDefault="00893B96" w:rsidP="00733B45">
            <w:pPr>
              <w:rPr>
                <w:rFonts w:eastAsia="Times New Roman" w:cs="Times New Roman"/>
                <w:b/>
                <w:bCs/>
                <w:color w:val="000000"/>
                <w:sz w:val="20"/>
                <w:szCs w:val="20"/>
                <w:lang w:eastAsia="sk-SK"/>
              </w:rPr>
            </w:pPr>
            <w:r w:rsidRPr="003C2E0B">
              <w:rPr>
                <w:rFonts w:eastAsia="Times New Roman" w:cs="Times New Roman"/>
                <w:b/>
                <w:bCs/>
                <w:color w:val="000000"/>
                <w:sz w:val="20"/>
                <w:szCs w:val="20"/>
                <w:lang w:eastAsia="sk-SK"/>
              </w:rPr>
              <w:t xml:space="preserve">Územná samospráva </w:t>
            </w:r>
          </w:p>
        </w:tc>
        <w:tc>
          <w:tcPr>
            <w:tcW w:w="727" w:type="pct"/>
            <w:shd w:val="clear" w:color="auto" w:fill="auto"/>
            <w:vAlign w:val="center"/>
          </w:tcPr>
          <w:p w14:paraId="34540ACE"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1 921,1</w:t>
            </w:r>
          </w:p>
        </w:tc>
        <w:tc>
          <w:tcPr>
            <w:tcW w:w="727" w:type="pct"/>
            <w:shd w:val="clear" w:color="auto" w:fill="auto"/>
            <w:vAlign w:val="center"/>
          </w:tcPr>
          <w:p w14:paraId="172F4AA5"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1 951,8</w:t>
            </w:r>
          </w:p>
        </w:tc>
        <w:tc>
          <w:tcPr>
            <w:tcW w:w="479" w:type="pct"/>
            <w:shd w:val="clear" w:color="auto" w:fill="auto"/>
            <w:vAlign w:val="center"/>
          </w:tcPr>
          <w:p w14:paraId="0C4F4C33"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30,7</w:t>
            </w:r>
          </w:p>
        </w:tc>
        <w:tc>
          <w:tcPr>
            <w:tcW w:w="479" w:type="pct"/>
            <w:vAlign w:val="center"/>
          </w:tcPr>
          <w:p w14:paraId="592AF31A"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101,6</w:t>
            </w:r>
          </w:p>
        </w:tc>
      </w:tr>
      <w:tr w:rsidR="00893B96" w:rsidRPr="003C2E0B" w14:paraId="108C2528" w14:textId="77777777" w:rsidTr="00733B45">
        <w:trPr>
          <w:trHeight w:val="20"/>
        </w:trPr>
        <w:tc>
          <w:tcPr>
            <w:tcW w:w="2588" w:type="pct"/>
            <w:shd w:val="clear" w:color="auto" w:fill="auto"/>
            <w:vAlign w:val="center"/>
            <w:hideMark/>
          </w:tcPr>
          <w:p w14:paraId="7524E7F8" w14:textId="77777777" w:rsidR="00893B96" w:rsidRPr="003C2E0B" w:rsidRDefault="00893B96" w:rsidP="00F919B9">
            <w:pPr>
              <w:pStyle w:val="Odsekzoznamu"/>
              <w:numPr>
                <w:ilvl w:val="0"/>
                <w:numId w:val="3"/>
              </w:numPr>
              <w:rPr>
                <w:rFonts w:eastAsia="Times New Roman" w:cs="Times New Roman"/>
                <w:color w:val="000000"/>
                <w:sz w:val="20"/>
                <w:szCs w:val="20"/>
                <w:lang w:eastAsia="sk-SK"/>
              </w:rPr>
            </w:pPr>
            <w:r w:rsidRPr="003C2E0B">
              <w:rPr>
                <w:rFonts w:eastAsia="Times New Roman" w:cs="Times New Roman"/>
                <w:color w:val="000000"/>
                <w:sz w:val="20"/>
                <w:szCs w:val="20"/>
                <w:lang w:eastAsia="sk-SK"/>
              </w:rPr>
              <w:t xml:space="preserve">Obce a ich rozpočtové organizácie </w:t>
            </w:r>
          </w:p>
        </w:tc>
        <w:tc>
          <w:tcPr>
            <w:tcW w:w="727" w:type="pct"/>
            <w:shd w:val="clear" w:color="auto" w:fill="auto"/>
            <w:vAlign w:val="center"/>
          </w:tcPr>
          <w:p w14:paraId="23E40530"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1 472,9</w:t>
            </w:r>
          </w:p>
        </w:tc>
        <w:tc>
          <w:tcPr>
            <w:tcW w:w="727" w:type="pct"/>
            <w:shd w:val="clear" w:color="auto" w:fill="auto"/>
            <w:vAlign w:val="center"/>
          </w:tcPr>
          <w:p w14:paraId="7DA7D215"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1 490,9</w:t>
            </w:r>
          </w:p>
        </w:tc>
        <w:tc>
          <w:tcPr>
            <w:tcW w:w="479" w:type="pct"/>
            <w:shd w:val="clear" w:color="auto" w:fill="auto"/>
            <w:vAlign w:val="center"/>
          </w:tcPr>
          <w:p w14:paraId="2A33730E"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18,0</w:t>
            </w:r>
          </w:p>
        </w:tc>
        <w:tc>
          <w:tcPr>
            <w:tcW w:w="479" w:type="pct"/>
            <w:vAlign w:val="center"/>
          </w:tcPr>
          <w:p w14:paraId="12D1AAA5"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101,2</w:t>
            </w:r>
          </w:p>
        </w:tc>
      </w:tr>
      <w:tr w:rsidR="00893B96" w:rsidRPr="003C2E0B" w14:paraId="3886DB8A" w14:textId="77777777" w:rsidTr="00733B45">
        <w:trPr>
          <w:trHeight w:val="20"/>
        </w:trPr>
        <w:tc>
          <w:tcPr>
            <w:tcW w:w="2588" w:type="pct"/>
            <w:shd w:val="clear" w:color="auto" w:fill="auto"/>
            <w:vAlign w:val="center"/>
            <w:hideMark/>
          </w:tcPr>
          <w:p w14:paraId="6B7A1F42" w14:textId="77777777" w:rsidR="00893B96" w:rsidRPr="003C2E0B" w:rsidRDefault="00893B96" w:rsidP="00F919B9">
            <w:pPr>
              <w:pStyle w:val="Odsekzoznamu"/>
              <w:numPr>
                <w:ilvl w:val="0"/>
                <w:numId w:val="3"/>
              </w:numPr>
              <w:rPr>
                <w:rFonts w:eastAsia="Times New Roman" w:cs="Times New Roman"/>
                <w:color w:val="000000"/>
                <w:sz w:val="20"/>
                <w:szCs w:val="20"/>
                <w:lang w:eastAsia="sk-SK"/>
              </w:rPr>
            </w:pPr>
            <w:r w:rsidRPr="003C2E0B">
              <w:rPr>
                <w:rFonts w:eastAsia="Times New Roman" w:cs="Times New Roman"/>
                <w:color w:val="000000"/>
                <w:sz w:val="20"/>
                <w:szCs w:val="20"/>
                <w:lang w:eastAsia="sk-SK"/>
              </w:rPr>
              <w:t>Vyššie územné celky a ich rozpočtové  organizácie</w:t>
            </w:r>
          </w:p>
        </w:tc>
        <w:tc>
          <w:tcPr>
            <w:tcW w:w="727" w:type="pct"/>
            <w:shd w:val="clear" w:color="auto" w:fill="auto"/>
            <w:vAlign w:val="center"/>
          </w:tcPr>
          <w:p w14:paraId="470E1BDD"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362,8</w:t>
            </w:r>
          </w:p>
        </w:tc>
        <w:tc>
          <w:tcPr>
            <w:tcW w:w="727" w:type="pct"/>
            <w:shd w:val="clear" w:color="auto" w:fill="auto"/>
            <w:vAlign w:val="center"/>
          </w:tcPr>
          <w:p w14:paraId="034FD4EA"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391,0</w:t>
            </w:r>
          </w:p>
        </w:tc>
        <w:tc>
          <w:tcPr>
            <w:tcW w:w="479" w:type="pct"/>
            <w:shd w:val="clear" w:color="auto" w:fill="auto"/>
            <w:vAlign w:val="center"/>
          </w:tcPr>
          <w:p w14:paraId="28A7D081"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28,2</w:t>
            </w:r>
          </w:p>
        </w:tc>
        <w:tc>
          <w:tcPr>
            <w:tcW w:w="479" w:type="pct"/>
            <w:vAlign w:val="center"/>
          </w:tcPr>
          <w:p w14:paraId="48F6A0E2"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107,8</w:t>
            </w:r>
          </w:p>
        </w:tc>
      </w:tr>
      <w:tr w:rsidR="00893B96" w:rsidRPr="003C2E0B" w14:paraId="108AF633" w14:textId="77777777" w:rsidTr="00733B45">
        <w:trPr>
          <w:trHeight w:val="20"/>
        </w:trPr>
        <w:tc>
          <w:tcPr>
            <w:tcW w:w="2588" w:type="pct"/>
            <w:shd w:val="clear" w:color="auto" w:fill="auto"/>
            <w:vAlign w:val="center"/>
            <w:hideMark/>
          </w:tcPr>
          <w:p w14:paraId="28A10404" w14:textId="77777777" w:rsidR="00893B96" w:rsidRPr="003C2E0B" w:rsidRDefault="00893B96" w:rsidP="00F919B9">
            <w:pPr>
              <w:pStyle w:val="Odsekzoznamu"/>
              <w:numPr>
                <w:ilvl w:val="0"/>
                <w:numId w:val="3"/>
              </w:numPr>
              <w:rPr>
                <w:rFonts w:eastAsia="Times New Roman" w:cs="Times New Roman"/>
                <w:color w:val="000000"/>
                <w:sz w:val="20"/>
                <w:szCs w:val="20"/>
                <w:lang w:eastAsia="sk-SK"/>
              </w:rPr>
            </w:pPr>
            <w:r w:rsidRPr="003C2E0B">
              <w:rPr>
                <w:rFonts w:eastAsia="Times New Roman" w:cs="Times New Roman"/>
                <w:color w:val="000000"/>
                <w:sz w:val="20"/>
                <w:szCs w:val="20"/>
                <w:lang w:eastAsia="sk-SK"/>
              </w:rPr>
              <w:t xml:space="preserve">Príspevkové organizácie obcí </w:t>
            </w:r>
          </w:p>
        </w:tc>
        <w:tc>
          <w:tcPr>
            <w:tcW w:w="727" w:type="pct"/>
            <w:shd w:val="clear" w:color="auto" w:fill="auto"/>
            <w:vAlign w:val="center"/>
          </w:tcPr>
          <w:p w14:paraId="4423E0D9"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1,5</w:t>
            </w:r>
          </w:p>
        </w:tc>
        <w:tc>
          <w:tcPr>
            <w:tcW w:w="727" w:type="pct"/>
            <w:shd w:val="clear" w:color="auto" w:fill="auto"/>
            <w:vAlign w:val="center"/>
          </w:tcPr>
          <w:p w14:paraId="2F75C50B"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1,5</w:t>
            </w:r>
          </w:p>
        </w:tc>
        <w:tc>
          <w:tcPr>
            <w:tcW w:w="479" w:type="pct"/>
            <w:shd w:val="clear" w:color="auto" w:fill="auto"/>
            <w:vAlign w:val="center"/>
          </w:tcPr>
          <w:p w14:paraId="5414F32A"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0,0</w:t>
            </w:r>
          </w:p>
        </w:tc>
        <w:tc>
          <w:tcPr>
            <w:tcW w:w="479" w:type="pct"/>
            <w:vAlign w:val="center"/>
          </w:tcPr>
          <w:p w14:paraId="42C166A1"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97,9</w:t>
            </w:r>
          </w:p>
        </w:tc>
      </w:tr>
      <w:tr w:rsidR="00893B96" w:rsidRPr="003C2E0B" w14:paraId="2A3452F1" w14:textId="77777777" w:rsidTr="00733B45">
        <w:trPr>
          <w:trHeight w:val="20"/>
        </w:trPr>
        <w:tc>
          <w:tcPr>
            <w:tcW w:w="2588" w:type="pct"/>
            <w:shd w:val="clear" w:color="auto" w:fill="auto"/>
            <w:vAlign w:val="center"/>
            <w:hideMark/>
          </w:tcPr>
          <w:p w14:paraId="3E13AF7C" w14:textId="77777777" w:rsidR="00893B96" w:rsidRPr="003C2E0B" w:rsidRDefault="00893B96" w:rsidP="00F919B9">
            <w:pPr>
              <w:pStyle w:val="Odsekzoznamu"/>
              <w:numPr>
                <w:ilvl w:val="0"/>
                <w:numId w:val="3"/>
              </w:numPr>
              <w:rPr>
                <w:rFonts w:eastAsia="Times New Roman" w:cs="Times New Roman"/>
                <w:color w:val="000000"/>
                <w:sz w:val="20"/>
                <w:szCs w:val="20"/>
                <w:lang w:eastAsia="sk-SK"/>
              </w:rPr>
            </w:pPr>
            <w:r w:rsidRPr="003C2E0B">
              <w:rPr>
                <w:rFonts w:eastAsia="Times New Roman" w:cs="Times New Roman"/>
                <w:color w:val="000000"/>
                <w:sz w:val="20"/>
                <w:szCs w:val="20"/>
                <w:lang w:eastAsia="sk-SK"/>
              </w:rPr>
              <w:t xml:space="preserve">Príspevkové organizácie VÚC </w:t>
            </w:r>
          </w:p>
        </w:tc>
        <w:tc>
          <w:tcPr>
            <w:tcW w:w="727" w:type="pct"/>
            <w:shd w:val="clear" w:color="auto" w:fill="auto"/>
            <w:vAlign w:val="center"/>
          </w:tcPr>
          <w:p w14:paraId="1440014A"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0,9</w:t>
            </w:r>
          </w:p>
        </w:tc>
        <w:tc>
          <w:tcPr>
            <w:tcW w:w="727" w:type="pct"/>
            <w:shd w:val="clear" w:color="auto" w:fill="auto"/>
            <w:vAlign w:val="center"/>
          </w:tcPr>
          <w:p w14:paraId="767E342B"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0,8</w:t>
            </w:r>
          </w:p>
        </w:tc>
        <w:tc>
          <w:tcPr>
            <w:tcW w:w="479" w:type="pct"/>
            <w:shd w:val="clear" w:color="auto" w:fill="auto"/>
            <w:vAlign w:val="center"/>
          </w:tcPr>
          <w:p w14:paraId="62A44FFA"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-0,1</w:t>
            </w:r>
          </w:p>
        </w:tc>
        <w:tc>
          <w:tcPr>
            <w:tcW w:w="479" w:type="pct"/>
            <w:vAlign w:val="center"/>
          </w:tcPr>
          <w:p w14:paraId="549D1B7C"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91,0</w:t>
            </w:r>
          </w:p>
        </w:tc>
      </w:tr>
      <w:tr w:rsidR="00893B96" w:rsidRPr="003C2E0B" w14:paraId="61EB6ED0" w14:textId="77777777" w:rsidTr="00733B45">
        <w:trPr>
          <w:trHeight w:val="20"/>
        </w:trPr>
        <w:tc>
          <w:tcPr>
            <w:tcW w:w="2588" w:type="pct"/>
            <w:shd w:val="clear" w:color="auto" w:fill="auto"/>
            <w:vAlign w:val="center"/>
            <w:hideMark/>
          </w:tcPr>
          <w:p w14:paraId="345EBACC" w14:textId="77777777" w:rsidR="00893B96" w:rsidRPr="003C2E0B" w:rsidRDefault="00893B96" w:rsidP="00F919B9">
            <w:pPr>
              <w:pStyle w:val="Odsekzoznamu"/>
              <w:numPr>
                <w:ilvl w:val="0"/>
                <w:numId w:val="3"/>
              </w:numPr>
              <w:rPr>
                <w:rFonts w:eastAsia="Times New Roman" w:cs="Times New Roman"/>
                <w:color w:val="000000"/>
                <w:sz w:val="20"/>
                <w:szCs w:val="20"/>
                <w:lang w:eastAsia="sk-SK"/>
              </w:rPr>
            </w:pPr>
            <w:r w:rsidRPr="003C2E0B">
              <w:rPr>
                <w:rFonts w:eastAsia="Times New Roman" w:cs="Times New Roman"/>
                <w:color w:val="000000"/>
                <w:sz w:val="20"/>
                <w:szCs w:val="20"/>
                <w:lang w:eastAsia="sk-SK"/>
              </w:rPr>
              <w:t xml:space="preserve">Dopravné podniky </w:t>
            </w:r>
          </w:p>
        </w:tc>
        <w:tc>
          <w:tcPr>
            <w:tcW w:w="727" w:type="pct"/>
            <w:shd w:val="clear" w:color="auto" w:fill="auto"/>
            <w:vAlign w:val="center"/>
          </w:tcPr>
          <w:p w14:paraId="3130F662"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76,2</w:t>
            </w:r>
          </w:p>
        </w:tc>
        <w:tc>
          <w:tcPr>
            <w:tcW w:w="727" w:type="pct"/>
            <w:shd w:val="clear" w:color="auto" w:fill="auto"/>
            <w:vAlign w:val="center"/>
          </w:tcPr>
          <w:p w14:paraId="3E68D203"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61,3</w:t>
            </w:r>
          </w:p>
        </w:tc>
        <w:tc>
          <w:tcPr>
            <w:tcW w:w="479" w:type="pct"/>
            <w:shd w:val="clear" w:color="auto" w:fill="auto"/>
            <w:vAlign w:val="center"/>
          </w:tcPr>
          <w:p w14:paraId="564D90B5"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-15,0</w:t>
            </w:r>
          </w:p>
        </w:tc>
        <w:tc>
          <w:tcPr>
            <w:tcW w:w="479" w:type="pct"/>
            <w:vAlign w:val="center"/>
          </w:tcPr>
          <w:p w14:paraId="78B564DD"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80,4</w:t>
            </w:r>
          </w:p>
        </w:tc>
      </w:tr>
      <w:tr w:rsidR="00893B96" w:rsidRPr="003C2E0B" w14:paraId="219B84B3" w14:textId="77777777" w:rsidTr="00733B45">
        <w:trPr>
          <w:trHeight w:val="20"/>
        </w:trPr>
        <w:tc>
          <w:tcPr>
            <w:tcW w:w="2588" w:type="pct"/>
            <w:shd w:val="clear" w:color="auto" w:fill="auto"/>
            <w:vAlign w:val="center"/>
            <w:hideMark/>
          </w:tcPr>
          <w:p w14:paraId="20071D92" w14:textId="77777777" w:rsidR="00893B96" w:rsidRPr="003C2E0B" w:rsidRDefault="00893B96" w:rsidP="00F919B9">
            <w:pPr>
              <w:pStyle w:val="Odsekzoznamu"/>
              <w:numPr>
                <w:ilvl w:val="0"/>
                <w:numId w:val="3"/>
              </w:numPr>
              <w:rPr>
                <w:rFonts w:eastAsia="Times New Roman" w:cs="Times New Roman"/>
                <w:color w:val="000000"/>
                <w:sz w:val="20"/>
                <w:szCs w:val="20"/>
                <w:lang w:eastAsia="sk-SK"/>
              </w:rPr>
            </w:pPr>
            <w:r w:rsidRPr="003C2E0B">
              <w:rPr>
                <w:rFonts w:eastAsia="Times New Roman" w:cs="Times New Roman"/>
                <w:color w:val="000000"/>
                <w:sz w:val="20"/>
                <w:szCs w:val="20"/>
                <w:lang w:eastAsia="sk-SK"/>
              </w:rPr>
              <w:t xml:space="preserve">Zdravotnícke zariadenia miestnej samosprávy </w:t>
            </w:r>
          </w:p>
        </w:tc>
        <w:tc>
          <w:tcPr>
            <w:tcW w:w="727" w:type="pct"/>
            <w:shd w:val="clear" w:color="auto" w:fill="auto"/>
            <w:vAlign w:val="center"/>
          </w:tcPr>
          <w:p w14:paraId="4C06351E"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3,5</w:t>
            </w:r>
          </w:p>
        </w:tc>
        <w:tc>
          <w:tcPr>
            <w:tcW w:w="727" w:type="pct"/>
            <w:shd w:val="clear" w:color="auto" w:fill="auto"/>
            <w:vAlign w:val="center"/>
          </w:tcPr>
          <w:p w14:paraId="253099E4"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3,0</w:t>
            </w:r>
          </w:p>
        </w:tc>
        <w:tc>
          <w:tcPr>
            <w:tcW w:w="479" w:type="pct"/>
            <w:shd w:val="clear" w:color="auto" w:fill="auto"/>
            <w:vAlign w:val="center"/>
          </w:tcPr>
          <w:p w14:paraId="548C7913"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-0,4</w:t>
            </w:r>
          </w:p>
        </w:tc>
        <w:tc>
          <w:tcPr>
            <w:tcW w:w="479" w:type="pct"/>
            <w:vAlign w:val="center"/>
          </w:tcPr>
          <w:p w14:paraId="2C0D9F0D"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87,6</w:t>
            </w:r>
          </w:p>
        </w:tc>
      </w:tr>
      <w:tr w:rsidR="00893B96" w:rsidRPr="003C2E0B" w14:paraId="77B836E9" w14:textId="77777777" w:rsidTr="00733B45">
        <w:trPr>
          <w:trHeight w:val="20"/>
        </w:trPr>
        <w:tc>
          <w:tcPr>
            <w:tcW w:w="2588" w:type="pct"/>
            <w:shd w:val="clear" w:color="auto" w:fill="auto"/>
            <w:vAlign w:val="center"/>
            <w:hideMark/>
          </w:tcPr>
          <w:p w14:paraId="663E8BBC" w14:textId="77777777" w:rsidR="00893B96" w:rsidRPr="003C2E0B" w:rsidRDefault="00893B96" w:rsidP="00F919B9">
            <w:pPr>
              <w:pStyle w:val="Odsekzoznamu"/>
              <w:numPr>
                <w:ilvl w:val="0"/>
                <w:numId w:val="3"/>
              </w:numPr>
              <w:rPr>
                <w:rFonts w:eastAsia="Times New Roman" w:cs="Times New Roman"/>
                <w:color w:val="000000"/>
                <w:sz w:val="20"/>
                <w:szCs w:val="20"/>
                <w:lang w:eastAsia="sk-SK"/>
              </w:rPr>
            </w:pPr>
            <w:r w:rsidRPr="003C2E0B">
              <w:rPr>
                <w:rFonts w:eastAsia="Times New Roman" w:cs="Times New Roman"/>
                <w:color w:val="000000"/>
                <w:sz w:val="20"/>
                <w:szCs w:val="20"/>
                <w:lang w:eastAsia="sk-SK"/>
              </w:rPr>
              <w:t xml:space="preserve">Ostatné subjekty miestnej samosprávy </w:t>
            </w:r>
          </w:p>
        </w:tc>
        <w:tc>
          <w:tcPr>
            <w:tcW w:w="727" w:type="pct"/>
            <w:shd w:val="clear" w:color="auto" w:fill="auto"/>
            <w:vAlign w:val="center"/>
          </w:tcPr>
          <w:p w14:paraId="08839ACB"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3,3</w:t>
            </w:r>
          </w:p>
        </w:tc>
        <w:tc>
          <w:tcPr>
            <w:tcW w:w="727" w:type="pct"/>
            <w:shd w:val="clear" w:color="auto" w:fill="auto"/>
            <w:vAlign w:val="center"/>
          </w:tcPr>
          <w:p w14:paraId="3BD61C03"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3,3</w:t>
            </w:r>
          </w:p>
        </w:tc>
        <w:tc>
          <w:tcPr>
            <w:tcW w:w="479" w:type="pct"/>
            <w:shd w:val="clear" w:color="auto" w:fill="auto"/>
            <w:vAlign w:val="center"/>
          </w:tcPr>
          <w:p w14:paraId="1FFD76C2"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0,0</w:t>
            </w:r>
          </w:p>
        </w:tc>
        <w:tc>
          <w:tcPr>
            <w:tcW w:w="479" w:type="pct"/>
            <w:vAlign w:val="center"/>
          </w:tcPr>
          <w:p w14:paraId="59C1B7E2"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100,0</w:t>
            </w:r>
          </w:p>
        </w:tc>
      </w:tr>
      <w:tr w:rsidR="00893B96" w:rsidRPr="003C2E0B" w14:paraId="0EA1C18B" w14:textId="77777777" w:rsidTr="00733B45">
        <w:trPr>
          <w:trHeight w:val="20"/>
        </w:trPr>
        <w:tc>
          <w:tcPr>
            <w:tcW w:w="2588" w:type="pct"/>
            <w:shd w:val="clear" w:color="auto" w:fill="auto"/>
            <w:vAlign w:val="center"/>
            <w:hideMark/>
          </w:tcPr>
          <w:p w14:paraId="711F725E" w14:textId="77777777" w:rsidR="00893B96" w:rsidRPr="003C2E0B" w:rsidRDefault="00893B96" w:rsidP="00733B45">
            <w:pPr>
              <w:rPr>
                <w:rFonts w:eastAsia="Times New Roman" w:cs="Times New Roman"/>
                <w:b/>
                <w:bCs/>
                <w:color w:val="000000"/>
                <w:sz w:val="20"/>
                <w:szCs w:val="20"/>
                <w:lang w:eastAsia="sk-SK"/>
              </w:rPr>
            </w:pPr>
            <w:r w:rsidRPr="003C2E0B">
              <w:rPr>
                <w:rFonts w:eastAsia="Times New Roman" w:cs="Times New Roman"/>
                <w:b/>
                <w:bCs/>
                <w:color w:val="000000"/>
                <w:sz w:val="20"/>
                <w:szCs w:val="20"/>
                <w:lang w:eastAsia="sk-SK"/>
              </w:rPr>
              <w:t xml:space="preserve">Fondy sociálneho zabezpečenia </w:t>
            </w:r>
          </w:p>
        </w:tc>
        <w:tc>
          <w:tcPr>
            <w:tcW w:w="727" w:type="pct"/>
            <w:shd w:val="clear" w:color="auto" w:fill="auto"/>
            <w:vAlign w:val="center"/>
          </w:tcPr>
          <w:p w14:paraId="5E736560"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0,5</w:t>
            </w:r>
          </w:p>
        </w:tc>
        <w:tc>
          <w:tcPr>
            <w:tcW w:w="727" w:type="pct"/>
            <w:shd w:val="clear" w:color="auto" w:fill="auto"/>
            <w:vAlign w:val="center"/>
          </w:tcPr>
          <w:p w14:paraId="0C04FD01"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0,5</w:t>
            </w:r>
          </w:p>
        </w:tc>
        <w:tc>
          <w:tcPr>
            <w:tcW w:w="479" w:type="pct"/>
            <w:shd w:val="clear" w:color="auto" w:fill="auto"/>
            <w:vAlign w:val="center"/>
          </w:tcPr>
          <w:p w14:paraId="366ABCC5"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0,0</w:t>
            </w:r>
          </w:p>
        </w:tc>
        <w:tc>
          <w:tcPr>
            <w:tcW w:w="479" w:type="pct"/>
            <w:vAlign w:val="center"/>
          </w:tcPr>
          <w:p w14:paraId="37D8AE41"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92,9</w:t>
            </w:r>
          </w:p>
        </w:tc>
      </w:tr>
      <w:tr w:rsidR="00893B96" w:rsidRPr="003C2E0B" w14:paraId="5287A06B" w14:textId="77777777" w:rsidTr="00733B45">
        <w:trPr>
          <w:trHeight w:val="20"/>
        </w:trPr>
        <w:tc>
          <w:tcPr>
            <w:tcW w:w="2588" w:type="pct"/>
            <w:shd w:val="clear" w:color="auto" w:fill="auto"/>
            <w:vAlign w:val="center"/>
            <w:hideMark/>
          </w:tcPr>
          <w:p w14:paraId="6E8AA15F" w14:textId="77777777" w:rsidR="00893B96" w:rsidRPr="003C2E0B" w:rsidRDefault="00893B96" w:rsidP="00F919B9">
            <w:pPr>
              <w:pStyle w:val="Odsekzoznamu"/>
              <w:numPr>
                <w:ilvl w:val="0"/>
                <w:numId w:val="3"/>
              </w:numPr>
              <w:rPr>
                <w:rFonts w:eastAsia="Times New Roman" w:cs="Times New Roman"/>
                <w:color w:val="000000"/>
                <w:sz w:val="20"/>
                <w:szCs w:val="20"/>
                <w:lang w:eastAsia="sk-SK"/>
              </w:rPr>
            </w:pPr>
            <w:r w:rsidRPr="003C2E0B">
              <w:rPr>
                <w:rFonts w:eastAsia="Times New Roman" w:cs="Times New Roman"/>
                <w:color w:val="000000"/>
                <w:sz w:val="20"/>
                <w:szCs w:val="20"/>
                <w:lang w:eastAsia="sk-SK"/>
              </w:rPr>
              <w:t xml:space="preserve">Sociálna poisťovňa </w:t>
            </w:r>
          </w:p>
        </w:tc>
        <w:tc>
          <w:tcPr>
            <w:tcW w:w="727" w:type="pct"/>
            <w:shd w:val="clear" w:color="auto" w:fill="auto"/>
            <w:vAlign w:val="center"/>
          </w:tcPr>
          <w:p w14:paraId="575DBC56"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0,4</w:t>
            </w:r>
          </w:p>
        </w:tc>
        <w:tc>
          <w:tcPr>
            <w:tcW w:w="727" w:type="pct"/>
            <w:shd w:val="clear" w:color="auto" w:fill="auto"/>
            <w:vAlign w:val="center"/>
          </w:tcPr>
          <w:p w14:paraId="420F0EC7"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0,2</w:t>
            </w:r>
          </w:p>
        </w:tc>
        <w:tc>
          <w:tcPr>
            <w:tcW w:w="479" w:type="pct"/>
            <w:shd w:val="clear" w:color="auto" w:fill="auto"/>
            <w:vAlign w:val="center"/>
          </w:tcPr>
          <w:p w14:paraId="56B6B279"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-0,2</w:t>
            </w:r>
          </w:p>
        </w:tc>
        <w:tc>
          <w:tcPr>
            <w:tcW w:w="479" w:type="pct"/>
            <w:vAlign w:val="center"/>
          </w:tcPr>
          <w:p w14:paraId="39E99F0E"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59,2</w:t>
            </w:r>
          </w:p>
        </w:tc>
      </w:tr>
      <w:tr w:rsidR="00893B96" w:rsidRPr="003C2E0B" w14:paraId="62C1F00F" w14:textId="77777777" w:rsidTr="00733B45">
        <w:trPr>
          <w:trHeight w:val="20"/>
        </w:trPr>
        <w:tc>
          <w:tcPr>
            <w:tcW w:w="2588" w:type="pct"/>
            <w:shd w:val="clear" w:color="auto" w:fill="auto"/>
            <w:vAlign w:val="center"/>
            <w:hideMark/>
          </w:tcPr>
          <w:p w14:paraId="38221BE3" w14:textId="77777777" w:rsidR="00893B96" w:rsidRPr="003C2E0B" w:rsidRDefault="00893B96" w:rsidP="00F919B9">
            <w:pPr>
              <w:pStyle w:val="Odsekzoznamu"/>
              <w:numPr>
                <w:ilvl w:val="0"/>
                <w:numId w:val="3"/>
              </w:numPr>
              <w:rPr>
                <w:rFonts w:eastAsia="Times New Roman" w:cs="Times New Roman"/>
                <w:color w:val="000000"/>
                <w:sz w:val="20"/>
                <w:szCs w:val="20"/>
                <w:lang w:eastAsia="sk-SK"/>
              </w:rPr>
            </w:pPr>
            <w:r w:rsidRPr="003C2E0B">
              <w:rPr>
                <w:rFonts w:eastAsia="Times New Roman" w:cs="Times New Roman"/>
                <w:color w:val="000000"/>
                <w:sz w:val="20"/>
                <w:szCs w:val="20"/>
                <w:lang w:eastAsia="sk-SK"/>
              </w:rPr>
              <w:t xml:space="preserve">Verejné zdravotné poistenie </w:t>
            </w:r>
          </w:p>
        </w:tc>
        <w:tc>
          <w:tcPr>
            <w:tcW w:w="727" w:type="pct"/>
            <w:shd w:val="clear" w:color="auto" w:fill="auto"/>
            <w:vAlign w:val="center"/>
          </w:tcPr>
          <w:p w14:paraId="0F94A657"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0,1</w:t>
            </w:r>
          </w:p>
        </w:tc>
        <w:tc>
          <w:tcPr>
            <w:tcW w:w="727" w:type="pct"/>
            <w:shd w:val="clear" w:color="auto" w:fill="auto"/>
            <w:vAlign w:val="center"/>
          </w:tcPr>
          <w:p w14:paraId="54BE0709"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0,3</w:t>
            </w:r>
          </w:p>
        </w:tc>
        <w:tc>
          <w:tcPr>
            <w:tcW w:w="479" w:type="pct"/>
            <w:shd w:val="clear" w:color="auto" w:fill="auto"/>
            <w:vAlign w:val="center"/>
          </w:tcPr>
          <w:p w14:paraId="1920BD49"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0,1</w:t>
            </w:r>
          </w:p>
        </w:tc>
        <w:tc>
          <w:tcPr>
            <w:tcW w:w="479" w:type="pct"/>
            <w:vAlign w:val="center"/>
          </w:tcPr>
          <w:p w14:paraId="180A6B45"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185,4</w:t>
            </w:r>
          </w:p>
        </w:tc>
      </w:tr>
      <w:tr w:rsidR="00893B96" w:rsidRPr="003C2E0B" w14:paraId="3A0E7E26" w14:textId="77777777" w:rsidTr="00733B45">
        <w:trPr>
          <w:trHeight w:val="20"/>
        </w:trPr>
        <w:tc>
          <w:tcPr>
            <w:tcW w:w="2588" w:type="pct"/>
            <w:shd w:val="clear" w:color="auto" w:fill="auto"/>
            <w:vAlign w:val="center"/>
            <w:hideMark/>
          </w:tcPr>
          <w:p w14:paraId="45235FEB" w14:textId="77777777" w:rsidR="00893B96" w:rsidRPr="003C2E0B" w:rsidRDefault="00893B96" w:rsidP="00733B45">
            <w:pPr>
              <w:rPr>
                <w:rFonts w:eastAsia="Times New Roman" w:cs="Times New Roman"/>
                <w:b/>
                <w:bCs/>
                <w:color w:val="000000"/>
                <w:sz w:val="20"/>
                <w:szCs w:val="20"/>
                <w:lang w:eastAsia="sk-SK"/>
              </w:rPr>
            </w:pPr>
            <w:r w:rsidRPr="003C2E0B">
              <w:rPr>
                <w:rFonts w:eastAsia="Times New Roman" w:cs="Times New Roman"/>
                <w:b/>
                <w:bCs/>
                <w:color w:val="000000"/>
                <w:sz w:val="20"/>
                <w:szCs w:val="20"/>
                <w:lang w:eastAsia="sk-SK"/>
              </w:rPr>
              <w:t xml:space="preserve">Verejná správa spolu </w:t>
            </w:r>
          </w:p>
        </w:tc>
        <w:tc>
          <w:tcPr>
            <w:tcW w:w="727" w:type="pct"/>
            <w:shd w:val="clear" w:color="auto" w:fill="auto"/>
            <w:vAlign w:val="center"/>
          </w:tcPr>
          <w:p w14:paraId="7923867F"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45 743,4</w:t>
            </w:r>
          </w:p>
        </w:tc>
        <w:tc>
          <w:tcPr>
            <w:tcW w:w="727" w:type="pct"/>
            <w:shd w:val="clear" w:color="auto" w:fill="auto"/>
            <w:vAlign w:val="center"/>
          </w:tcPr>
          <w:p w14:paraId="62EBA4F4"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46 556,4</w:t>
            </w:r>
          </w:p>
        </w:tc>
        <w:tc>
          <w:tcPr>
            <w:tcW w:w="479" w:type="pct"/>
            <w:shd w:val="clear" w:color="auto" w:fill="auto"/>
            <w:vAlign w:val="center"/>
          </w:tcPr>
          <w:p w14:paraId="0524175C"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812,9</w:t>
            </w:r>
          </w:p>
        </w:tc>
        <w:tc>
          <w:tcPr>
            <w:tcW w:w="479" w:type="pct"/>
            <w:vAlign w:val="center"/>
          </w:tcPr>
          <w:p w14:paraId="54A0DB6B"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101,8</w:t>
            </w:r>
          </w:p>
        </w:tc>
      </w:tr>
      <w:tr w:rsidR="00893B96" w:rsidRPr="003C2E0B" w14:paraId="5B2F7070" w14:textId="77777777" w:rsidTr="00733B45">
        <w:trPr>
          <w:trHeight w:val="20"/>
        </w:trPr>
        <w:tc>
          <w:tcPr>
            <w:tcW w:w="2588" w:type="pct"/>
            <w:shd w:val="clear" w:color="auto" w:fill="auto"/>
            <w:vAlign w:val="center"/>
            <w:hideMark/>
          </w:tcPr>
          <w:p w14:paraId="590A4F52" w14:textId="77777777" w:rsidR="00893B96" w:rsidRPr="003C2E0B" w:rsidRDefault="00893B96" w:rsidP="00733B45">
            <w:pPr>
              <w:rPr>
                <w:rFonts w:eastAsia="Times New Roman" w:cs="Times New Roman"/>
                <w:i/>
                <w:iCs/>
                <w:color w:val="000000"/>
                <w:sz w:val="20"/>
                <w:szCs w:val="20"/>
                <w:lang w:eastAsia="sk-SK"/>
              </w:rPr>
            </w:pPr>
            <w:r w:rsidRPr="003C2E0B">
              <w:rPr>
                <w:rFonts w:eastAsia="Times New Roman" w:cs="Times New Roman"/>
                <w:i/>
                <w:iCs/>
                <w:color w:val="000000"/>
                <w:sz w:val="20"/>
                <w:szCs w:val="20"/>
                <w:lang w:eastAsia="sk-SK"/>
              </w:rPr>
              <w:t xml:space="preserve">Konsolidácia </w:t>
            </w:r>
          </w:p>
        </w:tc>
        <w:tc>
          <w:tcPr>
            <w:tcW w:w="727" w:type="pct"/>
            <w:shd w:val="clear" w:color="auto" w:fill="auto"/>
            <w:vAlign w:val="center"/>
          </w:tcPr>
          <w:p w14:paraId="7B91DC9E"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1 421,6</w:t>
            </w:r>
          </w:p>
        </w:tc>
        <w:tc>
          <w:tcPr>
            <w:tcW w:w="727" w:type="pct"/>
            <w:shd w:val="clear" w:color="auto" w:fill="auto"/>
            <w:vAlign w:val="center"/>
          </w:tcPr>
          <w:p w14:paraId="25C9A5D1"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1 354,6</w:t>
            </w:r>
          </w:p>
        </w:tc>
        <w:tc>
          <w:tcPr>
            <w:tcW w:w="479" w:type="pct"/>
            <w:shd w:val="clear" w:color="auto" w:fill="auto"/>
            <w:vAlign w:val="center"/>
          </w:tcPr>
          <w:p w14:paraId="43EB05B0"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-67,0</w:t>
            </w:r>
          </w:p>
        </w:tc>
        <w:tc>
          <w:tcPr>
            <w:tcW w:w="479" w:type="pct"/>
            <w:vAlign w:val="center"/>
          </w:tcPr>
          <w:p w14:paraId="2A4604B5" w14:textId="77777777" w:rsidR="00893B96" w:rsidRPr="003C2E0B" w:rsidRDefault="00893B96" w:rsidP="00733B45">
            <w:pPr>
              <w:jc w:val="right"/>
              <w:rPr>
                <w:rFonts w:eastAsia="Times New Roman" w:cs="Tahoma"/>
                <w:color w:val="000000"/>
                <w:sz w:val="20"/>
                <w:szCs w:val="20"/>
                <w:lang w:eastAsia="sk-SK"/>
              </w:rPr>
            </w:pPr>
            <w:r w:rsidRPr="003C2E0B">
              <w:rPr>
                <w:rFonts w:eastAsia="Times New Roman" w:cs="Tahoma"/>
                <w:color w:val="000000"/>
                <w:sz w:val="20"/>
                <w:szCs w:val="20"/>
                <w:lang w:eastAsia="sk-SK"/>
              </w:rPr>
              <w:t>95,3</w:t>
            </w:r>
          </w:p>
        </w:tc>
      </w:tr>
      <w:tr w:rsidR="00893B96" w:rsidRPr="003C2E0B" w14:paraId="718CC1F5" w14:textId="77777777" w:rsidTr="00893B96">
        <w:trPr>
          <w:trHeight w:val="20"/>
        </w:trPr>
        <w:tc>
          <w:tcPr>
            <w:tcW w:w="2588" w:type="pct"/>
            <w:shd w:val="clear" w:color="auto" w:fill="D9D9D9" w:themeFill="background1" w:themeFillShade="D9"/>
            <w:vAlign w:val="center"/>
            <w:hideMark/>
          </w:tcPr>
          <w:p w14:paraId="45F96CFA" w14:textId="77777777" w:rsidR="00893B96" w:rsidRPr="003C2E0B" w:rsidRDefault="00893B96" w:rsidP="00733B45">
            <w:pPr>
              <w:rPr>
                <w:rFonts w:eastAsia="Times New Roman" w:cs="Times New Roman"/>
                <w:b/>
                <w:bCs/>
                <w:color w:val="000000"/>
                <w:sz w:val="20"/>
                <w:szCs w:val="20"/>
                <w:lang w:eastAsia="sk-SK"/>
              </w:rPr>
            </w:pPr>
            <w:r w:rsidRPr="003C2E0B">
              <w:rPr>
                <w:rFonts w:eastAsia="Times New Roman" w:cs="Times New Roman"/>
                <w:b/>
                <w:bCs/>
                <w:color w:val="000000"/>
                <w:sz w:val="20"/>
                <w:szCs w:val="20"/>
                <w:lang w:eastAsia="sk-SK"/>
              </w:rPr>
              <w:lastRenderedPageBreak/>
              <w:t xml:space="preserve">Verejná správa spolu konsolidovaná </w:t>
            </w:r>
          </w:p>
        </w:tc>
        <w:tc>
          <w:tcPr>
            <w:tcW w:w="727" w:type="pct"/>
            <w:shd w:val="clear" w:color="auto" w:fill="D9D9D9" w:themeFill="background1" w:themeFillShade="D9"/>
            <w:vAlign w:val="center"/>
          </w:tcPr>
          <w:p w14:paraId="0CD68911"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44 321,9</w:t>
            </w:r>
          </w:p>
        </w:tc>
        <w:tc>
          <w:tcPr>
            <w:tcW w:w="727" w:type="pct"/>
            <w:shd w:val="clear" w:color="auto" w:fill="D9D9D9" w:themeFill="background1" w:themeFillShade="D9"/>
            <w:vAlign w:val="center"/>
          </w:tcPr>
          <w:p w14:paraId="1D550747"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45 201,8</w:t>
            </w:r>
          </w:p>
        </w:tc>
        <w:tc>
          <w:tcPr>
            <w:tcW w:w="479" w:type="pct"/>
            <w:shd w:val="clear" w:color="auto" w:fill="D9D9D9" w:themeFill="background1" w:themeFillShade="D9"/>
            <w:vAlign w:val="center"/>
          </w:tcPr>
          <w:p w14:paraId="6204E7D0"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879,9</w:t>
            </w:r>
          </w:p>
        </w:tc>
        <w:tc>
          <w:tcPr>
            <w:tcW w:w="479" w:type="pct"/>
            <w:shd w:val="clear" w:color="auto" w:fill="D9D9D9" w:themeFill="background1" w:themeFillShade="D9"/>
            <w:vAlign w:val="center"/>
          </w:tcPr>
          <w:p w14:paraId="713DF92A"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102,0</w:t>
            </w:r>
          </w:p>
        </w:tc>
      </w:tr>
      <w:tr w:rsidR="00893B96" w:rsidRPr="003C2E0B" w14:paraId="6D72A4EA" w14:textId="77777777" w:rsidTr="00733B45">
        <w:trPr>
          <w:trHeight w:val="20"/>
        </w:trPr>
        <w:tc>
          <w:tcPr>
            <w:tcW w:w="2588" w:type="pct"/>
            <w:shd w:val="clear" w:color="auto" w:fill="auto"/>
            <w:vAlign w:val="center"/>
            <w:hideMark/>
          </w:tcPr>
          <w:p w14:paraId="3FF9BE07" w14:textId="77777777" w:rsidR="00893B96" w:rsidRPr="003C2E0B" w:rsidRDefault="00893B96" w:rsidP="00733B45">
            <w:pPr>
              <w:rPr>
                <w:rFonts w:eastAsia="Times New Roman" w:cs="Times New Roman"/>
                <w:b/>
                <w:bCs/>
                <w:color w:val="000000"/>
                <w:sz w:val="20"/>
                <w:szCs w:val="20"/>
                <w:lang w:eastAsia="sk-SK"/>
              </w:rPr>
            </w:pPr>
            <w:r w:rsidRPr="003C2E0B">
              <w:rPr>
                <w:rFonts w:eastAsia="Times New Roman" w:cs="Times New Roman"/>
                <w:b/>
                <w:bCs/>
                <w:color w:val="000000"/>
                <w:sz w:val="20"/>
                <w:szCs w:val="20"/>
                <w:lang w:eastAsia="sk-SK"/>
              </w:rPr>
              <w:t xml:space="preserve">% z HDP </w:t>
            </w:r>
          </w:p>
        </w:tc>
        <w:tc>
          <w:tcPr>
            <w:tcW w:w="727" w:type="pct"/>
            <w:shd w:val="clear" w:color="auto" w:fill="auto"/>
            <w:vAlign w:val="center"/>
          </w:tcPr>
          <w:p w14:paraId="6AFBED47" w14:textId="77777777" w:rsidR="00893B96" w:rsidRPr="003C2E0B" w:rsidRDefault="00893B96" w:rsidP="00733B45">
            <w:pPr>
              <w:jc w:val="right"/>
              <w:rPr>
                <w:rFonts w:eastAsia="Times New Roman" w:cs="Times New Roman"/>
                <w:b/>
                <w:bCs/>
                <w:color w:val="000000"/>
                <w:sz w:val="20"/>
                <w:szCs w:val="20"/>
                <w:lang w:eastAsia="sk-SK"/>
              </w:rPr>
            </w:pPr>
            <w:r w:rsidRPr="003C2E0B">
              <w:rPr>
                <w:rFonts w:eastAsia="Times New Roman" w:cs="Times New Roman"/>
                <w:b/>
                <w:bCs/>
                <w:color w:val="000000"/>
                <w:sz w:val="20"/>
                <w:szCs w:val="20"/>
                <w:lang w:eastAsia="sk-SK"/>
              </w:rPr>
              <w:t>49,4</w:t>
            </w:r>
          </w:p>
        </w:tc>
        <w:tc>
          <w:tcPr>
            <w:tcW w:w="727" w:type="pct"/>
            <w:shd w:val="clear" w:color="auto" w:fill="auto"/>
            <w:vAlign w:val="center"/>
          </w:tcPr>
          <w:p w14:paraId="5DCABBB8" w14:textId="77777777" w:rsidR="00893B96" w:rsidRPr="003C2E0B" w:rsidRDefault="00893B96" w:rsidP="00733B45">
            <w:pPr>
              <w:jc w:val="right"/>
              <w:rPr>
                <w:rFonts w:eastAsia="Times New Roman" w:cs="Times New Roman"/>
                <w:b/>
                <w:bCs/>
                <w:color w:val="000000"/>
                <w:sz w:val="20"/>
                <w:szCs w:val="20"/>
                <w:lang w:eastAsia="sk-SK"/>
              </w:rPr>
            </w:pPr>
            <w:r w:rsidRPr="003C2E0B">
              <w:rPr>
                <w:rFonts w:eastAsia="Times New Roman" w:cs="Times New Roman"/>
                <w:b/>
                <w:bCs/>
                <w:color w:val="000000"/>
                <w:sz w:val="20"/>
                <w:szCs w:val="20"/>
                <w:lang w:eastAsia="sk-SK"/>
              </w:rPr>
              <w:t>48,0</w:t>
            </w:r>
          </w:p>
        </w:tc>
        <w:tc>
          <w:tcPr>
            <w:tcW w:w="479" w:type="pct"/>
            <w:shd w:val="clear" w:color="auto" w:fill="auto"/>
            <w:vAlign w:val="center"/>
          </w:tcPr>
          <w:p w14:paraId="459076A8" w14:textId="77777777" w:rsidR="00893B96" w:rsidRPr="003C2E0B" w:rsidRDefault="00893B96" w:rsidP="00733B45">
            <w:pPr>
              <w:jc w:val="right"/>
              <w:rPr>
                <w:rFonts w:eastAsia="Times New Roman" w:cs="Times New Roman"/>
                <w:b/>
                <w:bCs/>
                <w:color w:val="000000"/>
                <w:sz w:val="20"/>
                <w:szCs w:val="20"/>
                <w:lang w:eastAsia="sk-SK"/>
              </w:rPr>
            </w:pPr>
            <w:r w:rsidRPr="003C2E0B">
              <w:rPr>
                <w:rFonts w:eastAsia="Times New Roman" w:cs="Times New Roman"/>
                <w:b/>
                <w:bCs/>
                <w:color w:val="000000"/>
                <w:sz w:val="20"/>
                <w:szCs w:val="20"/>
                <w:lang w:eastAsia="sk-SK"/>
              </w:rPr>
              <w:t>-1,4</w:t>
            </w:r>
          </w:p>
        </w:tc>
        <w:tc>
          <w:tcPr>
            <w:tcW w:w="479" w:type="pct"/>
            <w:vAlign w:val="center"/>
          </w:tcPr>
          <w:p w14:paraId="5224EBB0" w14:textId="77777777" w:rsidR="00893B96" w:rsidRPr="003C2E0B" w:rsidRDefault="00893B96" w:rsidP="00733B45">
            <w:pPr>
              <w:jc w:val="right"/>
              <w:rPr>
                <w:rFonts w:eastAsia="Times New Roman" w:cs="Tahoma"/>
                <w:b/>
                <w:color w:val="000000"/>
                <w:sz w:val="20"/>
                <w:szCs w:val="20"/>
                <w:lang w:eastAsia="sk-SK"/>
              </w:rPr>
            </w:pPr>
            <w:r w:rsidRPr="003C2E0B">
              <w:rPr>
                <w:rFonts w:eastAsia="Times New Roman" w:cs="Tahoma"/>
                <w:b/>
                <w:color w:val="000000"/>
                <w:sz w:val="20"/>
                <w:szCs w:val="20"/>
                <w:lang w:eastAsia="sk-SK"/>
              </w:rPr>
              <w:t>97,2</w:t>
            </w:r>
          </w:p>
        </w:tc>
      </w:tr>
    </w:tbl>
    <w:p w14:paraId="622D8703" w14:textId="77777777" w:rsidR="00893B96" w:rsidRPr="003C2E0B" w:rsidRDefault="00893B96" w:rsidP="00893B96">
      <w:pPr>
        <w:pStyle w:val="Bezriadkovania"/>
        <w:jc w:val="both"/>
        <w:rPr>
          <w:i/>
          <w:sz w:val="18"/>
          <w:szCs w:val="20"/>
        </w:rPr>
      </w:pPr>
      <w:r w:rsidRPr="003C2E0B">
        <w:rPr>
          <w:i/>
          <w:sz w:val="18"/>
          <w:szCs w:val="20"/>
          <w:vertAlign w:val="superscript"/>
        </w:rPr>
        <w:t>1)</w:t>
      </w:r>
      <w:r w:rsidRPr="003C2E0B">
        <w:rPr>
          <w:i/>
          <w:sz w:val="18"/>
          <w:szCs w:val="20"/>
        </w:rPr>
        <w:t xml:space="preserve"> Bez tzv. refinančného systému a záväzkov z vkladov subjektov verejnej správy v Štátnej pokladnici </w:t>
      </w:r>
    </w:p>
    <w:p w14:paraId="07A16E69" w14:textId="71FA304E" w:rsidR="00893B96" w:rsidRDefault="00893B96" w:rsidP="00893B96">
      <w:pPr>
        <w:pStyle w:val="Bezriadkovania"/>
        <w:rPr>
          <w:i/>
          <w:sz w:val="18"/>
          <w:szCs w:val="20"/>
        </w:rPr>
      </w:pPr>
      <w:r w:rsidRPr="003C2E0B">
        <w:rPr>
          <w:i/>
          <w:sz w:val="18"/>
          <w:szCs w:val="20"/>
        </w:rPr>
        <w:t>Zdroj: Návrh ŠZÚ za rok 2019</w:t>
      </w:r>
    </w:p>
    <w:p w14:paraId="261C1454" w14:textId="3B9E36A7" w:rsidR="00831611" w:rsidRDefault="00831611" w:rsidP="00893B96">
      <w:pPr>
        <w:pStyle w:val="Bezriadkovania"/>
        <w:rPr>
          <w:i/>
          <w:sz w:val="18"/>
          <w:szCs w:val="20"/>
        </w:rPr>
      </w:pPr>
    </w:p>
    <w:p w14:paraId="3FA3713F" w14:textId="2BFA09DB" w:rsidR="007C6EB7" w:rsidRPr="00220EB0" w:rsidRDefault="007C6EB7" w:rsidP="00893B96">
      <w:pPr>
        <w:pStyle w:val="Bezriadkovania"/>
        <w:rPr>
          <w:i/>
          <w:sz w:val="18"/>
          <w:szCs w:val="20"/>
        </w:rPr>
      </w:pPr>
      <w:r w:rsidRPr="00220EB0">
        <w:rPr>
          <w:rFonts w:eastAsia="Calibri"/>
          <w:b/>
          <w:i/>
        </w:rPr>
        <w:t xml:space="preserve">Tabuľka </w:t>
      </w:r>
      <w:r w:rsidR="006314F6" w:rsidRPr="00220EB0">
        <w:rPr>
          <w:rFonts w:eastAsia="Calibri"/>
          <w:b/>
          <w:i/>
        </w:rPr>
        <w:t>5</w:t>
      </w:r>
      <w:r w:rsidRPr="00220EB0">
        <w:rPr>
          <w:rFonts w:eastAsia="Calibri"/>
          <w:b/>
          <w:i/>
        </w:rPr>
        <w:t>: Prehľad o plnení hotovostných daňových príjmov ŠR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84"/>
        <w:gridCol w:w="1105"/>
        <w:gridCol w:w="994"/>
        <w:gridCol w:w="994"/>
        <w:gridCol w:w="1092"/>
        <w:gridCol w:w="860"/>
        <w:gridCol w:w="1017"/>
      </w:tblGrid>
      <w:tr w:rsidR="007C6EB7" w:rsidRPr="005A0FFC" w14:paraId="560EA896" w14:textId="77777777" w:rsidTr="00B141AE">
        <w:trPr>
          <w:trHeight w:val="20"/>
          <w:tblHeader/>
          <w:jc w:val="center"/>
        </w:trPr>
        <w:tc>
          <w:tcPr>
            <w:tcW w:w="1757" w:type="pct"/>
            <w:vMerge w:val="restart"/>
            <w:shd w:val="clear" w:color="auto" w:fill="0070C0"/>
            <w:noWrap/>
            <w:vAlign w:val="center"/>
          </w:tcPr>
          <w:p w14:paraId="498CFA6B" w14:textId="068E8D0E" w:rsidR="007C6EB7" w:rsidRPr="00B141AE" w:rsidRDefault="00B141AE" w:rsidP="00A76DAD">
            <w:pPr>
              <w:rPr>
                <w:rFonts w:eastAsia="Calibri" w:cs="Arial CE"/>
                <w:b/>
                <w:bCs/>
                <w:color w:val="FFFFFF"/>
                <w:sz w:val="20"/>
                <w:szCs w:val="20"/>
              </w:rPr>
            </w:pPr>
            <w:r>
              <w:rPr>
                <w:rFonts w:eastAsia="Calibri" w:cs="Arial CE"/>
                <w:b/>
                <w:bCs/>
                <w:color w:val="FFFFFF"/>
                <w:sz w:val="20"/>
                <w:szCs w:val="20"/>
              </w:rPr>
              <w:t xml:space="preserve">Ukazovateľ </w:t>
            </w:r>
            <w:r w:rsidR="007C6EB7" w:rsidRPr="005A0FFC">
              <w:rPr>
                <w:rFonts w:eastAsia="Calibri" w:cs="Arial CE"/>
                <w:b/>
                <w:bCs/>
                <w:color w:val="FFFFFF"/>
                <w:sz w:val="20"/>
                <w:szCs w:val="20"/>
              </w:rPr>
              <w:t>(v tis. eur)</w:t>
            </w:r>
          </w:p>
        </w:tc>
        <w:tc>
          <w:tcPr>
            <w:tcW w:w="591" w:type="pct"/>
            <w:vMerge w:val="restart"/>
            <w:shd w:val="clear" w:color="auto" w:fill="0070C0"/>
            <w:vAlign w:val="center"/>
          </w:tcPr>
          <w:p w14:paraId="406FC199" w14:textId="77777777" w:rsidR="007C6EB7" w:rsidRPr="005A0FFC" w:rsidRDefault="007C6EB7" w:rsidP="00A76DAD">
            <w:pPr>
              <w:jc w:val="center"/>
              <w:rPr>
                <w:rFonts w:eastAsia="Calibri" w:cs="Arial"/>
                <w:color w:val="FFFFFF"/>
                <w:sz w:val="20"/>
                <w:szCs w:val="20"/>
              </w:rPr>
            </w:pPr>
            <w:r>
              <w:rPr>
                <w:rFonts w:eastAsia="Calibri" w:cs="Arial CE"/>
                <w:b/>
                <w:bCs/>
                <w:color w:val="FFFFFF"/>
                <w:sz w:val="20"/>
                <w:szCs w:val="20"/>
              </w:rPr>
              <w:t>Skutočnosť 2018</w:t>
            </w:r>
          </w:p>
        </w:tc>
        <w:tc>
          <w:tcPr>
            <w:tcW w:w="1064" w:type="pct"/>
            <w:gridSpan w:val="2"/>
            <w:shd w:val="clear" w:color="auto" w:fill="0070C0"/>
            <w:vAlign w:val="center"/>
          </w:tcPr>
          <w:p w14:paraId="1A62E58C" w14:textId="77777777" w:rsidR="007C6EB7" w:rsidRPr="005A0FFC" w:rsidRDefault="007C6EB7" w:rsidP="00A76DAD">
            <w:pPr>
              <w:jc w:val="center"/>
              <w:rPr>
                <w:rFonts w:eastAsia="Calibri" w:cs="Arial"/>
                <w:b/>
                <w:color w:val="FFFFFF"/>
                <w:sz w:val="20"/>
                <w:szCs w:val="20"/>
              </w:rPr>
            </w:pPr>
            <w:r>
              <w:rPr>
                <w:rFonts w:eastAsia="Calibri" w:cs="Arial"/>
                <w:b/>
                <w:color w:val="FFFFFF"/>
                <w:sz w:val="20"/>
                <w:szCs w:val="20"/>
              </w:rPr>
              <w:t>Rozpočet 2019</w:t>
            </w:r>
          </w:p>
        </w:tc>
        <w:tc>
          <w:tcPr>
            <w:tcW w:w="584" w:type="pct"/>
            <w:vMerge w:val="restart"/>
            <w:shd w:val="clear" w:color="auto" w:fill="0070C0"/>
            <w:vAlign w:val="center"/>
          </w:tcPr>
          <w:p w14:paraId="5F0CF2F7" w14:textId="77777777" w:rsidR="007C6EB7" w:rsidRPr="005A0FFC" w:rsidRDefault="007C6EB7" w:rsidP="00A76DAD">
            <w:pPr>
              <w:jc w:val="center"/>
              <w:rPr>
                <w:rFonts w:eastAsia="Calibri" w:cs="Arial"/>
                <w:color w:val="FFFFFF"/>
                <w:sz w:val="20"/>
                <w:szCs w:val="20"/>
              </w:rPr>
            </w:pPr>
            <w:r>
              <w:rPr>
                <w:rFonts w:eastAsia="Calibri" w:cs="Arial CE"/>
                <w:b/>
                <w:bCs/>
                <w:color w:val="FFFFFF"/>
                <w:sz w:val="20"/>
                <w:szCs w:val="20"/>
              </w:rPr>
              <w:t>Skutočnosť 2019</w:t>
            </w:r>
          </w:p>
        </w:tc>
        <w:tc>
          <w:tcPr>
            <w:tcW w:w="460" w:type="pct"/>
            <w:vMerge w:val="restart"/>
            <w:shd w:val="clear" w:color="auto" w:fill="0070C0"/>
            <w:vAlign w:val="center"/>
          </w:tcPr>
          <w:p w14:paraId="0ED1D609" w14:textId="77777777" w:rsidR="007C6EB7" w:rsidRPr="005A0FFC" w:rsidRDefault="007C6EB7" w:rsidP="00A76DAD">
            <w:pPr>
              <w:jc w:val="center"/>
              <w:rPr>
                <w:rFonts w:eastAsia="Calibri" w:cs="Arial"/>
                <w:color w:val="FFFFFF"/>
                <w:sz w:val="20"/>
                <w:szCs w:val="20"/>
              </w:rPr>
            </w:pPr>
            <w:r w:rsidRPr="005A0FFC">
              <w:rPr>
                <w:rFonts w:eastAsia="Calibri" w:cs="Arial CE"/>
                <w:b/>
                <w:bCs/>
                <w:color w:val="FFFFFF"/>
                <w:sz w:val="20"/>
                <w:szCs w:val="20"/>
              </w:rPr>
              <w:t>Rozdiel</w:t>
            </w:r>
          </w:p>
        </w:tc>
        <w:tc>
          <w:tcPr>
            <w:tcW w:w="544" w:type="pct"/>
            <w:vMerge w:val="restart"/>
            <w:shd w:val="clear" w:color="auto" w:fill="0070C0"/>
            <w:noWrap/>
            <w:vAlign w:val="center"/>
          </w:tcPr>
          <w:p w14:paraId="230CC4C1" w14:textId="77777777" w:rsidR="007C6EB7" w:rsidRPr="005A0FFC" w:rsidRDefault="007C6EB7" w:rsidP="00A76DAD">
            <w:pPr>
              <w:jc w:val="center"/>
              <w:rPr>
                <w:rFonts w:eastAsia="Calibri" w:cs="Arial CE"/>
                <w:b/>
                <w:bCs/>
                <w:color w:val="FFFFFF"/>
                <w:sz w:val="20"/>
                <w:szCs w:val="20"/>
              </w:rPr>
            </w:pPr>
            <w:r w:rsidRPr="005A0FFC">
              <w:rPr>
                <w:rFonts w:eastAsia="Calibri" w:cs="Arial CE"/>
                <w:b/>
                <w:bCs/>
                <w:color w:val="FFFFFF"/>
                <w:sz w:val="20"/>
                <w:szCs w:val="20"/>
              </w:rPr>
              <w:t>Index</w:t>
            </w:r>
          </w:p>
          <w:p w14:paraId="3BE4DD68" w14:textId="77777777" w:rsidR="007C6EB7" w:rsidRPr="005A0FFC" w:rsidRDefault="007C6EB7" w:rsidP="00A76DAD">
            <w:pPr>
              <w:jc w:val="center"/>
              <w:rPr>
                <w:rFonts w:eastAsia="Calibri" w:cs="Arial CE"/>
                <w:b/>
                <w:bCs/>
                <w:color w:val="FFFFFF"/>
                <w:sz w:val="20"/>
                <w:szCs w:val="20"/>
              </w:rPr>
            </w:pPr>
            <w:r w:rsidRPr="005A0FFC">
              <w:rPr>
                <w:rFonts w:eastAsia="Calibri" w:cs="Arial CE"/>
                <w:b/>
                <w:bCs/>
                <w:color w:val="FFFFFF"/>
                <w:sz w:val="20"/>
                <w:szCs w:val="20"/>
              </w:rPr>
              <w:t>(v %)</w:t>
            </w:r>
          </w:p>
        </w:tc>
      </w:tr>
      <w:tr w:rsidR="007C6EB7" w:rsidRPr="005A0FFC" w14:paraId="18F39E6D" w14:textId="77777777" w:rsidTr="00B141AE">
        <w:trPr>
          <w:trHeight w:val="20"/>
          <w:tblHeader/>
          <w:jc w:val="center"/>
        </w:trPr>
        <w:tc>
          <w:tcPr>
            <w:tcW w:w="1757" w:type="pct"/>
            <w:vMerge/>
            <w:shd w:val="clear" w:color="auto" w:fill="auto"/>
            <w:noWrap/>
            <w:vAlign w:val="center"/>
          </w:tcPr>
          <w:p w14:paraId="0B66591D" w14:textId="77777777" w:rsidR="007C6EB7" w:rsidRPr="005A0FFC" w:rsidRDefault="007C6EB7" w:rsidP="00A76DAD">
            <w:pPr>
              <w:rPr>
                <w:rFonts w:eastAsia="Calibri" w:cs="Arial"/>
                <w:sz w:val="20"/>
                <w:szCs w:val="20"/>
              </w:rPr>
            </w:pPr>
          </w:p>
        </w:tc>
        <w:tc>
          <w:tcPr>
            <w:tcW w:w="591" w:type="pct"/>
            <w:vMerge/>
            <w:shd w:val="clear" w:color="auto" w:fill="auto"/>
            <w:vAlign w:val="center"/>
          </w:tcPr>
          <w:p w14:paraId="7075601C" w14:textId="77777777" w:rsidR="007C6EB7" w:rsidRPr="005A0FFC" w:rsidRDefault="007C6EB7" w:rsidP="00A76DAD">
            <w:pPr>
              <w:rPr>
                <w:rFonts w:eastAsia="Calibri" w:cs="Arial"/>
                <w:sz w:val="20"/>
                <w:szCs w:val="20"/>
              </w:rPr>
            </w:pPr>
          </w:p>
        </w:tc>
        <w:tc>
          <w:tcPr>
            <w:tcW w:w="532" w:type="pct"/>
            <w:shd w:val="clear" w:color="auto" w:fill="0070C0"/>
            <w:vAlign w:val="center"/>
          </w:tcPr>
          <w:p w14:paraId="61F50350" w14:textId="77777777" w:rsidR="007C6EB7" w:rsidRPr="005A0FFC" w:rsidRDefault="007C6EB7" w:rsidP="00A76DAD">
            <w:pPr>
              <w:jc w:val="center"/>
              <w:rPr>
                <w:rFonts w:eastAsia="Calibri" w:cs="Arial"/>
                <w:b/>
                <w:color w:val="FFFFFF"/>
                <w:sz w:val="20"/>
                <w:szCs w:val="20"/>
              </w:rPr>
            </w:pPr>
            <w:r w:rsidRPr="005A0FFC">
              <w:rPr>
                <w:rFonts w:eastAsia="Calibri" w:cs="Arial"/>
                <w:b/>
                <w:color w:val="FFFFFF"/>
                <w:sz w:val="20"/>
                <w:szCs w:val="20"/>
              </w:rPr>
              <w:t>schválený</w:t>
            </w:r>
          </w:p>
        </w:tc>
        <w:tc>
          <w:tcPr>
            <w:tcW w:w="532" w:type="pct"/>
            <w:shd w:val="clear" w:color="auto" w:fill="0070C0"/>
            <w:vAlign w:val="center"/>
          </w:tcPr>
          <w:p w14:paraId="0F8CF8B2" w14:textId="77777777" w:rsidR="007C6EB7" w:rsidRPr="005A0FFC" w:rsidRDefault="007C6EB7" w:rsidP="00A76DAD">
            <w:pPr>
              <w:jc w:val="center"/>
              <w:rPr>
                <w:rFonts w:eastAsia="Calibri" w:cs="Arial"/>
                <w:b/>
                <w:color w:val="FFFFFF"/>
                <w:sz w:val="20"/>
                <w:szCs w:val="20"/>
              </w:rPr>
            </w:pPr>
            <w:r w:rsidRPr="005A0FFC">
              <w:rPr>
                <w:rFonts w:eastAsia="Calibri" w:cs="Arial"/>
                <w:b/>
                <w:color w:val="FFFFFF"/>
                <w:sz w:val="20"/>
                <w:szCs w:val="20"/>
              </w:rPr>
              <w:t>upravený</w:t>
            </w:r>
          </w:p>
        </w:tc>
        <w:tc>
          <w:tcPr>
            <w:tcW w:w="584" w:type="pct"/>
            <w:vMerge/>
            <w:shd w:val="clear" w:color="auto" w:fill="auto"/>
            <w:vAlign w:val="center"/>
          </w:tcPr>
          <w:p w14:paraId="2E2D75F8" w14:textId="77777777" w:rsidR="007C6EB7" w:rsidRPr="005A0FFC" w:rsidRDefault="007C6EB7" w:rsidP="00A76DAD">
            <w:pPr>
              <w:rPr>
                <w:rFonts w:eastAsia="Calibri" w:cs="Arial"/>
                <w:sz w:val="20"/>
                <w:szCs w:val="20"/>
              </w:rPr>
            </w:pPr>
          </w:p>
        </w:tc>
        <w:tc>
          <w:tcPr>
            <w:tcW w:w="460" w:type="pct"/>
            <w:vMerge/>
            <w:shd w:val="clear" w:color="auto" w:fill="auto"/>
            <w:vAlign w:val="center"/>
          </w:tcPr>
          <w:p w14:paraId="21137281" w14:textId="77777777" w:rsidR="007C6EB7" w:rsidRPr="005A0FFC" w:rsidRDefault="007C6EB7" w:rsidP="00A76DAD">
            <w:pPr>
              <w:rPr>
                <w:rFonts w:eastAsia="Calibri" w:cs="Arial"/>
                <w:sz w:val="20"/>
                <w:szCs w:val="20"/>
              </w:rPr>
            </w:pPr>
          </w:p>
        </w:tc>
        <w:tc>
          <w:tcPr>
            <w:tcW w:w="544" w:type="pct"/>
            <w:vMerge/>
            <w:shd w:val="clear" w:color="auto" w:fill="auto"/>
            <w:noWrap/>
            <w:vAlign w:val="bottom"/>
          </w:tcPr>
          <w:p w14:paraId="021C7650" w14:textId="77777777" w:rsidR="007C6EB7" w:rsidRPr="005A0FFC" w:rsidRDefault="007C6EB7" w:rsidP="00A76DAD">
            <w:pPr>
              <w:rPr>
                <w:rFonts w:eastAsia="Calibri" w:cs="Arial"/>
                <w:sz w:val="20"/>
                <w:szCs w:val="20"/>
              </w:rPr>
            </w:pPr>
          </w:p>
        </w:tc>
      </w:tr>
      <w:tr w:rsidR="007C6EB7" w:rsidRPr="005A0FFC" w14:paraId="2A4695C6" w14:textId="77777777" w:rsidTr="00B141AE">
        <w:trPr>
          <w:trHeight w:val="20"/>
          <w:tblHeader/>
          <w:jc w:val="center"/>
        </w:trPr>
        <w:tc>
          <w:tcPr>
            <w:tcW w:w="1757" w:type="pct"/>
            <w:shd w:val="clear" w:color="auto" w:fill="auto"/>
            <w:noWrap/>
            <w:vAlign w:val="center"/>
            <w:hideMark/>
          </w:tcPr>
          <w:p w14:paraId="55117A64" w14:textId="77777777" w:rsidR="007C6EB7" w:rsidRPr="005A0FFC" w:rsidRDefault="007C6EB7" w:rsidP="00A76DAD">
            <w:pPr>
              <w:jc w:val="center"/>
              <w:rPr>
                <w:rFonts w:eastAsia="Calibri" w:cs="Arial"/>
                <w:sz w:val="18"/>
                <w:szCs w:val="18"/>
              </w:rPr>
            </w:pPr>
            <w:r w:rsidRPr="005A0FFC">
              <w:rPr>
                <w:rFonts w:eastAsia="Calibri" w:cs="Arial"/>
                <w:sz w:val="18"/>
                <w:szCs w:val="18"/>
              </w:rPr>
              <w:t>a</w:t>
            </w:r>
          </w:p>
        </w:tc>
        <w:tc>
          <w:tcPr>
            <w:tcW w:w="591" w:type="pct"/>
            <w:shd w:val="clear" w:color="auto" w:fill="auto"/>
            <w:vAlign w:val="center"/>
            <w:hideMark/>
          </w:tcPr>
          <w:p w14:paraId="1A91210D" w14:textId="77777777" w:rsidR="007C6EB7" w:rsidRPr="005A0FFC" w:rsidRDefault="007C6EB7" w:rsidP="00A76DAD">
            <w:pPr>
              <w:jc w:val="center"/>
              <w:rPr>
                <w:rFonts w:eastAsia="Calibri" w:cs="Arial"/>
                <w:sz w:val="18"/>
                <w:szCs w:val="18"/>
              </w:rPr>
            </w:pPr>
            <w:r w:rsidRPr="005A0FFC">
              <w:rPr>
                <w:rFonts w:eastAsia="Calibri" w:cs="Arial"/>
                <w:sz w:val="18"/>
                <w:szCs w:val="18"/>
              </w:rPr>
              <w:t>1</w:t>
            </w:r>
          </w:p>
        </w:tc>
        <w:tc>
          <w:tcPr>
            <w:tcW w:w="532" w:type="pct"/>
            <w:shd w:val="clear" w:color="auto" w:fill="auto"/>
            <w:vAlign w:val="center"/>
            <w:hideMark/>
          </w:tcPr>
          <w:p w14:paraId="4CADB794" w14:textId="77777777" w:rsidR="007C6EB7" w:rsidRPr="005A0FFC" w:rsidRDefault="007C6EB7" w:rsidP="00A76DAD">
            <w:pPr>
              <w:jc w:val="center"/>
              <w:rPr>
                <w:rFonts w:eastAsia="Calibri" w:cs="Arial"/>
                <w:sz w:val="18"/>
                <w:szCs w:val="18"/>
              </w:rPr>
            </w:pPr>
            <w:r w:rsidRPr="005A0FFC">
              <w:rPr>
                <w:rFonts w:eastAsia="Calibri" w:cs="Arial"/>
                <w:sz w:val="18"/>
                <w:szCs w:val="18"/>
              </w:rPr>
              <w:t>2</w:t>
            </w:r>
          </w:p>
        </w:tc>
        <w:tc>
          <w:tcPr>
            <w:tcW w:w="532" w:type="pct"/>
            <w:shd w:val="clear" w:color="auto" w:fill="auto"/>
            <w:vAlign w:val="center"/>
            <w:hideMark/>
          </w:tcPr>
          <w:p w14:paraId="3F688A06" w14:textId="77777777" w:rsidR="007C6EB7" w:rsidRPr="005A0FFC" w:rsidRDefault="007C6EB7" w:rsidP="00A76DAD">
            <w:pPr>
              <w:jc w:val="center"/>
              <w:rPr>
                <w:rFonts w:eastAsia="Calibri" w:cs="Arial"/>
                <w:sz w:val="18"/>
                <w:szCs w:val="18"/>
              </w:rPr>
            </w:pPr>
            <w:r w:rsidRPr="005A0FFC">
              <w:rPr>
                <w:rFonts w:eastAsia="Calibri" w:cs="Arial"/>
                <w:sz w:val="18"/>
                <w:szCs w:val="18"/>
              </w:rPr>
              <w:t>3</w:t>
            </w:r>
          </w:p>
        </w:tc>
        <w:tc>
          <w:tcPr>
            <w:tcW w:w="584" w:type="pct"/>
            <w:shd w:val="clear" w:color="auto" w:fill="auto"/>
            <w:vAlign w:val="center"/>
            <w:hideMark/>
          </w:tcPr>
          <w:p w14:paraId="2883D92E" w14:textId="77777777" w:rsidR="007C6EB7" w:rsidRPr="005A0FFC" w:rsidRDefault="007C6EB7" w:rsidP="00A76DAD">
            <w:pPr>
              <w:jc w:val="center"/>
              <w:rPr>
                <w:rFonts w:eastAsia="Calibri" w:cs="Arial"/>
                <w:sz w:val="18"/>
                <w:szCs w:val="18"/>
              </w:rPr>
            </w:pPr>
            <w:r w:rsidRPr="005A0FFC">
              <w:rPr>
                <w:rFonts w:eastAsia="Calibri" w:cs="Arial"/>
                <w:sz w:val="18"/>
                <w:szCs w:val="18"/>
              </w:rPr>
              <w:t>4</w:t>
            </w:r>
          </w:p>
        </w:tc>
        <w:tc>
          <w:tcPr>
            <w:tcW w:w="460" w:type="pct"/>
            <w:shd w:val="clear" w:color="auto" w:fill="auto"/>
            <w:vAlign w:val="center"/>
            <w:hideMark/>
          </w:tcPr>
          <w:p w14:paraId="652F7ABF" w14:textId="77777777" w:rsidR="007C6EB7" w:rsidRPr="005A0FFC" w:rsidRDefault="007C6EB7" w:rsidP="00A76DAD">
            <w:pPr>
              <w:jc w:val="center"/>
              <w:rPr>
                <w:rFonts w:eastAsia="Calibri" w:cs="Arial"/>
                <w:sz w:val="18"/>
                <w:szCs w:val="18"/>
              </w:rPr>
            </w:pPr>
            <w:r w:rsidRPr="005A0FFC">
              <w:rPr>
                <w:rFonts w:eastAsia="Calibri" w:cs="Arial"/>
                <w:sz w:val="18"/>
                <w:szCs w:val="18"/>
              </w:rPr>
              <w:t>5=4-3</w:t>
            </w:r>
          </w:p>
        </w:tc>
        <w:tc>
          <w:tcPr>
            <w:tcW w:w="544" w:type="pct"/>
            <w:shd w:val="clear" w:color="auto" w:fill="auto"/>
            <w:noWrap/>
            <w:vAlign w:val="bottom"/>
            <w:hideMark/>
          </w:tcPr>
          <w:p w14:paraId="6984E4B3" w14:textId="77777777" w:rsidR="007C6EB7" w:rsidRPr="005A0FFC" w:rsidRDefault="007C6EB7" w:rsidP="00A76DAD">
            <w:pPr>
              <w:jc w:val="center"/>
              <w:rPr>
                <w:rFonts w:eastAsia="Calibri" w:cs="Arial"/>
                <w:sz w:val="18"/>
                <w:szCs w:val="18"/>
              </w:rPr>
            </w:pPr>
            <w:r w:rsidRPr="005A0FFC">
              <w:rPr>
                <w:rFonts w:eastAsia="Calibri" w:cs="Arial"/>
                <w:sz w:val="18"/>
                <w:szCs w:val="18"/>
              </w:rPr>
              <w:t>6=4/1*100</w:t>
            </w:r>
          </w:p>
        </w:tc>
      </w:tr>
      <w:tr w:rsidR="007C6EB7" w:rsidRPr="005A0FFC" w14:paraId="4422320B" w14:textId="77777777" w:rsidTr="00B141AE">
        <w:trPr>
          <w:trHeight w:val="20"/>
          <w:jc w:val="center"/>
        </w:trPr>
        <w:tc>
          <w:tcPr>
            <w:tcW w:w="1757" w:type="pct"/>
            <w:shd w:val="clear" w:color="auto" w:fill="D9D9D9"/>
            <w:noWrap/>
            <w:vAlign w:val="center"/>
          </w:tcPr>
          <w:p w14:paraId="70EC923C" w14:textId="77777777" w:rsidR="007C6EB7" w:rsidRPr="005A0FFC" w:rsidRDefault="007C6EB7" w:rsidP="00A76DAD">
            <w:pPr>
              <w:rPr>
                <w:rFonts w:eastAsia="Times New Roman" w:cs="Arial"/>
                <w:b/>
                <w:bCs/>
                <w:sz w:val="20"/>
                <w:szCs w:val="20"/>
                <w:lang w:eastAsia="sk-SK"/>
              </w:rPr>
            </w:pPr>
            <w:r w:rsidRPr="005A0FFC">
              <w:rPr>
                <w:rFonts w:eastAsia="Times New Roman" w:cs="Arial"/>
                <w:b/>
                <w:bCs/>
                <w:sz w:val="20"/>
                <w:szCs w:val="20"/>
                <w:lang w:eastAsia="sk-SK"/>
              </w:rPr>
              <w:t>Daňové príjmy spolu</w:t>
            </w:r>
          </w:p>
        </w:tc>
        <w:tc>
          <w:tcPr>
            <w:tcW w:w="591" w:type="pct"/>
            <w:shd w:val="clear" w:color="auto" w:fill="D9D9D9"/>
            <w:noWrap/>
            <w:vAlign w:val="bottom"/>
          </w:tcPr>
          <w:p w14:paraId="3EB308AD"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11 965 782</w:t>
            </w:r>
          </w:p>
        </w:tc>
        <w:tc>
          <w:tcPr>
            <w:tcW w:w="532" w:type="pct"/>
            <w:shd w:val="clear" w:color="auto" w:fill="D9D9D9"/>
            <w:noWrap/>
            <w:vAlign w:val="bottom"/>
          </w:tcPr>
          <w:p w14:paraId="75609881"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12 464 557</w:t>
            </w:r>
          </w:p>
        </w:tc>
        <w:tc>
          <w:tcPr>
            <w:tcW w:w="532" w:type="pct"/>
            <w:shd w:val="clear" w:color="auto" w:fill="D9D9D9"/>
            <w:noWrap/>
            <w:vAlign w:val="bottom"/>
          </w:tcPr>
          <w:p w14:paraId="15C78DE5"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12 464 557</w:t>
            </w:r>
          </w:p>
        </w:tc>
        <w:tc>
          <w:tcPr>
            <w:tcW w:w="584" w:type="pct"/>
            <w:shd w:val="clear" w:color="auto" w:fill="D9D9D9"/>
            <w:noWrap/>
            <w:vAlign w:val="bottom"/>
          </w:tcPr>
          <w:p w14:paraId="239B3594"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12 336 444</w:t>
            </w:r>
          </w:p>
        </w:tc>
        <w:tc>
          <w:tcPr>
            <w:tcW w:w="460" w:type="pct"/>
            <w:shd w:val="clear" w:color="auto" w:fill="D9D9D9"/>
            <w:noWrap/>
            <w:vAlign w:val="center"/>
          </w:tcPr>
          <w:p w14:paraId="146328C3"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-128 113</w:t>
            </w:r>
          </w:p>
        </w:tc>
        <w:tc>
          <w:tcPr>
            <w:tcW w:w="544" w:type="pct"/>
            <w:shd w:val="clear" w:color="auto" w:fill="D9D9D9"/>
            <w:noWrap/>
            <w:vAlign w:val="center"/>
          </w:tcPr>
          <w:p w14:paraId="3B1F8AF2"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103,1</w:t>
            </w:r>
          </w:p>
        </w:tc>
      </w:tr>
      <w:tr w:rsidR="007C6EB7" w:rsidRPr="005A0FFC" w14:paraId="5CDCF59D" w14:textId="77777777" w:rsidTr="00B141AE">
        <w:trPr>
          <w:trHeight w:val="20"/>
          <w:jc w:val="center"/>
        </w:trPr>
        <w:tc>
          <w:tcPr>
            <w:tcW w:w="1757" w:type="pct"/>
            <w:shd w:val="clear" w:color="auto" w:fill="auto"/>
            <w:noWrap/>
            <w:vAlign w:val="center"/>
          </w:tcPr>
          <w:p w14:paraId="6EE69873" w14:textId="77777777" w:rsidR="007C6EB7" w:rsidRPr="005A0FFC" w:rsidRDefault="007C6EB7" w:rsidP="00A76DAD">
            <w:pPr>
              <w:rPr>
                <w:rFonts w:eastAsia="Times New Roman" w:cs="Arial"/>
                <w:b/>
                <w:bCs/>
                <w:sz w:val="20"/>
                <w:szCs w:val="20"/>
                <w:lang w:eastAsia="sk-SK"/>
              </w:rPr>
            </w:pPr>
            <w:r w:rsidRPr="005A0FFC">
              <w:rPr>
                <w:rFonts w:eastAsia="Times New Roman" w:cs="Arial"/>
                <w:b/>
                <w:bCs/>
                <w:sz w:val="20"/>
                <w:szCs w:val="20"/>
                <w:lang w:eastAsia="sk-SK"/>
              </w:rPr>
              <w:t>Dane z príjmov a kapitálového majetku</w:t>
            </w:r>
          </w:p>
        </w:tc>
        <w:tc>
          <w:tcPr>
            <w:tcW w:w="591" w:type="pct"/>
            <w:shd w:val="clear" w:color="auto" w:fill="auto"/>
            <w:noWrap/>
            <w:vAlign w:val="bottom"/>
          </w:tcPr>
          <w:p w14:paraId="1F73666C"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3 011 024</w:t>
            </w:r>
          </w:p>
        </w:tc>
        <w:tc>
          <w:tcPr>
            <w:tcW w:w="532" w:type="pct"/>
            <w:shd w:val="clear" w:color="auto" w:fill="auto"/>
            <w:noWrap/>
            <w:vAlign w:val="bottom"/>
          </w:tcPr>
          <w:p w14:paraId="292CED6A"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2 952 136</w:t>
            </w:r>
          </w:p>
        </w:tc>
        <w:tc>
          <w:tcPr>
            <w:tcW w:w="532" w:type="pct"/>
            <w:shd w:val="clear" w:color="auto" w:fill="auto"/>
            <w:noWrap/>
            <w:vAlign w:val="bottom"/>
          </w:tcPr>
          <w:p w14:paraId="3B9CCD7B"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2 952 136</w:t>
            </w:r>
          </w:p>
        </w:tc>
        <w:tc>
          <w:tcPr>
            <w:tcW w:w="584" w:type="pct"/>
            <w:shd w:val="clear" w:color="auto" w:fill="auto"/>
            <w:noWrap/>
            <w:vAlign w:val="bottom"/>
          </w:tcPr>
          <w:p w14:paraId="0983B696"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2 984 584</w:t>
            </w:r>
          </w:p>
        </w:tc>
        <w:tc>
          <w:tcPr>
            <w:tcW w:w="460" w:type="pct"/>
            <w:shd w:val="clear" w:color="auto" w:fill="auto"/>
            <w:noWrap/>
            <w:vAlign w:val="center"/>
          </w:tcPr>
          <w:p w14:paraId="1D00563C"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32 448</w:t>
            </w:r>
          </w:p>
        </w:tc>
        <w:tc>
          <w:tcPr>
            <w:tcW w:w="544" w:type="pct"/>
            <w:shd w:val="clear" w:color="auto" w:fill="auto"/>
            <w:noWrap/>
            <w:vAlign w:val="center"/>
          </w:tcPr>
          <w:p w14:paraId="30F9090D"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99,1</w:t>
            </w:r>
          </w:p>
        </w:tc>
      </w:tr>
      <w:tr w:rsidR="007C6EB7" w:rsidRPr="005A0FFC" w14:paraId="67997D65" w14:textId="77777777" w:rsidTr="00B141AE">
        <w:trPr>
          <w:trHeight w:val="20"/>
          <w:jc w:val="center"/>
        </w:trPr>
        <w:tc>
          <w:tcPr>
            <w:tcW w:w="1757" w:type="pct"/>
            <w:shd w:val="clear" w:color="auto" w:fill="auto"/>
            <w:noWrap/>
            <w:vAlign w:val="center"/>
          </w:tcPr>
          <w:p w14:paraId="23C7633A" w14:textId="77777777" w:rsidR="007C6EB7" w:rsidRPr="005A0FFC" w:rsidRDefault="007C6EB7" w:rsidP="00A76DAD">
            <w:pPr>
              <w:rPr>
                <w:rFonts w:eastAsia="Times New Roman" w:cs="Arial"/>
                <w:sz w:val="20"/>
                <w:szCs w:val="20"/>
                <w:lang w:eastAsia="sk-SK"/>
              </w:rPr>
            </w:pPr>
            <w:r w:rsidRPr="005A0FFC">
              <w:rPr>
                <w:rFonts w:eastAsia="Times New Roman" w:cs="Arial"/>
                <w:sz w:val="20"/>
                <w:szCs w:val="20"/>
                <w:lang w:eastAsia="sk-SK"/>
              </w:rPr>
              <w:t>v tom:</w:t>
            </w:r>
          </w:p>
        </w:tc>
        <w:tc>
          <w:tcPr>
            <w:tcW w:w="591" w:type="pct"/>
            <w:shd w:val="clear" w:color="auto" w:fill="auto"/>
            <w:noWrap/>
            <w:vAlign w:val="bottom"/>
          </w:tcPr>
          <w:p w14:paraId="33365DB8" w14:textId="77777777" w:rsidR="007C6EB7" w:rsidRPr="005A0FFC" w:rsidRDefault="007C6EB7" w:rsidP="00A76DAD">
            <w:pPr>
              <w:rPr>
                <w:rFonts w:eastAsia="Times New Roman" w:cs="Arial CE"/>
                <w:sz w:val="20"/>
                <w:szCs w:val="20"/>
                <w:lang w:eastAsia="sk-SK"/>
              </w:rPr>
            </w:pPr>
            <w:r w:rsidRPr="005A0FFC">
              <w:rPr>
                <w:rFonts w:eastAsia="Times New Roman" w:cs="Arial CE"/>
                <w:sz w:val="20"/>
                <w:szCs w:val="20"/>
                <w:lang w:eastAsia="sk-SK"/>
              </w:rPr>
              <w:t> </w:t>
            </w:r>
          </w:p>
        </w:tc>
        <w:tc>
          <w:tcPr>
            <w:tcW w:w="532" w:type="pct"/>
            <w:shd w:val="clear" w:color="auto" w:fill="auto"/>
            <w:noWrap/>
            <w:vAlign w:val="bottom"/>
          </w:tcPr>
          <w:p w14:paraId="47B637C8" w14:textId="77777777" w:rsidR="007C6EB7" w:rsidRPr="005A0FFC" w:rsidRDefault="007C6EB7" w:rsidP="00A76DAD">
            <w:pPr>
              <w:rPr>
                <w:rFonts w:eastAsia="Times New Roman" w:cs="Arial CE"/>
                <w:sz w:val="20"/>
                <w:szCs w:val="20"/>
                <w:lang w:eastAsia="sk-SK"/>
              </w:rPr>
            </w:pPr>
            <w:r w:rsidRPr="005A0FFC">
              <w:rPr>
                <w:rFonts w:eastAsia="Times New Roman" w:cs="Arial CE"/>
                <w:sz w:val="20"/>
                <w:szCs w:val="20"/>
                <w:lang w:eastAsia="sk-SK"/>
              </w:rPr>
              <w:t> </w:t>
            </w:r>
          </w:p>
        </w:tc>
        <w:tc>
          <w:tcPr>
            <w:tcW w:w="532" w:type="pct"/>
            <w:shd w:val="clear" w:color="auto" w:fill="auto"/>
            <w:noWrap/>
            <w:vAlign w:val="bottom"/>
          </w:tcPr>
          <w:p w14:paraId="3486C8A0" w14:textId="77777777" w:rsidR="007C6EB7" w:rsidRPr="005A0FFC" w:rsidRDefault="007C6EB7" w:rsidP="00A76DAD">
            <w:pPr>
              <w:rPr>
                <w:rFonts w:eastAsia="Times New Roman" w:cs="Arial CE"/>
                <w:sz w:val="20"/>
                <w:szCs w:val="20"/>
                <w:lang w:eastAsia="sk-SK"/>
              </w:rPr>
            </w:pPr>
            <w:r w:rsidRPr="005A0FFC">
              <w:rPr>
                <w:rFonts w:eastAsia="Times New Roman" w:cs="Arial CE"/>
                <w:sz w:val="20"/>
                <w:szCs w:val="20"/>
                <w:lang w:eastAsia="sk-SK"/>
              </w:rPr>
              <w:t> </w:t>
            </w:r>
          </w:p>
        </w:tc>
        <w:tc>
          <w:tcPr>
            <w:tcW w:w="584" w:type="pct"/>
            <w:shd w:val="clear" w:color="auto" w:fill="auto"/>
            <w:noWrap/>
            <w:vAlign w:val="bottom"/>
          </w:tcPr>
          <w:p w14:paraId="31CB7B37" w14:textId="77777777" w:rsidR="007C6EB7" w:rsidRPr="005A0FFC" w:rsidRDefault="007C6EB7" w:rsidP="00A76DAD">
            <w:pPr>
              <w:rPr>
                <w:rFonts w:eastAsia="Times New Roman" w:cs="Arial CE"/>
                <w:sz w:val="20"/>
                <w:szCs w:val="20"/>
                <w:lang w:eastAsia="sk-SK"/>
              </w:rPr>
            </w:pPr>
            <w:r w:rsidRPr="005A0FFC">
              <w:rPr>
                <w:rFonts w:eastAsia="Times New Roman" w:cs="Arial CE"/>
                <w:sz w:val="20"/>
                <w:szCs w:val="20"/>
                <w:lang w:eastAsia="sk-SK"/>
              </w:rPr>
              <w:t> </w:t>
            </w:r>
          </w:p>
        </w:tc>
        <w:tc>
          <w:tcPr>
            <w:tcW w:w="460" w:type="pct"/>
            <w:shd w:val="clear" w:color="auto" w:fill="auto"/>
            <w:noWrap/>
            <w:vAlign w:val="center"/>
          </w:tcPr>
          <w:p w14:paraId="6642C5B2"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 </w:t>
            </w:r>
          </w:p>
        </w:tc>
        <w:tc>
          <w:tcPr>
            <w:tcW w:w="544" w:type="pct"/>
            <w:shd w:val="clear" w:color="auto" w:fill="auto"/>
            <w:noWrap/>
            <w:vAlign w:val="center"/>
          </w:tcPr>
          <w:p w14:paraId="2AA719E7"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 </w:t>
            </w:r>
          </w:p>
        </w:tc>
      </w:tr>
      <w:tr w:rsidR="007C6EB7" w:rsidRPr="005A0FFC" w14:paraId="0F6DF5E1" w14:textId="77777777" w:rsidTr="00B141AE">
        <w:trPr>
          <w:trHeight w:val="20"/>
          <w:jc w:val="center"/>
        </w:trPr>
        <w:tc>
          <w:tcPr>
            <w:tcW w:w="1757" w:type="pct"/>
            <w:shd w:val="clear" w:color="auto" w:fill="auto"/>
            <w:noWrap/>
            <w:vAlign w:val="center"/>
          </w:tcPr>
          <w:p w14:paraId="066C7AAA" w14:textId="77777777" w:rsidR="007C6EB7" w:rsidRPr="005A0FFC" w:rsidRDefault="007C6EB7" w:rsidP="00A76DAD">
            <w:pPr>
              <w:pStyle w:val="Odsekzoznamu"/>
              <w:numPr>
                <w:ilvl w:val="0"/>
                <w:numId w:val="5"/>
              </w:numPr>
              <w:ind w:firstLine="0"/>
              <w:rPr>
                <w:rFonts w:eastAsia="Times New Roman" w:cs="Arial"/>
                <w:sz w:val="20"/>
                <w:szCs w:val="20"/>
                <w:lang w:eastAsia="sk-SK"/>
              </w:rPr>
            </w:pPr>
            <w:r w:rsidRPr="005A0FFC">
              <w:rPr>
                <w:rFonts w:eastAsia="Times New Roman" w:cs="Arial"/>
                <w:sz w:val="20"/>
                <w:szCs w:val="20"/>
                <w:lang w:eastAsia="sk-SK"/>
              </w:rPr>
              <w:t>Daň z príjmov fyzickej osoby</w:t>
            </w:r>
          </w:p>
        </w:tc>
        <w:tc>
          <w:tcPr>
            <w:tcW w:w="591" w:type="pct"/>
            <w:shd w:val="clear" w:color="auto" w:fill="auto"/>
            <w:noWrap/>
            <w:vAlign w:val="bottom"/>
          </w:tcPr>
          <w:p w14:paraId="0AAA7F9D"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5 919</w:t>
            </w:r>
          </w:p>
        </w:tc>
        <w:tc>
          <w:tcPr>
            <w:tcW w:w="532" w:type="pct"/>
            <w:shd w:val="clear" w:color="auto" w:fill="auto"/>
            <w:noWrap/>
            <w:vAlign w:val="bottom"/>
          </w:tcPr>
          <w:p w14:paraId="49EE51D2"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-16 794</w:t>
            </w:r>
          </w:p>
        </w:tc>
        <w:tc>
          <w:tcPr>
            <w:tcW w:w="532" w:type="pct"/>
            <w:shd w:val="clear" w:color="auto" w:fill="auto"/>
            <w:noWrap/>
            <w:vAlign w:val="bottom"/>
          </w:tcPr>
          <w:p w14:paraId="56C5D06F"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-16 794</w:t>
            </w:r>
          </w:p>
        </w:tc>
        <w:tc>
          <w:tcPr>
            <w:tcW w:w="584" w:type="pct"/>
            <w:shd w:val="clear" w:color="auto" w:fill="auto"/>
            <w:noWrap/>
            <w:vAlign w:val="bottom"/>
          </w:tcPr>
          <w:p w14:paraId="7DDA28C8"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-12 005</w:t>
            </w:r>
          </w:p>
        </w:tc>
        <w:tc>
          <w:tcPr>
            <w:tcW w:w="460" w:type="pct"/>
            <w:shd w:val="clear" w:color="auto" w:fill="auto"/>
            <w:noWrap/>
            <w:vAlign w:val="center"/>
          </w:tcPr>
          <w:p w14:paraId="355B8787" w14:textId="77777777" w:rsidR="007C6EB7" w:rsidRPr="005A0FFC" w:rsidRDefault="007C6EB7" w:rsidP="00A76DAD">
            <w:pPr>
              <w:jc w:val="right"/>
              <w:rPr>
                <w:rFonts w:eastAsia="Times New Roman" w:cs="Arial"/>
                <w:sz w:val="20"/>
                <w:szCs w:val="20"/>
                <w:lang w:eastAsia="sk-SK"/>
              </w:rPr>
            </w:pPr>
            <w:r w:rsidRPr="005A0FFC">
              <w:rPr>
                <w:rFonts w:eastAsia="Times New Roman" w:cs="Arial"/>
                <w:sz w:val="20"/>
                <w:szCs w:val="20"/>
                <w:lang w:eastAsia="sk-SK"/>
              </w:rPr>
              <w:t>4 789</w:t>
            </w:r>
          </w:p>
        </w:tc>
        <w:tc>
          <w:tcPr>
            <w:tcW w:w="544" w:type="pct"/>
            <w:shd w:val="clear" w:color="auto" w:fill="auto"/>
            <w:noWrap/>
            <w:vAlign w:val="center"/>
          </w:tcPr>
          <w:p w14:paraId="136B1E16" w14:textId="77777777" w:rsidR="007C6EB7" w:rsidRPr="005A0FFC" w:rsidRDefault="007C6EB7" w:rsidP="00A76DAD">
            <w:pPr>
              <w:jc w:val="right"/>
              <w:rPr>
                <w:rFonts w:eastAsia="Times New Roman" w:cs="Arial"/>
                <w:sz w:val="20"/>
                <w:szCs w:val="20"/>
                <w:lang w:eastAsia="sk-SK"/>
              </w:rPr>
            </w:pPr>
            <w:r w:rsidRPr="005A0FFC">
              <w:rPr>
                <w:rFonts w:eastAsia="Times New Roman" w:cs="Arial"/>
                <w:sz w:val="20"/>
                <w:szCs w:val="20"/>
                <w:lang w:eastAsia="sk-SK"/>
              </w:rPr>
              <w:t>-202,8</w:t>
            </w:r>
          </w:p>
        </w:tc>
      </w:tr>
      <w:tr w:rsidR="007C6EB7" w:rsidRPr="005A0FFC" w14:paraId="0896C1FD" w14:textId="77777777" w:rsidTr="00B141AE">
        <w:trPr>
          <w:trHeight w:val="20"/>
          <w:jc w:val="center"/>
        </w:trPr>
        <w:tc>
          <w:tcPr>
            <w:tcW w:w="1757" w:type="pct"/>
            <w:shd w:val="clear" w:color="auto" w:fill="auto"/>
            <w:noWrap/>
            <w:vAlign w:val="center"/>
          </w:tcPr>
          <w:p w14:paraId="087E81F2" w14:textId="77777777" w:rsidR="007C6EB7" w:rsidRPr="005A0FFC" w:rsidRDefault="007C6EB7" w:rsidP="00A76DAD">
            <w:pPr>
              <w:pStyle w:val="Odsekzoznamu"/>
              <w:numPr>
                <w:ilvl w:val="0"/>
                <w:numId w:val="5"/>
              </w:numPr>
              <w:ind w:firstLine="0"/>
              <w:rPr>
                <w:rFonts w:eastAsia="Times New Roman" w:cs="Arial"/>
                <w:sz w:val="20"/>
                <w:szCs w:val="20"/>
                <w:lang w:eastAsia="sk-SK"/>
              </w:rPr>
            </w:pPr>
            <w:r w:rsidRPr="005A0FFC">
              <w:rPr>
                <w:rFonts w:eastAsia="Times New Roman" w:cs="Arial"/>
                <w:sz w:val="20"/>
                <w:szCs w:val="20"/>
                <w:lang w:eastAsia="sk-SK"/>
              </w:rPr>
              <w:t>Daň z príjmov právnickej osoby</w:t>
            </w:r>
          </w:p>
        </w:tc>
        <w:tc>
          <w:tcPr>
            <w:tcW w:w="591" w:type="pct"/>
            <w:shd w:val="clear" w:color="auto" w:fill="auto"/>
            <w:noWrap/>
            <w:vAlign w:val="bottom"/>
          </w:tcPr>
          <w:p w14:paraId="784BE625"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2 795 935</w:t>
            </w:r>
          </w:p>
        </w:tc>
        <w:tc>
          <w:tcPr>
            <w:tcW w:w="532" w:type="pct"/>
            <w:shd w:val="clear" w:color="auto" w:fill="auto"/>
            <w:noWrap/>
            <w:vAlign w:val="bottom"/>
          </w:tcPr>
          <w:p w14:paraId="12C9135A"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2 733 291</w:t>
            </w:r>
          </w:p>
        </w:tc>
        <w:tc>
          <w:tcPr>
            <w:tcW w:w="532" w:type="pct"/>
            <w:shd w:val="clear" w:color="auto" w:fill="auto"/>
            <w:noWrap/>
            <w:vAlign w:val="bottom"/>
          </w:tcPr>
          <w:p w14:paraId="46F82B8D"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2 733 291</w:t>
            </w:r>
          </w:p>
        </w:tc>
        <w:tc>
          <w:tcPr>
            <w:tcW w:w="584" w:type="pct"/>
            <w:shd w:val="clear" w:color="auto" w:fill="auto"/>
            <w:noWrap/>
            <w:vAlign w:val="bottom"/>
          </w:tcPr>
          <w:p w14:paraId="39ABA17B"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2 750 974</w:t>
            </w:r>
          </w:p>
        </w:tc>
        <w:tc>
          <w:tcPr>
            <w:tcW w:w="460" w:type="pct"/>
            <w:shd w:val="clear" w:color="auto" w:fill="auto"/>
            <w:noWrap/>
            <w:vAlign w:val="center"/>
          </w:tcPr>
          <w:p w14:paraId="085EBCAF" w14:textId="77777777" w:rsidR="007C6EB7" w:rsidRPr="005A0FFC" w:rsidRDefault="007C6EB7" w:rsidP="00A76DAD">
            <w:pPr>
              <w:jc w:val="right"/>
              <w:rPr>
                <w:rFonts w:eastAsia="Times New Roman" w:cs="Arial"/>
                <w:sz w:val="20"/>
                <w:szCs w:val="20"/>
                <w:lang w:eastAsia="sk-SK"/>
              </w:rPr>
            </w:pPr>
            <w:r w:rsidRPr="005A0FFC">
              <w:rPr>
                <w:rFonts w:eastAsia="Times New Roman" w:cs="Arial"/>
                <w:sz w:val="20"/>
                <w:szCs w:val="20"/>
                <w:lang w:eastAsia="sk-SK"/>
              </w:rPr>
              <w:t>17 683</w:t>
            </w:r>
          </w:p>
        </w:tc>
        <w:tc>
          <w:tcPr>
            <w:tcW w:w="544" w:type="pct"/>
            <w:shd w:val="clear" w:color="auto" w:fill="auto"/>
            <w:noWrap/>
            <w:vAlign w:val="center"/>
          </w:tcPr>
          <w:p w14:paraId="3579469D" w14:textId="77777777" w:rsidR="007C6EB7" w:rsidRPr="005A0FFC" w:rsidRDefault="007C6EB7" w:rsidP="00A76DAD">
            <w:pPr>
              <w:jc w:val="right"/>
              <w:rPr>
                <w:rFonts w:eastAsia="Times New Roman" w:cs="Arial"/>
                <w:sz w:val="20"/>
                <w:szCs w:val="20"/>
                <w:lang w:eastAsia="sk-SK"/>
              </w:rPr>
            </w:pPr>
            <w:r w:rsidRPr="005A0FFC">
              <w:rPr>
                <w:rFonts w:eastAsia="Times New Roman" w:cs="Arial"/>
                <w:sz w:val="20"/>
                <w:szCs w:val="20"/>
                <w:lang w:eastAsia="sk-SK"/>
              </w:rPr>
              <w:t>98,4</w:t>
            </w:r>
          </w:p>
        </w:tc>
      </w:tr>
      <w:tr w:rsidR="007C6EB7" w:rsidRPr="005A0FFC" w14:paraId="40E57A13" w14:textId="77777777" w:rsidTr="00B141AE">
        <w:trPr>
          <w:trHeight w:val="20"/>
          <w:jc w:val="center"/>
        </w:trPr>
        <w:tc>
          <w:tcPr>
            <w:tcW w:w="1757" w:type="pct"/>
            <w:shd w:val="clear" w:color="auto" w:fill="auto"/>
            <w:noWrap/>
            <w:vAlign w:val="center"/>
          </w:tcPr>
          <w:p w14:paraId="1A9CCF4B" w14:textId="77777777" w:rsidR="007C6EB7" w:rsidRPr="005A0FFC" w:rsidRDefault="007C6EB7" w:rsidP="00A76DAD">
            <w:pPr>
              <w:pStyle w:val="Odsekzoznamu"/>
              <w:numPr>
                <w:ilvl w:val="0"/>
                <w:numId w:val="5"/>
              </w:numPr>
              <w:ind w:firstLine="0"/>
              <w:rPr>
                <w:rFonts w:eastAsia="Times New Roman" w:cs="Arial"/>
                <w:sz w:val="20"/>
                <w:szCs w:val="20"/>
                <w:lang w:eastAsia="sk-SK"/>
              </w:rPr>
            </w:pPr>
            <w:r w:rsidRPr="005A0FFC">
              <w:rPr>
                <w:rFonts w:eastAsia="Times New Roman" w:cs="Arial"/>
                <w:sz w:val="20"/>
                <w:szCs w:val="20"/>
                <w:lang w:eastAsia="sk-SK"/>
              </w:rPr>
              <w:t>Daň z príjmov vyberaná zrážkou</w:t>
            </w:r>
          </w:p>
        </w:tc>
        <w:tc>
          <w:tcPr>
            <w:tcW w:w="591" w:type="pct"/>
            <w:shd w:val="clear" w:color="auto" w:fill="auto"/>
            <w:noWrap/>
            <w:vAlign w:val="bottom"/>
          </w:tcPr>
          <w:p w14:paraId="0CC9358F"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209 170</w:t>
            </w:r>
          </w:p>
        </w:tc>
        <w:tc>
          <w:tcPr>
            <w:tcW w:w="532" w:type="pct"/>
            <w:shd w:val="clear" w:color="auto" w:fill="auto"/>
            <w:noWrap/>
            <w:vAlign w:val="bottom"/>
          </w:tcPr>
          <w:p w14:paraId="1E18631A"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235 639</w:t>
            </w:r>
          </w:p>
        </w:tc>
        <w:tc>
          <w:tcPr>
            <w:tcW w:w="532" w:type="pct"/>
            <w:shd w:val="clear" w:color="auto" w:fill="auto"/>
            <w:noWrap/>
            <w:vAlign w:val="bottom"/>
          </w:tcPr>
          <w:p w14:paraId="289EA01B"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235 639</w:t>
            </w:r>
          </w:p>
        </w:tc>
        <w:tc>
          <w:tcPr>
            <w:tcW w:w="584" w:type="pct"/>
            <w:shd w:val="clear" w:color="auto" w:fill="auto"/>
            <w:noWrap/>
            <w:vAlign w:val="bottom"/>
          </w:tcPr>
          <w:p w14:paraId="68710678"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245 615</w:t>
            </w:r>
          </w:p>
        </w:tc>
        <w:tc>
          <w:tcPr>
            <w:tcW w:w="460" w:type="pct"/>
            <w:shd w:val="clear" w:color="auto" w:fill="auto"/>
            <w:noWrap/>
            <w:vAlign w:val="center"/>
          </w:tcPr>
          <w:p w14:paraId="5312218E" w14:textId="77777777" w:rsidR="007C6EB7" w:rsidRPr="005A0FFC" w:rsidRDefault="007C6EB7" w:rsidP="00A76DAD">
            <w:pPr>
              <w:jc w:val="right"/>
              <w:rPr>
                <w:rFonts w:eastAsia="Times New Roman" w:cs="Arial"/>
                <w:sz w:val="20"/>
                <w:szCs w:val="20"/>
                <w:lang w:eastAsia="sk-SK"/>
              </w:rPr>
            </w:pPr>
            <w:r w:rsidRPr="005A0FFC">
              <w:rPr>
                <w:rFonts w:eastAsia="Times New Roman" w:cs="Arial"/>
                <w:sz w:val="20"/>
                <w:szCs w:val="20"/>
                <w:lang w:eastAsia="sk-SK"/>
              </w:rPr>
              <w:t>9 976</w:t>
            </w:r>
          </w:p>
        </w:tc>
        <w:tc>
          <w:tcPr>
            <w:tcW w:w="544" w:type="pct"/>
            <w:shd w:val="clear" w:color="auto" w:fill="auto"/>
            <w:noWrap/>
            <w:vAlign w:val="center"/>
          </w:tcPr>
          <w:p w14:paraId="799E1701" w14:textId="77777777" w:rsidR="007C6EB7" w:rsidRPr="005A0FFC" w:rsidRDefault="007C6EB7" w:rsidP="00A76DAD">
            <w:pPr>
              <w:jc w:val="right"/>
              <w:rPr>
                <w:rFonts w:eastAsia="Times New Roman" w:cs="Arial"/>
                <w:sz w:val="20"/>
                <w:szCs w:val="20"/>
                <w:lang w:eastAsia="sk-SK"/>
              </w:rPr>
            </w:pPr>
            <w:r w:rsidRPr="005A0FFC">
              <w:rPr>
                <w:rFonts w:eastAsia="Times New Roman" w:cs="Arial"/>
                <w:sz w:val="20"/>
                <w:szCs w:val="20"/>
                <w:lang w:eastAsia="sk-SK"/>
              </w:rPr>
              <w:t>117,4</w:t>
            </w:r>
          </w:p>
        </w:tc>
      </w:tr>
      <w:tr w:rsidR="007C6EB7" w:rsidRPr="005A0FFC" w14:paraId="3328EBA6" w14:textId="77777777" w:rsidTr="00B141AE">
        <w:trPr>
          <w:trHeight w:val="20"/>
          <w:jc w:val="center"/>
        </w:trPr>
        <w:tc>
          <w:tcPr>
            <w:tcW w:w="1757" w:type="pct"/>
            <w:shd w:val="clear" w:color="auto" w:fill="auto"/>
            <w:noWrap/>
            <w:vAlign w:val="center"/>
          </w:tcPr>
          <w:p w14:paraId="3E88F65B" w14:textId="77777777" w:rsidR="007C6EB7" w:rsidRPr="005A0FFC" w:rsidRDefault="007C6EB7" w:rsidP="00A76DAD">
            <w:pPr>
              <w:rPr>
                <w:rFonts w:eastAsia="Times New Roman" w:cs="Arial"/>
                <w:b/>
                <w:bCs/>
                <w:sz w:val="20"/>
                <w:szCs w:val="20"/>
                <w:lang w:eastAsia="sk-SK"/>
              </w:rPr>
            </w:pPr>
            <w:r w:rsidRPr="005A0FFC">
              <w:rPr>
                <w:rFonts w:eastAsia="Times New Roman" w:cs="Arial"/>
                <w:b/>
                <w:bCs/>
                <w:sz w:val="20"/>
                <w:szCs w:val="20"/>
                <w:lang w:eastAsia="sk-SK"/>
              </w:rPr>
              <w:t>Dane z majetku</w:t>
            </w:r>
          </w:p>
        </w:tc>
        <w:tc>
          <w:tcPr>
            <w:tcW w:w="591" w:type="pct"/>
            <w:shd w:val="clear" w:color="auto" w:fill="auto"/>
            <w:noWrap/>
            <w:vAlign w:val="bottom"/>
          </w:tcPr>
          <w:p w14:paraId="275FD787"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14</w:t>
            </w:r>
          </w:p>
        </w:tc>
        <w:tc>
          <w:tcPr>
            <w:tcW w:w="532" w:type="pct"/>
            <w:shd w:val="clear" w:color="auto" w:fill="auto"/>
            <w:noWrap/>
            <w:vAlign w:val="bottom"/>
          </w:tcPr>
          <w:p w14:paraId="22DC210C"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0</w:t>
            </w:r>
          </w:p>
        </w:tc>
        <w:tc>
          <w:tcPr>
            <w:tcW w:w="532" w:type="pct"/>
            <w:shd w:val="clear" w:color="auto" w:fill="auto"/>
            <w:noWrap/>
            <w:vAlign w:val="bottom"/>
          </w:tcPr>
          <w:p w14:paraId="71EC9C61"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0</w:t>
            </w:r>
          </w:p>
        </w:tc>
        <w:tc>
          <w:tcPr>
            <w:tcW w:w="584" w:type="pct"/>
            <w:shd w:val="clear" w:color="auto" w:fill="auto"/>
            <w:noWrap/>
            <w:vAlign w:val="bottom"/>
          </w:tcPr>
          <w:p w14:paraId="1D3818F8"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12</w:t>
            </w:r>
          </w:p>
        </w:tc>
        <w:tc>
          <w:tcPr>
            <w:tcW w:w="460" w:type="pct"/>
            <w:shd w:val="clear" w:color="auto" w:fill="auto"/>
            <w:noWrap/>
            <w:vAlign w:val="center"/>
          </w:tcPr>
          <w:p w14:paraId="0C22B2F2"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12</w:t>
            </w:r>
          </w:p>
        </w:tc>
        <w:tc>
          <w:tcPr>
            <w:tcW w:w="544" w:type="pct"/>
            <w:shd w:val="clear" w:color="auto" w:fill="auto"/>
            <w:noWrap/>
            <w:vAlign w:val="center"/>
          </w:tcPr>
          <w:p w14:paraId="2A37A104"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85,7</w:t>
            </w:r>
          </w:p>
        </w:tc>
      </w:tr>
      <w:tr w:rsidR="007C6EB7" w:rsidRPr="005A0FFC" w14:paraId="5E1C8420" w14:textId="77777777" w:rsidTr="00B141AE">
        <w:trPr>
          <w:trHeight w:val="20"/>
          <w:jc w:val="center"/>
        </w:trPr>
        <w:tc>
          <w:tcPr>
            <w:tcW w:w="1757" w:type="pct"/>
            <w:shd w:val="clear" w:color="auto" w:fill="auto"/>
            <w:noWrap/>
            <w:vAlign w:val="center"/>
          </w:tcPr>
          <w:p w14:paraId="43E506F0" w14:textId="77777777" w:rsidR="007C6EB7" w:rsidRPr="005A0FFC" w:rsidRDefault="007C6EB7" w:rsidP="00A76DAD">
            <w:pPr>
              <w:rPr>
                <w:rFonts w:eastAsia="Times New Roman" w:cs="Arial"/>
                <w:b/>
                <w:bCs/>
                <w:sz w:val="20"/>
                <w:szCs w:val="20"/>
                <w:lang w:eastAsia="sk-SK"/>
              </w:rPr>
            </w:pPr>
            <w:r w:rsidRPr="005A0FFC">
              <w:rPr>
                <w:rFonts w:eastAsia="Times New Roman" w:cs="Arial"/>
                <w:b/>
                <w:bCs/>
                <w:sz w:val="20"/>
                <w:szCs w:val="20"/>
                <w:lang w:eastAsia="sk-SK"/>
              </w:rPr>
              <w:t>Dane za tovary a služby</w:t>
            </w:r>
          </w:p>
        </w:tc>
        <w:tc>
          <w:tcPr>
            <w:tcW w:w="591" w:type="pct"/>
            <w:shd w:val="clear" w:color="auto" w:fill="auto"/>
            <w:noWrap/>
            <w:vAlign w:val="bottom"/>
          </w:tcPr>
          <w:p w14:paraId="4447F18A"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8 919 316</w:t>
            </w:r>
          </w:p>
        </w:tc>
        <w:tc>
          <w:tcPr>
            <w:tcW w:w="532" w:type="pct"/>
            <w:shd w:val="clear" w:color="auto" w:fill="auto"/>
            <w:noWrap/>
            <w:vAlign w:val="bottom"/>
          </w:tcPr>
          <w:p w14:paraId="170A187F"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9 275 251</w:t>
            </w:r>
          </w:p>
        </w:tc>
        <w:tc>
          <w:tcPr>
            <w:tcW w:w="532" w:type="pct"/>
            <w:shd w:val="clear" w:color="auto" w:fill="auto"/>
            <w:noWrap/>
            <w:vAlign w:val="bottom"/>
          </w:tcPr>
          <w:p w14:paraId="795A800C"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9 275 251</w:t>
            </w:r>
          </w:p>
        </w:tc>
        <w:tc>
          <w:tcPr>
            <w:tcW w:w="584" w:type="pct"/>
            <w:shd w:val="clear" w:color="auto" w:fill="auto"/>
            <w:noWrap/>
            <w:vAlign w:val="bottom"/>
          </w:tcPr>
          <w:p w14:paraId="1FEF4A3E"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9 302 809</w:t>
            </w:r>
          </w:p>
        </w:tc>
        <w:tc>
          <w:tcPr>
            <w:tcW w:w="460" w:type="pct"/>
            <w:shd w:val="clear" w:color="auto" w:fill="auto"/>
            <w:noWrap/>
            <w:vAlign w:val="center"/>
          </w:tcPr>
          <w:p w14:paraId="39FFE5FE"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27 558</w:t>
            </w:r>
          </w:p>
        </w:tc>
        <w:tc>
          <w:tcPr>
            <w:tcW w:w="544" w:type="pct"/>
            <w:shd w:val="clear" w:color="auto" w:fill="auto"/>
            <w:noWrap/>
            <w:vAlign w:val="center"/>
          </w:tcPr>
          <w:p w14:paraId="29272754"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104,3</w:t>
            </w:r>
          </w:p>
        </w:tc>
      </w:tr>
      <w:tr w:rsidR="007C6EB7" w:rsidRPr="005A0FFC" w14:paraId="5583AA11" w14:textId="77777777" w:rsidTr="00B141AE">
        <w:trPr>
          <w:trHeight w:val="20"/>
          <w:jc w:val="center"/>
        </w:trPr>
        <w:tc>
          <w:tcPr>
            <w:tcW w:w="1757" w:type="pct"/>
            <w:shd w:val="clear" w:color="auto" w:fill="auto"/>
            <w:noWrap/>
            <w:vAlign w:val="center"/>
          </w:tcPr>
          <w:p w14:paraId="0705ABD3" w14:textId="77777777" w:rsidR="007C6EB7" w:rsidRPr="005A0FFC" w:rsidRDefault="007C6EB7" w:rsidP="00A76DAD">
            <w:pPr>
              <w:rPr>
                <w:rFonts w:eastAsia="Times New Roman" w:cs="Arial"/>
                <w:sz w:val="20"/>
                <w:szCs w:val="20"/>
                <w:lang w:eastAsia="sk-SK"/>
              </w:rPr>
            </w:pPr>
            <w:r w:rsidRPr="005A0FFC">
              <w:rPr>
                <w:rFonts w:eastAsia="Times New Roman" w:cs="Arial"/>
                <w:sz w:val="20"/>
                <w:szCs w:val="20"/>
                <w:lang w:eastAsia="sk-SK"/>
              </w:rPr>
              <w:t>v tom:</w:t>
            </w:r>
          </w:p>
        </w:tc>
        <w:tc>
          <w:tcPr>
            <w:tcW w:w="591" w:type="pct"/>
            <w:shd w:val="clear" w:color="auto" w:fill="auto"/>
            <w:noWrap/>
            <w:vAlign w:val="bottom"/>
          </w:tcPr>
          <w:p w14:paraId="7F9D7C37" w14:textId="77777777" w:rsidR="007C6EB7" w:rsidRPr="005A0FFC" w:rsidRDefault="007C6EB7" w:rsidP="00A76DAD">
            <w:pPr>
              <w:rPr>
                <w:rFonts w:eastAsia="Times New Roman" w:cs="Arial CE"/>
                <w:b/>
                <w:bCs/>
                <w:sz w:val="20"/>
                <w:szCs w:val="20"/>
                <w:lang w:eastAsia="sk-SK"/>
              </w:rPr>
            </w:pPr>
            <w:r w:rsidRPr="005A0FFC">
              <w:rPr>
                <w:rFonts w:eastAsia="Times New Roman" w:cs="Arial CE"/>
                <w:b/>
                <w:bCs/>
                <w:sz w:val="20"/>
                <w:szCs w:val="20"/>
                <w:lang w:eastAsia="sk-SK"/>
              </w:rPr>
              <w:t> </w:t>
            </w:r>
          </w:p>
        </w:tc>
        <w:tc>
          <w:tcPr>
            <w:tcW w:w="532" w:type="pct"/>
            <w:shd w:val="clear" w:color="auto" w:fill="auto"/>
            <w:noWrap/>
            <w:vAlign w:val="bottom"/>
          </w:tcPr>
          <w:p w14:paraId="57B33D85" w14:textId="77777777" w:rsidR="007C6EB7" w:rsidRPr="005A0FFC" w:rsidRDefault="007C6EB7" w:rsidP="00A76DAD">
            <w:pPr>
              <w:rPr>
                <w:rFonts w:eastAsia="Times New Roman" w:cs="Arial CE"/>
                <w:b/>
                <w:bCs/>
                <w:sz w:val="20"/>
                <w:szCs w:val="20"/>
                <w:lang w:eastAsia="sk-SK"/>
              </w:rPr>
            </w:pPr>
            <w:r w:rsidRPr="005A0FFC">
              <w:rPr>
                <w:rFonts w:eastAsia="Times New Roman" w:cs="Arial CE"/>
                <w:b/>
                <w:bCs/>
                <w:sz w:val="20"/>
                <w:szCs w:val="20"/>
                <w:lang w:eastAsia="sk-SK"/>
              </w:rPr>
              <w:t> </w:t>
            </w:r>
          </w:p>
        </w:tc>
        <w:tc>
          <w:tcPr>
            <w:tcW w:w="532" w:type="pct"/>
            <w:shd w:val="clear" w:color="auto" w:fill="auto"/>
            <w:noWrap/>
            <w:vAlign w:val="bottom"/>
          </w:tcPr>
          <w:p w14:paraId="124BF4C1" w14:textId="77777777" w:rsidR="007C6EB7" w:rsidRPr="005A0FFC" w:rsidRDefault="007C6EB7" w:rsidP="00A76DAD">
            <w:pPr>
              <w:rPr>
                <w:rFonts w:eastAsia="Times New Roman" w:cs="Arial CE"/>
                <w:b/>
                <w:bCs/>
                <w:sz w:val="20"/>
                <w:szCs w:val="20"/>
                <w:lang w:eastAsia="sk-SK"/>
              </w:rPr>
            </w:pPr>
            <w:r w:rsidRPr="005A0FFC">
              <w:rPr>
                <w:rFonts w:eastAsia="Times New Roman" w:cs="Arial CE"/>
                <w:b/>
                <w:bCs/>
                <w:sz w:val="20"/>
                <w:szCs w:val="20"/>
                <w:lang w:eastAsia="sk-SK"/>
              </w:rPr>
              <w:t> </w:t>
            </w:r>
          </w:p>
        </w:tc>
        <w:tc>
          <w:tcPr>
            <w:tcW w:w="584" w:type="pct"/>
            <w:shd w:val="clear" w:color="auto" w:fill="auto"/>
            <w:noWrap/>
            <w:vAlign w:val="bottom"/>
          </w:tcPr>
          <w:p w14:paraId="06F95700" w14:textId="77777777" w:rsidR="007C6EB7" w:rsidRPr="005A0FFC" w:rsidRDefault="007C6EB7" w:rsidP="00A76DAD">
            <w:pPr>
              <w:rPr>
                <w:rFonts w:eastAsia="Times New Roman" w:cs="Arial CE"/>
                <w:b/>
                <w:bCs/>
                <w:sz w:val="20"/>
                <w:szCs w:val="20"/>
                <w:lang w:eastAsia="sk-SK"/>
              </w:rPr>
            </w:pPr>
            <w:r w:rsidRPr="005A0FFC">
              <w:rPr>
                <w:rFonts w:eastAsia="Times New Roman" w:cs="Arial CE"/>
                <w:b/>
                <w:bCs/>
                <w:sz w:val="20"/>
                <w:szCs w:val="20"/>
                <w:lang w:eastAsia="sk-SK"/>
              </w:rPr>
              <w:t> </w:t>
            </w:r>
          </w:p>
        </w:tc>
        <w:tc>
          <w:tcPr>
            <w:tcW w:w="460" w:type="pct"/>
            <w:shd w:val="clear" w:color="auto" w:fill="auto"/>
            <w:noWrap/>
            <w:vAlign w:val="center"/>
          </w:tcPr>
          <w:p w14:paraId="268B4809"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 </w:t>
            </w:r>
          </w:p>
        </w:tc>
        <w:tc>
          <w:tcPr>
            <w:tcW w:w="544" w:type="pct"/>
            <w:shd w:val="clear" w:color="auto" w:fill="auto"/>
            <w:noWrap/>
            <w:vAlign w:val="center"/>
          </w:tcPr>
          <w:p w14:paraId="48573B1D"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 </w:t>
            </w:r>
          </w:p>
        </w:tc>
      </w:tr>
      <w:tr w:rsidR="007C6EB7" w:rsidRPr="005A0FFC" w14:paraId="0A74625A" w14:textId="77777777" w:rsidTr="00B141AE">
        <w:trPr>
          <w:trHeight w:val="20"/>
          <w:jc w:val="center"/>
        </w:trPr>
        <w:tc>
          <w:tcPr>
            <w:tcW w:w="1757" w:type="pct"/>
            <w:shd w:val="clear" w:color="auto" w:fill="auto"/>
            <w:noWrap/>
            <w:vAlign w:val="center"/>
          </w:tcPr>
          <w:p w14:paraId="3720228C" w14:textId="77777777" w:rsidR="007C6EB7" w:rsidRPr="005A0FFC" w:rsidRDefault="007C6EB7" w:rsidP="00A76DAD">
            <w:pPr>
              <w:pStyle w:val="Odsekzoznamu"/>
              <w:numPr>
                <w:ilvl w:val="0"/>
                <w:numId w:val="5"/>
              </w:numPr>
              <w:ind w:firstLine="0"/>
              <w:rPr>
                <w:rFonts w:eastAsia="Times New Roman" w:cs="Arial"/>
                <w:sz w:val="20"/>
                <w:szCs w:val="20"/>
                <w:lang w:eastAsia="sk-SK"/>
              </w:rPr>
            </w:pPr>
            <w:r w:rsidRPr="005A0FFC">
              <w:rPr>
                <w:rFonts w:eastAsia="Times New Roman" w:cs="Arial"/>
                <w:sz w:val="20"/>
                <w:szCs w:val="20"/>
                <w:lang w:eastAsia="sk-SK"/>
              </w:rPr>
              <w:t>Daň z pridanej hodnoty</w:t>
            </w:r>
          </w:p>
        </w:tc>
        <w:tc>
          <w:tcPr>
            <w:tcW w:w="591" w:type="pct"/>
            <w:shd w:val="clear" w:color="auto" w:fill="auto"/>
            <w:noWrap/>
            <w:vAlign w:val="bottom"/>
          </w:tcPr>
          <w:p w14:paraId="66DA1C90"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6 412 426</w:t>
            </w:r>
          </w:p>
        </w:tc>
        <w:tc>
          <w:tcPr>
            <w:tcW w:w="532" w:type="pct"/>
            <w:shd w:val="clear" w:color="auto" w:fill="auto"/>
            <w:noWrap/>
            <w:vAlign w:val="bottom"/>
          </w:tcPr>
          <w:p w14:paraId="5886B9FF"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6 629 455</w:t>
            </w:r>
          </w:p>
        </w:tc>
        <w:tc>
          <w:tcPr>
            <w:tcW w:w="532" w:type="pct"/>
            <w:shd w:val="clear" w:color="auto" w:fill="auto"/>
            <w:noWrap/>
            <w:vAlign w:val="bottom"/>
          </w:tcPr>
          <w:p w14:paraId="439A44E0"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6 629 455</w:t>
            </w:r>
          </w:p>
        </w:tc>
        <w:tc>
          <w:tcPr>
            <w:tcW w:w="584" w:type="pct"/>
            <w:shd w:val="clear" w:color="auto" w:fill="auto"/>
            <w:noWrap/>
            <w:vAlign w:val="bottom"/>
          </w:tcPr>
          <w:p w14:paraId="10512C08"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6 727 881</w:t>
            </w:r>
          </w:p>
        </w:tc>
        <w:tc>
          <w:tcPr>
            <w:tcW w:w="460" w:type="pct"/>
            <w:shd w:val="clear" w:color="auto" w:fill="auto"/>
            <w:noWrap/>
            <w:vAlign w:val="center"/>
          </w:tcPr>
          <w:p w14:paraId="1512DC8A" w14:textId="77777777" w:rsidR="007C6EB7" w:rsidRPr="005A0FFC" w:rsidRDefault="007C6EB7" w:rsidP="00A76DAD">
            <w:pPr>
              <w:jc w:val="right"/>
              <w:rPr>
                <w:rFonts w:eastAsia="Times New Roman" w:cs="Arial"/>
                <w:sz w:val="20"/>
                <w:szCs w:val="20"/>
                <w:lang w:eastAsia="sk-SK"/>
              </w:rPr>
            </w:pPr>
            <w:r w:rsidRPr="005A0FFC">
              <w:rPr>
                <w:rFonts w:eastAsia="Times New Roman" w:cs="Arial"/>
                <w:sz w:val="20"/>
                <w:szCs w:val="20"/>
                <w:lang w:eastAsia="sk-SK"/>
              </w:rPr>
              <w:t>98 426</w:t>
            </w:r>
          </w:p>
        </w:tc>
        <w:tc>
          <w:tcPr>
            <w:tcW w:w="544" w:type="pct"/>
            <w:shd w:val="clear" w:color="auto" w:fill="auto"/>
            <w:noWrap/>
            <w:vAlign w:val="center"/>
          </w:tcPr>
          <w:p w14:paraId="0FA3655D" w14:textId="77777777" w:rsidR="007C6EB7" w:rsidRPr="005A0FFC" w:rsidRDefault="007C6EB7" w:rsidP="00A76DAD">
            <w:pPr>
              <w:jc w:val="right"/>
              <w:rPr>
                <w:rFonts w:eastAsia="Times New Roman" w:cs="Arial"/>
                <w:sz w:val="20"/>
                <w:szCs w:val="20"/>
                <w:lang w:eastAsia="sk-SK"/>
              </w:rPr>
            </w:pPr>
            <w:r w:rsidRPr="005A0FFC">
              <w:rPr>
                <w:rFonts w:eastAsia="Times New Roman" w:cs="Arial"/>
                <w:sz w:val="20"/>
                <w:szCs w:val="20"/>
                <w:lang w:eastAsia="sk-SK"/>
              </w:rPr>
              <w:t>104,9</w:t>
            </w:r>
          </w:p>
        </w:tc>
      </w:tr>
      <w:tr w:rsidR="007C6EB7" w:rsidRPr="005A0FFC" w14:paraId="78221C7E" w14:textId="77777777" w:rsidTr="00B141AE">
        <w:trPr>
          <w:trHeight w:val="20"/>
          <w:jc w:val="center"/>
        </w:trPr>
        <w:tc>
          <w:tcPr>
            <w:tcW w:w="1757" w:type="pct"/>
            <w:shd w:val="clear" w:color="auto" w:fill="auto"/>
            <w:noWrap/>
            <w:vAlign w:val="center"/>
          </w:tcPr>
          <w:p w14:paraId="2DEDC7B3" w14:textId="77777777" w:rsidR="007C6EB7" w:rsidRPr="005A0FFC" w:rsidRDefault="007C6EB7" w:rsidP="00A76DAD">
            <w:pPr>
              <w:pStyle w:val="Odsekzoznamu"/>
              <w:numPr>
                <w:ilvl w:val="0"/>
                <w:numId w:val="5"/>
              </w:numPr>
              <w:ind w:firstLine="0"/>
              <w:rPr>
                <w:rFonts w:eastAsia="Times New Roman" w:cs="Arial"/>
                <w:sz w:val="20"/>
                <w:szCs w:val="20"/>
                <w:lang w:eastAsia="sk-SK"/>
              </w:rPr>
            </w:pPr>
            <w:r w:rsidRPr="005A0FFC">
              <w:rPr>
                <w:rFonts w:eastAsia="Times New Roman" w:cs="Arial"/>
                <w:sz w:val="20"/>
                <w:szCs w:val="20"/>
                <w:lang w:eastAsia="sk-SK"/>
              </w:rPr>
              <w:t>Spotrebné dane</w:t>
            </w:r>
          </w:p>
        </w:tc>
        <w:tc>
          <w:tcPr>
            <w:tcW w:w="591" w:type="pct"/>
            <w:shd w:val="clear" w:color="auto" w:fill="auto"/>
            <w:noWrap/>
            <w:vAlign w:val="bottom"/>
          </w:tcPr>
          <w:p w14:paraId="1612EFED"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2 323 521</w:t>
            </w:r>
          </w:p>
        </w:tc>
        <w:tc>
          <w:tcPr>
            <w:tcW w:w="532" w:type="pct"/>
            <w:shd w:val="clear" w:color="auto" w:fill="auto"/>
            <w:noWrap/>
            <w:vAlign w:val="bottom"/>
          </w:tcPr>
          <w:p w14:paraId="6F8B1F07"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2 417 198</w:t>
            </w:r>
          </w:p>
        </w:tc>
        <w:tc>
          <w:tcPr>
            <w:tcW w:w="532" w:type="pct"/>
            <w:shd w:val="clear" w:color="auto" w:fill="auto"/>
            <w:noWrap/>
            <w:vAlign w:val="bottom"/>
          </w:tcPr>
          <w:p w14:paraId="473237C5"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2 417 198</w:t>
            </w:r>
          </w:p>
        </w:tc>
        <w:tc>
          <w:tcPr>
            <w:tcW w:w="584" w:type="pct"/>
            <w:shd w:val="clear" w:color="auto" w:fill="auto"/>
            <w:noWrap/>
            <w:vAlign w:val="bottom"/>
          </w:tcPr>
          <w:p w14:paraId="6C924D84"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2 357 747</w:t>
            </w:r>
          </w:p>
        </w:tc>
        <w:tc>
          <w:tcPr>
            <w:tcW w:w="460" w:type="pct"/>
            <w:shd w:val="clear" w:color="auto" w:fill="auto"/>
            <w:noWrap/>
            <w:vAlign w:val="center"/>
          </w:tcPr>
          <w:p w14:paraId="43B4AFB2" w14:textId="77777777" w:rsidR="007C6EB7" w:rsidRPr="005A0FFC" w:rsidRDefault="007C6EB7" w:rsidP="00A76DAD">
            <w:pPr>
              <w:jc w:val="right"/>
              <w:rPr>
                <w:rFonts w:eastAsia="Times New Roman" w:cs="Arial"/>
                <w:sz w:val="20"/>
                <w:szCs w:val="20"/>
                <w:lang w:eastAsia="sk-SK"/>
              </w:rPr>
            </w:pPr>
            <w:r w:rsidRPr="005A0FFC">
              <w:rPr>
                <w:rFonts w:eastAsia="Times New Roman" w:cs="Arial"/>
                <w:sz w:val="20"/>
                <w:szCs w:val="20"/>
                <w:lang w:eastAsia="sk-SK"/>
              </w:rPr>
              <w:t>-59 451</w:t>
            </w:r>
          </w:p>
        </w:tc>
        <w:tc>
          <w:tcPr>
            <w:tcW w:w="544" w:type="pct"/>
            <w:shd w:val="clear" w:color="auto" w:fill="auto"/>
            <w:noWrap/>
            <w:vAlign w:val="center"/>
          </w:tcPr>
          <w:p w14:paraId="05C52B7D" w14:textId="77777777" w:rsidR="007C6EB7" w:rsidRPr="005A0FFC" w:rsidRDefault="007C6EB7" w:rsidP="00A76DAD">
            <w:pPr>
              <w:jc w:val="right"/>
              <w:rPr>
                <w:rFonts w:eastAsia="Times New Roman" w:cs="Arial"/>
                <w:sz w:val="20"/>
                <w:szCs w:val="20"/>
                <w:lang w:eastAsia="sk-SK"/>
              </w:rPr>
            </w:pPr>
            <w:r w:rsidRPr="005A0FFC">
              <w:rPr>
                <w:rFonts w:eastAsia="Times New Roman" w:cs="Arial"/>
                <w:sz w:val="20"/>
                <w:szCs w:val="20"/>
                <w:lang w:eastAsia="sk-SK"/>
              </w:rPr>
              <w:t>101,5</w:t>
            </w:r>
          </w:p>
        </w:tc>
      </w:tr>
      <w:tr w:rsidR="007C6EB7" w:rsidRPr="005A0FFC" w14:paraId="11EFD2EC" w14:textId="77777777" w:rsidTr="00B141AE">
        <w:trPr>
          <w:trHeight w:val="20"/>
          <w:jc w:val="center"/>
        </w:trPr>
        <w:tc>
          <w:tcPr>
            <w:tcW w:w="1757" w:type="pct"/>
            <w:shd w:val="clear" w:color="auto" w:fill="auto"/>
            <w:noWrap/>
            <w:vAlign w:val="center"/>
          </w:tcPr>
          <w:p w14:paraId="4FAC15EB" w14:textId="77777777" w:rsidR="007C6EB7" w:rsidRPr="005A0FFC" w:rsidRDefault="007C6EB7" w:rsidP="00A76DAD">
            <w:pPr>
              <w:pStyle w:val="Odsekzoznamu"/>
              <w:numPr>
                <w:ilvl w:val="0"/>
                <w:numId w:val="5"/>
              </w:numPr>
              <w:ind w:firstLine="0"/>
              <w:rPr>
                <w:rFonts w:eastAsia="Times New Roman" w:cs="Arial"/>
                <w:sz w:val="20"/>
                <w:szCs w:val="20"/>
                <w:lang w:eastAsia="sk-SK"/>
              </w:rPr>
            </w:pPr>
            <w:r w:rsidRPr="005A0FFC">
              <w:rPr>
                <w:rFonts w:eastAsia="Times New Roman" w:cs="Arial"/>
                <w:sz w:val="20"/>
                <w:szCs w:val="20"/>
                <w:lang w:eastAsia="sk-SK"/>
              </w:rPr>
              <w:t>Dane z použitia tovarov a z povolenia na výkon činnosti</w:t>
            </w:r>
          </w:p>
        </w:tc>
        <w:tc>
          <w:tcPr>
            <w:tcW w:w="591" w:type="pct"/>
            <w:shd w:val="clear" w:color="auto" w:fill="auto"/>
            <w:noWrap/>
            <w:vAlign w:val="bottom"/>
          </w:tcPr>
          <w:p w14:paraId="17D1B3DC"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152 839</w:t>
            </w:r>
          </w:p>
        </w:tc>
        <w:tc>
          <w:tcPr>
            <w:tcW w:w="532" w:type="pct"/>
            <w:shd w:val="clear" w:color="auto" w:fill="auto"/>
            <w:noWrap/>
            <w:vAlign w:val="bottom"/>
          </w:tcPr>
          <w:p w14:paraId="62EDD071"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167 128</w:t>
            </w:r>
          </w:p>
        </w:tc>
        <w:tc>
          <w:tcPr>
            <w:tcW w:w="532" w:type="pct"/>
            <w:shd w:val="clear" w:color="auto" w:fill="auto"/>
            <w:noWrap/>
            <w:vAlign w:val="bottom"/>
          </w:tcPr>
          <w:p w14:paraId="586270DE"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167 128</w:t>
            </w:r>
          </w:p>
        </w:tc>
        <w:tc>
          <w:tcPr>
            <w:tcW w:w="584" w:type="pct"/>
            <w:shd w:val="clear" w:color="auto" w:fill="auto"/>
            <w:noWrap/>
            <w:vAlign w:val="bottom"/>
          </w:tcPr>
          <w:p w14:paraId="5390CB1D" w14:textId="77777777" w:rsidR="007C6EB7" w:rsidRPr="005A0FFC" w:rsidRDefault="007C6EB7" w:rsidP="00A76DAD">
            <w:pPr>
              <w:jc w:val="right"/>
              <w:rPr>
                <w:rFonts w:eastAsia="Times New Roman" w:cs="Arial CE"/>
                <w:sz w:val="20"/>
                <w:szCs w:val="20"/>
                <w:lang w:eastAsia="sk-SK"/>
              </w:rPr>
            </w:pPr>
            <w:r w:rsidRPr="005A0FFC">
              <w:rPr>
                <w:rFonts w:eastAsia="Times New Roman" w:cs="Arial CE"/>
                <w:sz w:val="20"/>
                <w:szCs w:val="20"/>
                <w:lang w:eastAsia="sk-SK"/>
              </w:rPr>
              <w:t>157 996</w:t>
            </w:r>
          </w:p>
        </w:tc>
        <w:tc>
          <w:tcPr>
            <w:tcW w:w="460" w:type="pct"/>
            <w:shd w:val="clear" w:color="auto" w:fill="auto"/>
            <w:noWrap/>
            <w:vAlign w:val="bottom"/>
          </w:tcPr>
          <w:p w14:paraId="74CD08E6" w14:textId="77777777" w:rsidR="007C6EB7" w:rsidRPr="005A0FFC" w:rsidRDefault="007C6EB7" w:rsidP="00A76DAD">
            <w:pPr>
              <w:jc w:val="right"/>
              <w:rPr>
                <w:rFonts w:eastAsia="Times New Roman" w:cs="Arial"/>
                <w:sz w:val="20"/>
                <w:szCs w:val="20"/>
                <w:lang w:eastAsia="sk-SK"/>
              </w:rPr>
            </w:pPr>
            <w:r w:rsidRPr="005A0FFC">
              <w:rPr>
                <w:rFonts w:eastAsia="Times New Roman" w:cs="Arial"/>
                <w:sz w:val="20"/>
                <w:szCs w:val="20"/>
                <w:lang w:eastAsia="sk-SK"/>
              </w:rPr>
              <w:t>-9 132</w:t>
            </w:r>
          </w:p>
        </w:tc>
        <w:tc>
          <w:tcPr>
            <w:tcW w:w="544" w:type="pct"/>
            <w:shd w:val="clear" w:color="auto" w:fill="auto"/>
            <w:noWrap/>
            <w:vAlign w:val="bottom"/>
          </w:tcPr>
          <w:p w14:paraId="78DB58EF" w14:textId="77777777" w:rsidR="007C6EB7" w:rsidRPr="005A0FFC" w:rsidRDefault="007C6EB7" w:rsidP="00A76DAD">
            <w:pPr>
              <w:jc w:val="right"/>
              <w:rPr>
                <w:rFonts w:eastAsia="Times New Roman" w:cs="Arial"/>
                <w:sz w:val="20"/>
                <w:szCs w:val="20"/>
                <w:lang w:eastAsia="sk-SK"/>
              </w:rPr>
            </w:pPr>
            <w:r w:rsidRPr="005A0FFC">
              <w:rPr>
                <w:rFonts w:eastAsia="Times New Roman" w:cs="Arial"/>
                <w:sz w:val="20"/>
                <w:szCs w:val="20"/>
                <w:lang w:eastAsia="sk-SK"/>
              </w:rPr>
              <w:t>103,4</w:t>
            </w:r>
          </w:p>
        </w:tc>
      </w:tr>
      <w:tr w:rsidR="007C6EB7" w:rsidRPr="005A0FFC" w14:paraId="257C1B95" w14:textId="77777777" w:rsidTr="00B141AE">
        <w:trPr>
          <w:trHeight w:val="20"/>
          <w:jc w:val="center"/>
        </w:trPr>
        <w:tc>
          <w:tcPr>
            <w:tcW w:w="1757" w:type="pct"/>
            <w:shd w:val="clear" w:color="auto" w:fill="auto"/>
            <w:noWrap/>
            <w:vAlign w:val="center"/>
          </w:tcPr>
          <w:p w14:paraId="387B5238" w14:textId="77777777" w:rsidR="007C6EB7" w:rsidRPr="005A0FFC" w:rsidRDefault="007C6EB7" w:rsidP="00A76DAD">
            <w:pPr>
              <w:rPr>
                <w:rFonts w:eastAsia="Times New Roman" w:cs="Arial"/>
                <w:b/>
                <w:bCs/>
                <w:sz w:val="20"/>
                <w:szCs w:val="20"/>
                <w:lang w:eastAsia="sk-SK"/>
              </w:rPr>
            </w:pPr>
            <w:r w:rsidRPr="005A0FFC">
              <w:rPr>
                <w:rFonts w:eastAsia="Times New Roman" w:cs="Arial"/>
                <w:b/>
                <w:bCs/>
                <w:sz w:val="20"/>
                <w:szCs w:val="20"/>
                <w:lang w:eastAsia="sk-SK"/>
              </w:rPr>
              <w:t>Dane z medzinárodného obchodu a transakcií</w:t>
            </w:r>
          </w:p>
        </w:tc>
        <w:tc>
          <w:tcPr>
            <w:tcW w:w="591" w:type="pct"/>
            <w:shd w:val="clear" w:color="auto" w:fill="auto"/>
            <w:noWrap/>
            <w:vAlign w:val="bottom"/>
          </w:tcPr>
          <w:p w14:paraId="6E0E07CE"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23 365</w:t>
            </w:r>
          </w:p>
        </w:tc>
        <w:tc>
          <w:tcPr>
            <w:tcW w:w="532" w:type="pct"/>
            <w:shd w:val="clear" w:color="auto" w:fill="auto"/>
            <w:noWrap/>
            <w:vAlign w:val="bottom"/>
          </w:tcPr>
          <w:p w14:paraId="2B4E6565"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21 517</w:t>
            </w:r>
          </w:p>
        </w:tc>
        <w:tc>
          <w:tcPr>
            <w:tcW w:w="532" w:type="pct"/>
            <w:shd w:val="clear" w:color="auto" w:fill="auto"/>
            <w:noWrap/>
            <w:vAlign w:val="bottom"/>
          </w:tcPr>
          <w:p w14:paraId="79949B65"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21 517</w:t>
            </w:r>
          </w:p>
        </w:tc>
        <w:tc>
          <w:tcPr>
            <w:tcW w:w="584" w:type="pct"/>
            <w:shd w:val="clear" w:color="auto" w:fill="auto"/>
            <w:noWrap/>
            <w:vAlign w:val="bottom"/>
          </w:tcPr>
          <w:p w14:paraId="551A6B60"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21 079</w:t>
            </w:r>
          </w:p>
        </w:tc>
        <w:tc>
          <w:tcPr>
            <w:tcW w:w="460" w:type="pct"/>
            <w:shd w:val="clear" w:color="auto" w:fill="auto"/>
            <w:noWrap/>
            <w:vAlign w:val="bottom"/>
          </w:tcPr>
          <w:p w14:paraId="71961B1D"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-438</w:t>
            </w:r>
          </w:p>
        </w:tc>
        <w:tc>
          <w:tcPr>
            <w:tcW w:w="544" w:type="pct"/>
            <w:shd w:val="clear" w:color="auto" w:fill="auto"/>
            <w:noWrap/>
            <w:vAlign w:val="bottom"/>
          </w:tcPr>
          <w:p w14:paraId="269B0E30"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90,2</w:t>
            </w:r>
          </w:p>
        </w:tc>
      </w:tr>
      <w:tr w:rsidR="007C6EB7" w:rsidRPr="005A0FFC" w14:paraId="2C4A6171" w14:textId="77777777" w:rsidTr="00B141AE">
        <w:trPr>
          <w:trHeight w:val="20"/>
          <w:jc w:val="center"/>
        </w:trPr>
        <w:tc>
          <w:tcPr>
            <w:tcW w:w="1757" w:type="pct"/>
            <w:shd w:val="clear" w:color="auto" w:fill="auto"/>
            <w:noWrap/>
            <w:vAlign w:val="center"/>
          </w:tcPr>
          <w:p w14:paraId="253AFC4C" w14:textId="77777777" w:rsidR="007C6EB7" w:rsidRPr="005A0FFC" w:rsidRDefault="007C6EB7" w:rsidP="00A76DAD">
            <w:pPr>
              <w:rPr>
                <w:rFonts w:eastAsia="Times New Roman" w:cs="Arial"/>
                <w:b/>
                <w:bCs/>
                <w:sz w:val="20"/>
                <w:szCs w:val="20"/>
                <w:lang w:eastAsia="sk-SK"/>
              </w:rPr>
            </w:pPr>
            <w:r w:rsidRPr="005A0FFC">
              <w:rPr>
                <w:rFonts w:eastAsia="Times New Roman" w:cs="Arial"/>
                <w:b/>
                <w:bCs/>
                <w:sz w:val="20"/>
                <w:szCs w:val="20"/>
                <w:lang w:eastAsia="sk-SK"/>
              </w:rPr>
              <w:t xml:space="preserve">Iné dane </w:t>
            </w:r>
          </w:p>
        </w:tc>
        <w:tc>
          <w:tcPr>
            <w:tcW w:w="591" w:type="pct"/>
            <w:shd w:val="clear" w:color="auto" w:fill="auto"/>
            <w:noWrap/>
            <w:vAlign w:val="bottom"/>
          </w:tcPr>
          <w:p w14:paraId="62EDA8ED"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-8 832</w:t>
            </w:r>
          </w:p>
        </w:tc>
        <w:tc>
          <w:tcPr>
            <w:tcW w:w="532" w:type="pct"/>
            <w:shd w:val="clear" w:color="auto" w:fill="auto"/>
            <w:noWrap/>
            <w:vAlign w:val="bottom"/>
          </w:tcPr>
          <w:p w14:paraId="52768A93"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202 504</w:t>
            </w:r>
          </w:p>
        </w:tc>
        <w:tc>
          <w:tcPr>
            <w:tcW w:w="532" w:type="pct"/>
            <w:shd w:val="clear" w:color="auto" w:fill="auto"/>
            <w:noWrap/>
            <w:vAlign w:val="bottom"/>
          </w:tcPr>
          <w:p w14:paraId="28AF1A9F"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202 504</w:t>
            </w:r>
          </w:p>
        </w:tc>
        <w:tc>
          <w:tcPr>
            <w:tcW w:w="584" w:type="pct"/>
            <w:shd w:val="clear" w:color="auto" w:fill="auto"/>
            <w:noWrap/>
            <w:vAlign w:val="bottom"/>
          </w:tcPr>
          <w:p w14:paraId="609D0AD8"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-908</w:t>
            </w:r>
          </w:p>
        </w:tc>
        <w:tc>
          <w:tcPr>
            <w:tcW w:w="460" w:type="pct"/>
            <w:shd w:val="clear" w:color="auto" w:fill="auto"/>
            <w:noWrap/>
            <w:vAlign w:val="center"/>
          </w:tcPr>
          <w:p w14:paraId="03B5EC72"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-203 412</w:t>
            </w:r>
          </w:p>
        </w:tc>
        <w:tc>
          <w:tcPr>
            <w:tcW w:w="544" w:type="pct"/>
            <w:shd w:val="clear" w:color="auto" w:fill="auto"/>
            <w:noWrap/>
            <w:vAlign w:val="center"/>
          </w:tcPr>
          <w:p w14:paraId="753C7B12"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10,3</w:t>
            </w:r>
          </w:p>
        </w:tc>
      </w:tr>
      <w:tr w:rsidR="007C6EB7" w:rsidRPr="005A0FFC" w14:paraId="78957A04" w14:textId="77777777" w:rsidTr="00B141AE">
        <w:trPr>
          <w:trHeight w:val="20"/>
          <w:jc w:val="center"/>
        </w:trPr>
        <w:tc>
          <w:tcPr>
            <w:tcW w:w="1757" w:type="pct"/>
            <w:shd w:val="clear" w:color="auto" w:fill="auto"/>
            <w:noWrap/>
          </w:tcPr>
          <w:p w14:paraId="3C89084A" w14:textId="77777777" w:rsidR="007C6EB7" w:rsidRPr="00733B45" w:rsidRDefault="007C6EB7" w:rsidP="00A76DAD">
            <w:pPr>
              <w:pStyle w:val="Odsekzoznamu"/>
              <w:numPr>
                <w:ilvl w:val="0"/>
                <w:numId w:val="5"/>
              </w:numPr>
              <w:autoSpaceDE w:val="0"/>
              <w:autoSpaceDN w:val="0"/>
              <w:adjustRightInd w:val="0"/>
              <w:ind w:firstLine="0"/>
              <w:rPr>
                <w:rFonts w:cs="Times New Roman"/>
                <w:color w:val="000000"/>
                <w:sz w:val="20"/>
                <w:szCs w:val="20"/>
              </w:rPr>
            </w:pPr>
            <w:r w:rsidRPr="00733B45">
              <w:rPr>
                <w:rFonts w:cs="Times New Roman"/>
                <w:color w:val="000000"/>
                <w:sz w:val="20"/>
                <w:szCs w:val="20"/>
              </w:rPr>
              <w:t xml:space="preserve">odvod z obchodných reťazcov </w:t>
            </w:r>
          </w:p>
        </w:tc>
        <w:tc>
          <w:tcPr>
            <w:tcW w:w="591" w:type="pct"/>
            <w:shd w:val="clear" w:color="auto" w:fill="auto"/>
            <w:noWrap/>
            <w:vAlign w:val="bottom"/>
          </w:tcPr>
          <w:p w14:paraId="700FC95C" w14:textId="77777777" w:rsidR="007C6EB7" w:rsidRPr="005A0FFC" w:rsidRDefault="007C6EB7" w:rsidP="00A76DAD">
            <w:pPr>
              <w:jc w:val="center"/>
              <w:rPr>
                <w:rFonts w:eastAsia="Times New Roman" w:cs="Arial CE"/>
                <w:b/>
                <w:bCs/>
                <w:sz w:val="20"/>
                <w:szCs w:val="20"/>
                <w:lang w:eastAsia="sk-SK"/>
              </w:rPr>
            </w:pPr>
            <w:r>
              <w:rPr>
                <w:rFonts w:eastAsia="Times New Roman" w:cs="Arial CE"/>
                <w:b/>
                <w:bCs/>
                <w:sz w:val="20"/>
                <w:szCs w:val="20"/>
                <w:lang w:eastAsia="sk-SK"/>
              </w:rPr>
              <w:t>-</w:t>
            </w:r>
          </w:p>
        </w:tc>
        <w:tc>
          <w:tcPr>
            <w:tcW w:w="532" w:type="pct"/>
            <w:shd w:val="clear" w:color="auto" w:fill="auto"/>
            <w:noWrap/>
            <w:vAlign w:val="bottom"/>
          </w:tcPr>
          <w:p w14:paraId="28ACBD64" w14:textId="77777777" w:rsidR="007C6EB7" w:rsidRPr="00EC5FA0" w:rsidRDefault="007C6EB7" w:rsidP="00A76DAD">
            <w:pPr>
              <w:autoSpaceDE w:val="0"/>
              <w:autoSpaceDN w:val="0"/>
              <w:adjustRightInd w:val="0"/>
              <w:jc w:val="right"/>
              <w:rPr>
                <w:rFonts w:cs="Times New Roman"/>
                <w:color w:val="000000"/>
                <w:sz w:val="20"/>
                <w:szCs w:val="20"/>
              </w:rPr>
            </w:pPr>
            <w:r w:rsidRPr="00EC5FA0">
              <w:rPr>
                <w:rFonts w:cs="Times New Roman"/>
                <w:color w:val="000000"/>
                <w:sz w:val="20"/>
                <w:szCs w:val="20"/>
              </w:rPr>
              <w:t xml:space="preserve">112 504 </w:t>
            </w:r>
          </w:p>
        </w:tc>
        <w:tc>
          <w:tcPr>
            <w:tcW w:w="532" w:type="pct"/>
            <w:shd w:val="clear" w:color="auto" w:fill="auto"/>
            <w:noWrap/>
            <w:vAlign w:val="bottom"/>
          </w:tcPr>
          <w:p w14:paraId="05EA7F9F" w14:textId="77777777" w:rsidR="007C6EB7" w:rsidRPr="00EC5FA0" w:rsidRDefault="007C6EB7" w:rsidP="00A76DAD">
            <w:pPr>
              <w:autoSpaceDE w:val="0"/>
              <w:autoSpaceDN w:val="0"/>
              <w:adjustRightInd w:val="0"/>
              <w:jc w:val="right"/>
              <w:rPr>
                <w:rFonts w:cs="Times New Roman"/>
                <w:color w:val="000000"/>
                <w:sz w:val="20"/>
                <w:szCs w:val="20"/>
              </w:rPr>
            </w:pPr>
            <w:r w:rsidRPr="00EC5FA0">
              <w:rPr>
                <w:rFonts w:cs="Times New Roman"/>
                <w:color w:val="000000"/>
                <w:sz w:val="20"/>
                <w:szCs w:val="20"/>
              </w:rPr>
              <w:t xml:space="preserve">112 504 </w:t>
            </w:r>
          </w:p>
        </w:tc>
        <w:tc>
          <w:tcPr>
            <w:tcW w:w="584" w:type="pct"/>
            <w:shd w:val="clear" w:color="auto" w:fill="auto"/>
            <w:noWrap/>
            <w:vAlign w:val="bottom"/>
          </w:tcPr>
          <w:p w14:paraId="102EA585" w14:textId="77777777" w:rsidR="007C6EB7" w:rsidRPr="00EC5FA0" w:rsidRDefault="007C6EB7" w:rsidP="00A76DAD">
            <w:pPr>
              <w:autoSpaceDE w:val="0"/>
              <w:autoSpaceDN w:val="0"/>
              <w:adjustRightInd w:val="0"/>
              <w:jc w:val="right"/>
              <w:rPr>
                <w:rFonts w:cs="Times New Roman"/>
                <w:color w:val="000000"/>
                <w:sz w:val="20"/>
                <w:szCs w:val="20"/>
              </w:rPr>
            </w:pPr>
            <w:r w:rsidRPr="00EC5FA0">
              <w:rPr>
                <w:rFonts w:cs="Times New Roman"/>
                <w:color w:val="000000"/>
                <w:sz w:val="20"/>
                <w:szCs w:val="20"/>
              </w:rPr>
              <w:t xml:space="preserve">0 </w:t>
            </w:r>
          </w:p>
        </w:tc>
        <w:tc>
          <w:tcPr>
            <w:tcW w:w="460" w:type="pct"/>
            <w:shd w:val="clear" w:color="auto" w:fill="auto"/>
            <w:noWrap/>
            <w:vAlign w:val="bottom"/>
          </w:tcPr>
          <w:p w14:paraId="68909FFA" w14:textId="77777777" w:rsidR="007C6EB7" w:rsidRPr="00EC5FA0" w:rsidRDefault="007C6EB7" w:rsidP="00A76DAD">
            <w:pPr>
              <w:autoSpaceDE w:val="0"/>
              <w:autoSpaceDN w:val="0"/>
              <w:adjustRightInd w:val="0"/>
              <w:jc w:val="right"/>
              <w:rPr>
                <w:rFonts w:cs="Times New Roman"/>
                <w:color w:val="000000"/>
                <w:sz w:val="20"/>
                <w:szCs w:val="20"/>
              </w:rPr>
            </w:pPr>
            <w:r w:rsidRPr="00EC5FA0">
              <w:rPr>
                <w:rFonts w:cs="Times New Roman"/>
                <w:color w:val="000000"/>
                <w:sz w:val="20"/>
                <w:szCs w:val="20"/>
              </w:rPr>
              <w:t xml:space="preserve">-112 504 </w:t>
            </w:r>
          </w:p>
        </w:tc>
        <w:tc>
          <w:tcPr>
            <w:tcW w:w="544" w:type="pct"/>
            <w:shd w:val="clear" w:color="auto" w:fill="auto"/>
            <w:noWrap/>
            <w:vAlign w:val="bottom"/>
          </w:tcPr>
          <w:p w14:paraId="0F5630A9" w14:textId="77777777" w:rsidR="007C6EB7" w:rsidRPr="00EC5FA0" w:rsidRDefault="007C6EB7" w:rsidP="00A76DAD">
            <w:pPr>
              <w:autoSpaceDE w:val="0"/>
              <w:autoSpaceDN w:val="0"/>
              <w:adjustRightInd w:val="0"/>
              <w:jc w:val="center"/>
              <w:rPr>
                <w:rFonts w:cs="Times New Roman"/>
                <w:color w:val="000000"/>
                <w:sz w:val="20"/>
                <w:szCs w:val="20"/>
              </w:rPr>
            </w:pPr>
            <w:r>
              <w:rPr>
                <w:rFonts w:cs="Times New Roman"/>
                <w:color w:val="000000"/>
                <w:sz w:val="20"/>
                <w:szCs w:val="20"/>
              </w:rPr>
              <w:t>-</w:t>
            </w:r>
          </w:p>
        </w:tc>
      </w:tr>
      <w:tr w:rsidR="007C6EB7" w:rsidRPr="005A0FFC" w14:paraId="32EFCB03" w14:textId="77777777" w:rsidTr="00B141AE">
        <w:trPr>
          <w:trHeight w:val="20"/>
          <w:jc w:val="center"/>
        </w:trPr>
        <w:tc>
          <w:tcPr>
            <w:tcW w:w="1757" w:type="pct"/>
            <w:shd w:val="clear" w:color="auto" w:fill="auto"/>
            <w:noWrap/>
          </w:tcPr>
          <w:p w14:paraId="1976D541" w14:textId="77777777" w:rsidR="007C6EB7" w:rsidRPr="00733B45" w:rsidRDefault="007C6EB7" w:rsidP="00A76DAD">
            <w:pPr>
              <w:pStyle w:val="Odsekzoznamu"/>
              <w:numPr>
                <w:ilvl w:val="0"/>
                <w:numId w:val="5"/>
              </w:numPr>
              <w:autoSpaceDE w:val="0"/>
              <w:autoSpaceDN w:val="0"/>
              <w:adjustRightInd w:val="0"/>
              <w:ind w:firstLine="0"/>
              <w:rPr>
                <w:rFonts w:cs="Times New Roman"/>
                <w:color w:val="000000"/>
                <w:sz w:val="20"/>
                <w:szCs w:val="20"/>
              </w:rPr>
            </w:pPr>
            <w:r w:rsidRPr="00733B45">
              <w:rPr>
                <w:rFonts w:cs="Times New Roman"/>
                <w:color w:val="000000"/>
                <w:sz w:val="20"/>
                <w:szCs w:val="20"/>
              </w:rPr>
              <w:t xml:space="preserve">ďalšie iné dane </w:t>
            </w:r>
          </w:p>
        </w:tc>
        <w:tc>
          <w:tcPr>
            <w:tcW w:w="591" w:type="pct"/>
            <w:shd w:val="clear" w:color="auto" w:fill="auto"/>
            <w:noWrap/>
            <w:vAlign w:val="bottom"/>
          </w:tcPr>
          <w:p w14:paraId="7EDFE45E" w14:textId="77777777" w:rsidR="007C6EB7" w:rsidRPr="005A0FFC" w:rsidRDefault="007C6EB7" w:rsidP="00A76DAD">
            <w:pPr>
              <w:jc w:val="center"/>
              <w:rPr>
                <w:rFonts w:eastAsia="Times New Roman" w:cs="Arial CE"/>
                <w:b/>
                <w:bCs/>
                <w:sz w:val="20"/>
                <w:szCs w:val="20"/>
                <w:lang w:eastAsia="sk-SK"/>
              </w:rPr>
            </w:pPr>
            <w:r>
              <w:rPr>
                <w:rFonts w:eastAsia="Times New Roman" w:cs="Arial CE"/>
                <w:b/>
                <w:bCs/>
                <w:sz w:val="20"/>
                <w:szCs w:val="20"/>
                <w:lang w:eastAsia="sk-SK"/>
              </w:rPr>
              <w:t>-</w:t>
            </w:r>
          </w:p>
        </w:tc>
        <w:tc>
          <w:tcPr>
            <w:tcW w:w="532" w:type="pct"/>
            <w:shd w:val="clear" w:color="auto" w:fill="auto"/>
            <w:noWrap/>
            <w:vAlign w:val="bottom"/>
          </w:tcPr>
          <w:p w14:paraId="6E48EE78" w14:textId="77777777" w:rsidR="007C6EB7" w:rsidRPr="00EC5FA0" w:rsidRDefault="007C6EB7" w:rsidP="00A76DAD">
            <w:pPr>
              <w:autoSpaceDE w:val="0"/>
              <w:autoSpaceDN w:val="0"/>
              <w:adjustRightInd w:val="0"/>
              <w:jc w:val="right"/>
              <w:rPr>
                <w:rFonts w:cs="Times New Roman"/>
                <w:color w:val="000000"/>
                <w:sz w:val="20"/>
                <w:szCs w:val="20"/>
              </w:rPr>
            </w:pPr>
            <w:r w:rsidRPr="00EC5FA0">
              <w:rPr>
                <w:rFonts w:cs="Times New Roman"/>
                <w:color w:val="000000"/>
                <w:sz w:val="20"/>
                <w:szCs w:val="20"/>
              </w:rPr>
              <w:t xml:space="preserve">90 000 </w:t>
            </w:r>
          </w:p>
        </w:tc>
        <w:tc>
          <w:tcPr>
            <w:tcW w:w="532" w:type="pct"/>
            <w:shd w:val="clear" w:color="auto" w:fill="auto"/>
            <w:noWrap/>
            <w:vAlign w:val="bottom"/>
          </w:tcPr>
          <w:p w14:paraId="7EF16967" w14:textId="77777777" w:rsidR="007C6EB7" w:rsidRPr="00EC5FA0" w:rsidRDefault="007C6EB7" w:rsidP="00A76DAD">
            <w:pPr>
              <w:autoSpaceDE w:val="0"/>
              <w:autoSpaceDN w:val="0"/>
              <w:adjustRightInd w:val="0"/>
              <w:jc w:val="right"/>
              <w:rPr>
                <w:rFonts w:cs="Times New Roman"/>
                <w:color w:val="000000"/>
                <w:sz w:val="20"/>
                <w:szCs w:val="20"/>
              </w:rPr>
            </w:pPr>
            <w:r w:rsidRPr="00EC5FA0">
              <w:rPr>
                <w:rFonts w:cs="Times New Roman"/>
                <w:color w:val="000000"/>
                <w:sz w:val="20"/>
                <w:szCs w:val="20"/>
              </w:rPr>
              <w:t xml:space="preserve">90 000 </w:t>
            </w:r>
          </w:p>
        </w:tc>
        <w:tc>
          <w:tcPr>
            <w:tcW w:w="584" w:type="pct"/>
            <w:shd w:val="clear" w:color="auto" w:fill="auto"/>
            <w:noWrap/>
            <w:vAlign w:val="bottom"/>
          </w:tcPr>
          <w:p w14:paraId="0E657F58" w14:textId="77777777" w:rsidR="007C6EB7" w:rsidRPr="00EC5FA0" w:rsidRDefault="007C6EB7" w:rsidP="00A76DAD">
            <w:pPr>
              <w:autoSpaceDE w:val="0"/>
              <w:autoSpaceDN w:val="0"/>
              <w:adjustRightInd w:val="0"/>
              <w:jc w:val="right"/>
              <w:rPr>
                <w:rFonts w:cs="Times New Roman"/>
                <w:color w:val="000000"/>
                <w:sz w:val="20"/>
                <w:szCs w:val="20"/>
              </w:rPr>
            </w:pPr>
            <w:r w:rsidRPr="00EC5FA0">
              <w:rPr>
                <w:rFonts w:cs="Times New Roman"/>
                <w:color w:val="000000"/>
                <w:sz w:val="20"/>
                <w:szCs w:val="20"/>
              </w:rPr>
              <w:t xml:space="preserve">0 </w:t>
            </w:r>
          </w:p>
        </w:tc>
        <w:tc>
          <w:tcPr>
            <w:tcW w:w="460" w:type="pct"/>
            <w:shd w:val="clear" w:color="auto" w:fill="auto"/>
            <w:noWrap/>
            <w:vAlign w:val="bottom"/>
          </w:tcPr>
          <w:p w14:paraId="66D30E3C" w14:textId="77777777" w:rsidR="007C6EB7" w:rsidRPr="00EC5FA0" w:rsidRDefault="007C6EB7" w:rsidP="00A76DAD">
            <w:pPr>
              <w:autoSpaceDE w:val="0"/>
              <w:autoSpaceDN w:val="0"/>
              <w:adjustRightInd w:val="0"/>
              <w:jc w:val="right"/>
              <w:rPr>
                <w:rFonts w:cs="Times New Roman"/>
                <w:color w:val="000000"/>
                <w:sz w:val="20"/>
                <w:szCs w:val="20"/>
              </w:rPr>
            </w:pPr>
            <w:r w:rsidRPr="00EC5FA0">
              <w:rPr>
                <w:rFonts w:cs="Times New Roman"/>
                <w:color w:val="000000"/>
                <w:sz w:val="20"/>
                <w:szCs w:val="20"/>
              </w:rPr>
              <w:t xml:space="preserve">-90 000 </w:t>
            </w:r>
          </w:p>
        </w:tc>
        <w:tc>
          <w:tcPr>
            <w:tcW w:w="544" w:type="pct"/>
            <w:shd w:val="clear" w:color="auto" w:fill="auto"/>
            <w:noWrap/>
            <w:vAlign w:val="bottom"/>
          </w:tcPr>
          <w:p w14:paraId="49D607A3" w14:textId="77777777" w:rsidR="007C6EB7" w:rsidRPr="00EC5FA0" w:rsidRDefault="007C6EB7" w:rsidP="00A76DAD">
            <w:pPr>
              <w:autoSpaceDE w:val="0"/>
              <w:autoSpaceDN w:val="0"/>
              <w:adjustRightInd w:val="0"/>
              <w:jc w:val="center"/>
              <w:rPr>
                <w:rFonts w:cs="Times New Roman"/>
                <w:color w:val="000000"/>
                <w:sz w:val="20"/>
                <w:szCs w:val="20"/>
              </w:rPr>
            </w:pPr>
            <w:r>
              <w:rPr>
                <w:rFonts w:cs="Times New Roman"/>
                <w:color w:val="000000"/>
                <w:sz w:val="20"/>
                <w:szCs w:val="20"/>
              </w:rPr>
              <w:t>-</w:t>
            </w:r>
          </w:p>
        </w:tc>
      </w:tr>
      <w:tr w:rsidR="007C6EB7" w:rsidRPr="005A0FFC" w14:paraId="16DB4E3C" w14:textId="77777777" w:rsidTr="00B141AE">
        <w:trPr>
          <w:trHeight w:val="20"/>
          <w:jc w:val="center"/>
        </w:trPr>
        <w:tc>
          <w:tcPr>
            <w:tcW w:w="1757" w:type="pct"/>
            <w:shd w:val="clear" w:color="auto" w:fill="auto"/>
            <w:noWrap/>
            <w:vAlign w:val="center"/>
          </w:tcPr>
          <w:p w14:paraId="344C00EA" w14:textId="77777777" w:rsidR="007C6EB7" w:rsidRPr="005A0FFC" w:rsidRDefault="007C6EB7" w:rsidP="00A76DAD">
            <w:pPr>
              <w:rPr>
                <w:rFonts w:eastAsia="Times New Roman" w:cs="Arial"/>
                <w:b/>
                <w:bCs/>
                <w:sz w:val="20"/>
                <w:szCs w:val="20"/>
                <w:lang w:eastAsia="sk-SK"/>
              </w:rPr>
            </w:pPr>
            <w:r w:rsidRPr="005A0FFC">
              <w:rPr>
                <w:rFonts w:eastAsia="Times New Roman" w:cs="Arial"/>
                <w:b/>
                <w:bCs/>
                <w:sz w:val="20"/>
                <w:szCs w:val="20"/>
                <w:lang w:eastAsia="sk-SK"/>
              </w:rPr>
              <w:t>Sankcie uložené v daňovom konaní</w:t>
            </w:r>
          </w:p>
        </w:tc>
        <w:tc>
          <w:tcPr>
            <w:tcW w:w="591" w:type="pct"/>
            <w:shd w:val="clear" w:color="auto" w:fill="auto"/>
            <w:noWrap/>
            <w:vAlign w:val="bottom"/>
          </w:tcPr>
          <w:p w14:paraId="62CBEE24"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20 895</w:t>
            </w:r>
          </w:p>
        </w:tc>
        <w:tc>
          <w:tcPr>
            <w:tcW w:w="532" w:type="pct"/>
            <w:shd w:val="clear" w:color="auto" w:fill="auto"/>
            <w:noWrap/>
            <w:vAlign w:val="bottom"/>
          </w:tcPr>
          <w:p w14:paraId="447BD2D0"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13 149</w:t>
            </w:r>
          </w:p>
        </w:tc>
        <w:tc>
          <w:tcPr>
            <w:tcW w:w="532" w:type="pct"/>
            <w:shd w:val="clear" w:color="auto" w:fill="auto"/>
            <w:noWrap/>
            <w:vAlign w:val="bottom"/>
          </w:tcPr>
          <w:p w14:paraId="5D535971"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13 149</w:t>
            </w:r>
          </w:p>
        </w:tc>
        <w:tc>
          <w:tcPr>
            <w:tcW w:w="584" w:type="pct"/>
            <w:shd w:val="clear" w:color="auto" w:fill="auto"/>
            <w:noWrap/>
            <w:vAlign w:val="bottom"/>
          </w:tcPr>
          <w:p w14:paraId="619B22C2" w14:textId="77777777" w:rsidR="007C6EB7" w:rsidRPr="005A0FFC" w:rsidRDefault="007C6EB7" w:rsidP="00A76DAD">
            <w:pPr>
              <w:jc w:val="right"/>
              <w:rPr>
                <w:rFonts w:eastAsia="Times New Roman" w:cs="Arial CE"/>
                <w:b/>
                <w:bCs/>
                <w:sz w:val="20"/>
                <w:szCs w:val="20"/>
                <w:lang w:eastAsia="sk-SK"/>
              </w:rPr>
            </w:pPr>
            <w:r w:rsidRPr="005A0FFC">
              <w:rPr>
                <w:rFonts w:eastAsia="Times New Roman" w:cs="Arial CE"/>
                <w:b/>
                <w:bCs/>
                <w:sz w:val="20"/>
                <w:szCs w:val="20"/>
                <w:lang w:eastAsia="sk-SK"/>
              </w:rPr>
              <w:t>28 868</w:t>
            </w:r>
          </w:p>
        </w:tc>
        <w:tc>
          <w:tcPr>
            <w:tcW w:w="460" w:type="pct"/>
            <w:shd w:val="clear" w:color="auto" w:fill="auto"/>
            <w:noWrap/>
            <w:vAlign w:val="center"/>
          </w:tcPr>
          <w:p w14:paraId="17915D19"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15 719</w:t>
            </w:r>
          </w:p>
        </w:tc>
        <w:tc>
          <w:tcPr>
            <w:tcW w:w="544" w:type="pct"/>
            <w:shd w:val="clear" w:color="auto" w:fill="auto"/>
            <w:noWrap/>
            <w:vAlign w:val="center"/>
          </w:tcPr>
          <w:p w14:paraId="3EAD3BC8" w14:textId="77777777" w:rsidR="007C6EB7" w:rsidRPr="005A0FFC" w:rsidRDefault="007C6EB7" w:rsidP="00A76DAD">
            <w:pPr>
              <w:jc w:val="right"/>
              <w:rPr>
                <w:rFonts w:eastAsia="Times New Roman" w:cs="Arial"/>
                <w:b/>
                <w:bCs/>
                <w:sz w:val="20"/>
                <w:szCs w:val="20"/>
                <w:lang w:eastAsia="sk-SK"/>
              </w:rPr>
            </w:pPr>
            <w:r w:rsidRPr="005A0FFC">
              <w:rPr>
                <w:rFonts w:eastAsia="Times New Roman" w:cs="Arial"/>
                <w:b/>
                <w:bCs/>
                <w:sz w:val="20"/>
                <w:szCs w:val="20"/>
                <w:lang w:eastAsia="sk-SK"/>
              </w:rPr>
              <w:t>138,2</w:t>
            </w:r>
          </w:p>
        </w:tc>
      </w:tr>
    </w:tbl>
    <w:p w14:paraId="765520D2" w14:textId="77777777" w:rsidR="007C6EB7" w:rsidRPr="00EC258B" w:rsidRDefault="007C6EB7" w:rsidP="0002327B">
      <w:pPr>
        <w:spacing w:after="120"/>
        <w:rPr>
          <w:i/>
          <w:sz w:val="18"/>
          <w:szCs w:val="20"/>
        </w:rPr>
      </w:pPr>
      <w:r w:rsidRPr="00EC258B">
        <w:rPr>
          <w:i/>
          <w:sz w:val="18"/>
          <w:szCs w:val="20"/>
        </w:rPr>
        <w:t>Zdroj: Návrh ŠZÚ za rok 2019</w:t>
      </w:r>
    </w:p>
    <w:p w14:paraId="079DE015" w14:textId="191AD2E3" w:rsidR="00280126" w:rsidRPr="00220EB0" w:rsidRDefault="00280126" w:rsidP="00E15F18">
      <w:pPr>
        <w:spacing w:before="120"/>
        <w:rPr>
          <w:rFonts w:eastAsia="Calibri" w:cs="Times New Roman"/>
          <w:b/>
          <w:i/>
        </w:rPr>
      </w:pPr>
      <w:r w:rsidRPr="00220EB0">
        <w:rPr>
          <w:rFonts w:eastAsia="Calibri" w:cs="Times New Roman"/>
          <w:b/>
          <w:i/>
        </w:rPr>
        <w:t xml:space="preserve">Tabuľka </w:t>
      </w:r>
      <w:r w:rsidR="006314F6" w:rsidRPr="00220EB0">
        <w:rPr>
          <w:rFonts w:eastAsia="Calibri" w:cs="Times New Roman"/>
          <w:b/>
          <w:i/>
        </w:rPr>
        <w:t>6</w:t>
      </w:r>
      <w:r w:rsidR="005B7EA6" w:rsidRPr="00220EB0">
        <w:rPr>
          <w:rFonts w:eastAsia="Calibri" w:cs="Times New Roman"/>
          <w:b/>
          <w:i/>
        </w:rPr>
        <w:t>:</w:t>
      </w:r>
      <w:r w:rsidRPr="00220EB0">
        <w:rPr>
          <w:rFonts w:eastAsia="Calibri" w:cs="Times New Roman"/>
          <w:b/>
          <w:i/>
        </w:rPr>
        <w:t xml:space="preserve"> Vývoj dividend od obchodných spoločností podľa jednotlivých kapitol ŠR v rokoch 201</w:t>
      </w:r>
      <w:r w:rsidR="00831611" w:rsidRPr="00220EB0">
        <w:rPr>
          <w:rFonts w:eastAsia="Calibri" w:cs="Times New Roman"/>
          <w:b/>
          <w:i/>
        </w:rPr>
        <w:t>8</w:t>
      </w:r>
      <w:r w:rsidRPr="00220EB0">
        <w:rPr>
          <w:rFonts w:eastAsia="Calibri" w:cs="Times New Roman"/>
          <w:b/>
          <w:i/>
        </w:rPr>
        <w:t xml:space="preserve"> a</w:t>
      </w:r>
      <w:r w:rsidR="00831611" w:rsidRPr="00220EB0">
        <w:rPr>
          <w:rFonts w:eastAsia="Calibri" w:cs="Times New Roman"/>
          <w:b/>
          <w:i/>
        </w:rPr>
        <w:t> </w:t>
      </w:r>
      <w:r w:rsidRPr="00220EB0">
        <w:rPr>
          <w:rFonts w:eastAsia="Calibri" w:cs="Times New Roman"/>
          <w:b/>
          <w:i/>
        </w:rPr>
        <w:t>201</w:t>
      </w:r>
      <w:r w:rsidR="00831611" w:rsidRPr="00220EB0">
        <w:rPr>
          <w:rFonts w:eastAsia="Calibri" w:cs="Times New Roman"/>
          <w:b/>
          <w:i/>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1144"/>
        <w:gridCol w:w="1168"/>
        <w:gridCol w:w="1170"/>
        <w:gridCol w:w="936"/>
        <w:gridCol w:w="1105"/>
      </w:tblGrid>
      <w:tr w:rsidR="00831611" w:rsidRPr="00E53515" w14:paraId="0F034D6C" w14:textId="77777777" w:rsidTr="00B141AE">
        <w:trPr>
          <w:trHeight w:val="20"/>
          <w:tblHeader/>
          <w:jc w:val="center"/>
        </w:trPr>
        <w:tc>
          <w:tcPr>
            <w:tcW w:w="2045" w:type="pct"/>
            <w:shd w:val="clear" w:color="auto" w:fill="0070C0"/>
            <w:noWrap/>
            <w:vAlign w:val="center"/>
          </w:tcPr>
          <w:p w14:paraId="1FBC2475" w14:textId="77777777" w:rsidR="00831611" w:rsidRPr="00E53515" w:rsidRDefault="00831611" w:rsidP="0070471B">
            <w:pPr>
              <w:rPr>
                <w:rFonts w:eastAsia="Calibri" w:cs="Arial"/>
                <w:color w:val="FFFFFF"/>
                <w:sz w:val="20"/>
                <w:szCs w:val="20"/>
              </w:rPr>
            </w:pPr>
            <w:r w:rsidRPr="00E53515">
              <w:rPr>
                <w:rFonts w:eastAsia="Calibri" w:cs="Arial CE"/>
                <w:b/>
                <w:bCs/>
                <w:color w:val="FFFFFF"/>
                <w:sz w:val="20"/>
                <w:szCs w:val="20"/>
              </w:rPr>
              <w:t>Dividendy (v tis. eur)</w:t>
            </w:r>
          </w:p>
        </w:tc>
        <w:tc>
          <w:tcPr>
            <w:tcW w:w="612" w:type="pct"/>
            <w:shd w:val="clear" w:color="auto" w:fill="0070C0"/>
            <w:vAlign w:val="center"/>
          </w:tcPr>
          <w:p w14:paraId="0FCF71C7" w14:textId="77777777" w:rsidR="00831611" w:rsidRPr="00E53515" w:rsidRDefault="00831611" w:rsidP="0070471B">
            <w:pPr>
              <w:jc w:val="center"/>
              <w:rPr>
                <w:rFonts w:eastAsia="Calibri" w:cs="Arial"/>
                <w:color w:val="FFFFFF"/>
                <w:sz w:val="20"/>
                <w:szCs w:val="20"/>
              </w:rPr>
            </w:pPr>
            <w:r>
              <w:rPr>
                <w:rFonts w:eastAsia="Calibri" w:cs="Arial CE"/>
                <w:b/>
                <w:bCs/>
                <w:color w:val="FFFFFF"/>
                <w:sz w:val="20"/>
                <w:szCs w:val="20"/>
              </w:rPr>
              <w:t>Skutočnosť</w:t>
            </w:r>
            <w:r>
              <w:rPr>
                <w:rFonts w:eastAsia="Calibri" w:cs="Arial CE"/>
                <w:b/>
                <w:bCs/>
                <w:color w:val="FFFFFF"/>
                <w:sz w:val="20"/>
                <w:szCs w:val="20"/>
              </w:rPr>
              <w:br/>
              <w:t>2018</w:t>
            </w:r>
          </w:p>
        </w:tc>
        <w:tc>
          <w:tcPr>
            <w:tcW w:w="625" w:type="pct"/>
            <w:shd w:val="clear" w:color="auto" w:fill="0070C0"/>
            <w:vAlign w:val="center"/>
          </w:tcPr>
          <w:p w14:paraId="244C8788" w14:textId="77777777" w:rsidR="00831611" w:rsidRPr="00E53515" w:rsidRDefault="00831611" w:rsidP="0070471B">
            <w:pPr>
              <w:jc w:val="center"/>
              <w:rPr>
                <w:rFonts w:eastAsia="Calibri" w:cs="Arial"/>
                <w:b/>
                <w:color w:val="FFFFFF"/>
                <w:sz w:val="20"/>
                <w:szCs w:val="20"/>
              </w:rPr>
            </w:pPr>
            <w:r>
              <w:rPr>
                <w:rFonts w:eastAsia="Calibri" w:cs="Arial"/>
                <w:b/>
                <w:color w:val="FFFFFF"/>
                <w:sz w:val="20"/>
                <w:szCs w:val="20"/>
              </w:rPr>
              <w:t>Rozpočet 2019</w:t>
            </w:r>
          </w:p>
        </w:tc>
        <w:tc>
          <w:tcPr>
            <w:tcW w:w="626" w:type="pct"/>
            <w:shd w:val="clear" w:color="auto" w:fill="0070C0"/>
            <w:vAlign w:val="center"/>
          </w:tcPr>
          <w:p w14:paraId="26F834A4" w14:textId="77777777" w:rsidR="00831611" w:rsidRPr="00E53515" w:rsidRDefault="00831611" w:rsidP="0070471B">
            <w:pPr>
              <w:jc w:val="center"/>
              <w:rPr>
                <w:rFonts w:eastAsia="Calibri" w:cs="Arial"/>
                <w:color w:val="FFFFFF"/>
                <w:sz w:val="20"/>
                <w:szCs w:val="20"/>
              </w:rPr>
            </w:pPr>
            <w:r>
              <w:rPr>
                <w:rFonts w:eastAsia="Calibri" w:cs="Arial CE"/>
                <w:b/>
                <w:bCs/>
                <w:color w:val="FFFFFF"/>
                <w:sz w:val="20"/>
                <w:szCs w:val="20"/>
              </w:rPr>
              <w:t>Skutočnosť</w:t>
            </w:r>
            <w:r>
              <w:rPr>
                <w:rFonts w:eastAsia="Calibri" w:cs="Arial CE"/>
                <w:b/>
                <w:bCs/>
                <w:color w:val="FFFFFF"/>
                <w:sz w:val="20"/>
                <w:szCs w:val="20"/>
              </w:rPr>
              <w:br/>
              <w:t>2019</w:t>
            </w:r>
          </w:p>
        </w:tc>
        <w:tc>
          <w:tcPr>
            <w:tcW w:w="501" w:type="pct"/>
            <w:shd w:val="clear" w:color="auto" w:fill="0070C0"/>
            <w:vAlign w:val="center"/>
          </w:tcPr>
          <w:p w14:paraId="1B082EF4" w14:textId="77777777" w:rsidR="00831611" w:rsidRPr="00E53515" w:rsidRDefault="00831611" w:rsidP="0070471B">
            <w:pPr>
              <w:jc w:val="center"/>
              <w:rPr>
                <w:rFonts w:eastAsia="Calibri" w:cs="Arial"/>
                <w:color w:val="FFFFFF"/>
                <w:sz w:val="20"/>
                <w:szCs w:val="20"/>
              </w:rPr>
            </w:pPr>
            <w:r w:rsidRPr="00E53515">
              <w:rPr>
                <w:rFonts w:eastAsia="Calibri" w:cs="Arial CE"/>
                <w:b/>
                <w:bCs/>
                <w:color w:val="FFFFFF"/>
                <w:sz w:val="20"/>
                <w:szCs w:val="20"/>
              </w:rPr>
              <w:t>Rozdiel</w:t>
            </w:r>
          </w:p>
        </w:tc>
        <w:tc>
          <w:tcPr>
            <w:tcW w:w="591" w:type="pct"/>
            <w:shd w:val="clear" w:color="auto" w:fill="0070C0"/>
            <w:noWrap/>
            <w:vAlign w:val="center"/>
          </w:tcPr>
          <w:p w14:paraId="23FE0309" w14:textId="77777777" w:rsidR="00831611" w:rsidRPr="00E53515" w:rsidRDefault="00831611" w:rsidP="0070471B">
            <w:pPr>
              <w:jc w:val="center"/>
              <w:rPr>
                <w:rFonts w:eastAsia="Calibri" w:cs="Arial CE"/>
                <w:b/>
                <w:bCs/>
                <w:color w:val="FFFFFF"/>
                <w:sz w:val="20"/>
                <w:szCs w:val="20"/>
              </w:rPr>
            </w:pPr>
            <w:r w:rsidRPr="00E53515">
              <w:rPr>
                <w:rFonts w:eastAsia="Calibri" w:cs="Arial CE"/>
                <w:b/>
                <w:bCs/>
                <w:color w:val="FFFFFF"/>
                <w:sz w:val="20"/>
                <w:szCs w:val="20"/>
              </w:rPr>
              <w:t>Index</w:t>
            </w:r>
          </w:p>
          <w:p w14:paraId="62C7332E" w14:textId="77777777" w:rsidR="00831611" w:rsidRPr="00E53515" w:rsidRDefault="00831611" w:rsidP="0070471B">
            <w:pPr>
              <w:jc w:val="center"/>
              <w:rPr>
                <w:rFonts w:eastAsia="Calibri" w:cs="Arial"/>
                <w:color w:val="FFFFFF"/>
                <w:sz w:val="20"/>
                <w:szCs w:val="20"/>
              </w:rPr>
            </w:pPr>
            <w:r w:rsidRPr="00E53515">
              <w:rPr>
                <w:rFonts w:eastAsia="Calibri" w:cs="Arial CE"/>
                <w:b/>
                <w:bCs/>
                <w:color w:val="FFFFFF"/>
                <w:sz w:val="20"/>
                <w:szCs w:val="20"/>
              </w:rPr>
              <w:t>(v %)</w:t>
            </w:r>
          </w:p>
        </w:tc>
      </w:tr>
      <w:tr w:rsidR="00831611" w:rsidRPr="00E53515" w14:paraId="3C99520C" w14:textId="77777777" w:rsidTr="00B141AE">
        <w:trPr>
          <w:trHeight w:val="20"/>
          <w:tblHeader/>
          <w:jc w:val="center"/>
        </w:trPr>
        <w:tc>
          <w:tcPr>
            <w:tcW w:w="2045" w:type="pct"/>
            <w:shd w:val="clear" w:color="auto" w:fill="auto"/>
            <w:noWrap/>
            <w:vAlign w:val="center"/>
            <w:hideMark/>
          </w:tcPr>
          <w:p w14:paraId="0CBDD652" w14:textId="77777777" w:rsidR="00831611" w:rsidRPr="00E53515" w:rsidRDefault="00831611" w:rsidP="0070471B">
            <w:pPr>
              <w:jc w:val="center"/>
              <w:rPr>
                <w:rFonts w:eastAsia="Calibri" w:cs="Arial"/>
                <w:sz w:val="20"/>
                <w:szCs w:val="20"/>
              </w:rPr>
            </w:pPr>
            <w:r w:rsidRPr="00E53515">
              <w:rPr>
                <w:rFonts w:eastAsia="Calibri" w:cs="Arial"/>
                <w:sz w:val="20"/>
                <w:szCs w:val="20"/>
              </w:rPr>
              <w:t>a</w:t>
            </w:r>
          </w:p>
        </w:tc>
        <w:tc>
          <w:tcPr>
            <w:tcW w:w="612" w:type="pct"/>
            <w:shd w:val="clear" w:color="auto" w:fill="auto"/>
            <w:vAlign w:val="center"/>
            <w:hideMark/>
          </w:tcPr>
          <w:p w14:paraId="69D3B019" w14:textId="77777777" w:rsidR="00831611" w:rsidRPr="00E53515" w:rsidRDefault="00831611" w:rsidP="0070471B">
            <w:pPr>
              <w:jc w:val="center"/>
              <w:rPr>
                <w:rFonts w:eastAsia="Calibri" w:cs="Arial"/>
                <w:sz w:val="20"/>
                <w:szCs w:val="20"/>
              </w:rPr>
            </w:pPr>
            <w:r w:rsidRPr="00E53515">
              <w:rPr>
                <w:rFonts w:eastAsia="Calibri" w:cs="Arial"/>
                <w:sz w:val="20"/>
                <w:szCs w:val="20"/>
              </w:rPr>
              <w:t>1</w:t>
            </w:r>
          </w:p>
        </w:tc>
        <w:tc>
          <w:tcPr>
            <w:tcW w:w="625" w:type="pct"/>
            <w:shd w:val="clear" w:color="auto" w:fill="auto"/>
            <w:vAlign w:val="center"/>
            <w:hideMark/>
          </w:tcPr>
          <w:p w14:paraId="7917A4A4" w14:textId="77777777" w:rsidR="00831611" w:rsidRPr="00E53515" w:rsidRDefault="00831611" w:rsidP="0070471B">
            <w:pPr>
              <w:jc w:val="center"/>
              <w:rPr>
                <w:rFonts w:eastAsia="Calibri" w:cs="Arial"/>
                <w:sz w:val="20"/>
                <w:szCs w:val="20"/>
              </w:rPr>
            </w:pPr>
            <w:r w:rsidRPr="00E53515">
              <w:rPr>
                <w:rFonts w:eastAsia="Calibri" w:cs="Arial"/>
                <w:sz w:val="20"/>
                <w:szCs w:val="20"/>
              </w:rPr>
              <w:t>2</w:t>
            </w:r>
          </w:p>
        </w:tc>
        <w:tc>
          <w:tcPr>
            <w:tcW w:w="626" w:type="pct"/>
            <w:shd w:val="clear" w:color="auto" w:fill="auto"/>
            <w:vAlign w:val="center"/>
            <w:hideMark/>
          </w:tcPr>
          <w:p w14:paraId="1B14278F" w14:textId="77777777" w:rsidR="00831611" w:rsidRPr="00E53515" w:rsidRDefault="00831611" w:rsidP="0070471B">
            <w:pPr>
              <w:jc w:val="center"/>
              <w:rPr>
                <w:rFonts w:eastAsia="Calibri" w:cs="Arial"/>
                <w:sz w:val="20"/>
                <w:szCs w:val="20"/>
              </w:rPr>
            </w:pPr>
            <w:r w:rsidRPr="00E53515">
              <w:rPr>
                <w:rFonts w:eastAsia="Calibri" w:cs="Arial"/>
                <w:sz w:val="20"/>
                <w:szCs w:val="20"/>
              </w:rPr>
              <w:t>3</w:t>
            </w:r>
          </w:p>
        </w:tc>
        <w:tc>
          <w:tcPr>
            <w:tcW w:w="501" w:type="pct"/>
            <w:shd w:val="clear" w:color="auto" w:fill="auto"/>
            <w:vAlign w:val="center"/>
            <w:hideMark/>
          </w:tcPr>
          <w:p w14:paraId="6F3E55B7" w14:textId="77777777" w:rsidR="00831611" w:rsidRPr="00E53515" w:rsidRDefault="00831611" w:rsidP="0070471B">
            <w:pPr>
              <w:jc w:val="center"/>
              <w:rPr>
                <w:rFonts w:eastAsia="Calibri" w:cs="Arial"/>
                <w:sz w:val="20"/>
                <w:szCs w:val="20"/>
              </w:rPr>
            </w:pPr>
            <w:r w:rsidRPr="00E53515">
              <w:rPr>
                <w:rFonts w:eastAsia="Calibri" w:cs="Arial"/>
                <w:sz w:val="20"/>
                <w:szCs w:val="20"/>
              </w:rPr>
              <w:t>4=3-2</w:t>
            </w:r>
          </w:p>
        </w:tc>
        <w:tc>
          <w:tcPr>
            <w:tcW w:w="591" w:type="pct"/>
            <w:shd w:val="clear" w:color="auto" w:fill="auto"/>
            <w:noWrap/>
            <w:vAlign w:val="center"/>
            <w:hideMark/>
          </w:tcPr>
          <w:p w14:paraId="456B333C" w14:textId="77777777" w:rsidR="00831611" w:rsidRPr="00E53515" w:rsidRDefault="00831611" w:rsidP="0070471B">
            <w:pPr>
              <w:jc w:val="center"/>
              <w:rPr>
                <w:rFonts w:eastAsia="Calibri" w:cs="Arial"/>
                <w:sz w:val="20"/>
                <w:szCs w:val="20"/>
              </w:rPr>
            </w:pPr>
            <w:r w:rsidRPr="00E53515">
              <w:rPr>
                <w:rFonts w:eastAsia="Calibri" w:cs="Arial"/>
                <w:sz w:val="20"/>
                <w:szCs w:val="20"/>
              </w:rPr>
              <w:t>5=3/1*100</w:t>
            </w:r>
          </w:p>
        </w:tc>
      </w:tr>
      <w:tr w:rsidR="00831611" w:rsidRPr="00E53515" w14:paraId="50EFC2B2" w14:textId="77777777" w:rsidTr="00B141AE">
        <w:trPr>
          <w:trHeight w:val="20"/>
          <w:jc w:val="center"/>
        </w:trPr>
        <w:tc>
          <w:tcPr>
            <w:tcW w:w="2045" w:type="pct"/>
            <w:shd w:val="clear" w:color="auto" w:fill="auto"/>
            <w:noWrap/>
          </w:tcPr>
          <w:p w14:paraId="60ED7A9D"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b/>
                <w:bCs/>
                <w:color w:val="000000"/>
                <w:sz w:val="20"/>
                <w:szCs w:val="20"/>
              </w:rPr>
              <w:t xml:space="preserve">Všeobecná pokladničná správa </w:t>
            </w:r>
          </w:p>
        </w:tc>
        <w:tc>
          <w:tcPr>
            <w:tcW w:w="612" w:type="pct"/>
            <w:shd w:val="clear" w:color="auto" w:fill="auto"/>
            <w:noWrap/>
            <w:vAlign w:val="center"/>
          </w:tcPr>
          <w:p w14:paraId="1185B43A"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362 631</w:t>
            </w:r>
          </w:p>
        </w:tc>
        <w:tc>
          <w:tcPr>
            <w:tcW w:w="625" w:type="pct"/>
            <w:shd w:val="clear" w:color="auto" w:fill="auto"/>
            <w:noWrap/>
            <w:vAlign w:val="center"/>
          </w:tcPr>
          <w:p w14:paraId="515FCAB8"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402 451</w:t>
            </w:r>
          </w:p>
        </w:tc>
        <w:tc>
          <w:tcPr>
            <w:tcW w:w="626" w:type="pct"/>
            <w:shd w:val="clear" w:color="auto" w:fill="auto"/>
            <w:noWrap/>
            <w:vAlign w:val="center"/>
          </w:tcPr>
          <w:p w14:paraId="62F0D0C7"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437 471</w:t>
            </w:r>
          </w:p>
        </w:tc>
        <w:tc>
          <w:tcPr>
            <w:tcW w:w="501" w:type="pct"/>
            <w:shd w:val="clear" w:color="auto" w:fill="auto"/>
            <w:noWrap/>
            <w:vAlign w:val="center"/>
          </w:tcPr>
          <w:p w14:paraId="4B865DA0"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35 020</w:t>
            </w:r>
          </w:p>
        </w:tc>
        <w:tc>
          <w:tcPr>
            <w:tcW w:w="591" w:type="pct"/>
            <w:shd w:val="clear" w:color="auto" w:fill="auto"/>
            <w:noWrap/>
            <w:vAlign w:val="center"/>
          </w:tcPr>
          <w:p w14:paraId="7CC29C36" w14:textId="77777777" w:rsidR="00831611" w:rsidRPr="005A0FFC" w:rsidRDefault="00831611" w:rsidP="0070471B">
            <w:pPr>
              <w:jc w:val="right"/>
              <w:rPr>
                <w:rFonts w:eastAsia="Times New Roman" w:cs="Arial"/>
                <w:b/>
                <w:bCs/>
                <w:sz w:val="20"/>
                <w:szCs w:val="20"/>
                <w:lang w:eastAsia="sk-SK"/>
              </w:rPr>
            </w:pPr>
            <w:r w:rsidRPr="005A0FFC">
              <w:rPr>
                <w:rFonts w:eastAsia="Times New Roman" w:cs="Arial"/>
                <w:b/>
                <w:bCs/>
                <w:sz w:val="20"/>
                <w:szCs w:val="20"/>
                <w:lang w:eastAsia="sk-SK"/>
              </w:rPr>
              <w:t>120,6</w:t>
            </w:r>
          </w:p>
        </w:tc>
      </w:tr>
      <w:tr w:rsidR="00831611" w:rsidRPr="00E53515" w14:paraId="201DE9CA" w14:textId="77777777" w:rsidTr="00B141AE">
        <w:trPr>
          <w:trHeight w:val="20"/>
          <w:jc w:val="center"/>
        </w:trPr>
        <w:tc>
          <w:tcPr>
            <w:tcW w:w="2045" w:type="pct"/>
            <w:shd w:val="clear" w:color="auto" w:fill="auto"/>
            <w:noWrap/>
          </w:tcPr>
          <w:p w14:paraId="190D02E7"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Slovenský plynárenský priemysel, a.s. </w:t>
            </w:r>
          </w:p>
        </w:tc>
        <w:tc>
          <w:tcPr>
            <w:tcW w:w="612" w:type="pct"/>
            <w:shd w:val="clear" w:color="auto" w:fill="auto"/>
            <w:noWrap/>
            <w:vAlign w:val="center"/>
          </w:tcPr>
          <w:p w14:paraId="23352266"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300 000</w:t>
            </w:r>
          </w:p>
        </w:tc>
        <w:tc>
          <w:tcPr>
            <w:tcW w:w="625" w:type="pct"/>
            <w:shd w:val="clear" w:color="auto" w:fill="auto"/>
            <w:noWrap/>
            <w:vAlign w:val="center"/>
          </w:tcPr>
          <w:p w14:paraId="48756BA9"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300 000</w:t>
            </w:r>
          </w:p>
        </w:tc>
        <w:tc>
          <w:tcPr>
            <w:tcW w:w="626" w:type="pct"/>
            <w:shd w:val="clear" w:color="auto" w:fill="auto"/>
            <w:noWrap/>
            <w:vAlign w:val="center"/>
          </w:tcPr>
          <w:p w14:paraId="5BB00C9B"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370 000</w:t>
            </w:r>
          </w:p>
        </w:tc>
        <w:tc>
          <w:tcPr>
            <w:tcW w:w="501" w:type="pct"/>
            <w:shd w:val="clear" w:color="auto" w:fill="auto"/>
            <w:noWrap/>
            <w:vAlign w:val="center"/>
          </w:tcPr>
          <w:p w14:paraId="0BE08AD3"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70 000</w:t>
            </w:r>
          </w:p>
        </w:tc>
        <w:tc>
          <w:tcPr>
            <w:tcW w:w="591" w:type="pct"/>
            <w:shd w:val="clear" w:color="auto" w:fill="auto"/>
            <w:noWrap/>
            <w:vAlign w:val="center"/>
          </w:tcPr>
          <w:p w14:paraId="403A8570"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123,3</w:t>
            </w:r>
          </w:p>
        </w:tc>
      </w:tr>
      <w:tr w:rsidR="00831611" w:rsidRPr="00E53515" w14:paraId="05AEA0E3" w14:textId="77777777" w:rsidTr="00B141AE">
        <w:trPr>
          <w:trHeight w:val="20"/>
          <w:jc w:val="center"/>
        </w:trPr>
        <w:tc>
          <w:tcPr>
            <w:tcW w:w="2045" w:type="pct"/>
            <w:shd w:val="clear" w:color="auto" w:fill="auto"/>
            <w:noWrap/>
          </w:tcPr>
          <w:p w14:paraId="369EA487"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Západoslovenská energetika, a. s. </w:t>
            </w:r>
          </w:p>
        </w:tc>
        <w:tc>
          <w:tcPr>
            <w:tcW w:w="612" w:type="pct"/>
            <w:shd w:val="clear" w:color="auto" w:fill="auto"/>
            <w:noWrap/>
            <w:vAlign w:val="center"/>
          </w:tcPr>
          <w:p w14:paraId="7F1AA715"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35 950</w:t>
            </w:r>
          </w:p>
        </w:tc>
        <w:tc>
          <w:tcPr>
            <w:tcW w:w="625" w:type="pct"/>
            <w:shd w:val="clear" w:color="auto" w:fill="auto"/>
            <w:noWrap/>
            <w:vAlign w:val="center"/>
          </w:tcPr>
          <w:p w14:paraId="3C88BAE1"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28 781</w:t>
            </w:r>
          </w:p>
        </w:tc>
        <w:tc>
          <w:tcPr>
            <w:tcW w:w="626" w:type="pct"/>
            <w:shd w:val="clear" w:color="auto" w:fill="auto"/>
            <w:noWrap/>
            <w:vAlign w:val="center"/>
          </w:tcPr>
          <w:p w14:paraId="64761317"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32 553</w:t>
            </w:r>
          </w:p>
        </w:tc>
        <w:tc>
          <w:tcPr>
            <w:tcW w:w="501" w:type="pct"/>
            <w:shd w:val="clear" w:color="auto" w:fill="auto"/>
            <w:noWrap/>
            <w:vAlign w:val="center"/>
          </w:tcPr>
          <w:p w14:paraId="20C752E4"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3 772</w:t>
            </w:r>
          </w:p>
        </w:tc>
        <w:tc>
          <w:tcPr>
            <w:tcW w:w="591" w:type="pct"/>
            <w:shd w:val="clear" w:color="auto" w:fill="auto"/>
            <w:noWrap/>
            <w:vAlign w:val="center"/>
          </w:tcPr>
          <w:p w14:paraId="19C3C022"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90,6</w:t>
            </w:r>
          </w:p>
        </w:tc>
      </w:tr>
      <w:tr w:rsidR="00831611" w:rsidRPr="00E53515" w14:paraId="709CE130" w14:textId="77777777" w:rsidTr="00B141AE">
        <w:trPr>
          <w:trHeight w:val="20"/>
          <w:jc w:val="center"/>
        </w:trPr>
        <w:tc>
          <w:tcPr>
            <w:tcW w:w="2045" w:type="pct"/>
            <w:shd w:val="clear" w:color="auto" w:fill="auto"/>
            <w:noWrap/>
          </w:tcPr>
          <w:p w14:paraId="175ED15A"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Východoslovenská energetika HOLDING, a.s. </w:t>
            </w:r>
          </w:p>
        </w:tc>
        <w:tc>
          <w:tcPr>
            <w:tcW w:w="612" w:type="pct"/>
            <w:shd w:val="clear" w:color="auto" w:fill="auto"/>
            <w:noWrap/>
            <w:vAlign w:val="center"/>
          </w:tcPr>
          <w:p w14:paraId="2B92159B"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23 411</w:t>
            </w:r>
          </w:p>
        </w:tc>
        <w:tc>
          <w:tcPr>
            <w:tcW w:w="625" w:type="pct"/>
            <w:shd w:val="clear" w:color="auto" w:fill="auto"/>
            <w:noWrap/>
            <w:vAlign w:val="center"/>
          </w:tcPr>
          <w:p w14:paraId="1E539FB8"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38 475</w:t>
            </w:r>
          </w:p>
        </w:tc>
        <w:tc>
          <w:tcPr>
            <w:tcW w:w="626" w:type="pct"/>
            <w:shd w:val="clear" w:color="auto" w:fill="auto"/>
            <w:noWrap/>
            <w:vAlign w:val="center"/>
          </w:tcPr>
          <w:p w14:paraId="09232978"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30 332</w:t>
            </w:r>
          </w:p>
        </w:tc>
        <w:tc>
          <w:tcPr>
            <w:tcW w:w="501" w:type="pct"/>
            <w:shd w:val="clear" w:color="auto" w:fill="auto"/>
            <w:noWrap/>
            <w:vAlign w:val="center"/>
          </w:tcPr>
          <w:p w14:paraId="24FA88FB"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-8 143</w:t>
            </w:r>
          </w:p>
        </w:tc>
        <w:tc>
          <w:tcPr>
            <w:tcW w:w="591" w:type="pct"/>
            <w:shd w:val="clear" w:color="auto" w:fill="auto"/>
            <w:noWrap/>
            <w:vAlign w:val="center"/>
          </w:tcPr>
          <w:p w14:paraId="3A65DB5A"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129,6</w:t>
            </w:r>
          </w:p>
        </w:tc>
      </w:tr>
      <w:tr w:rsidR="00831611" w:rsidRPr="00E53515" w14:paraId="23E064DE" w14:textId="77777777" w:rsidTr="00B141AE">
        <w:trPr>
          <w:trHeight w:val="20"/>
          <w:jc w:val="center"/>
        </w:trPr>
        <w:tc>
          <w:tcPr>
            <w:tcW w:w="2045" w:type="pct"/>
            <w:shd w:val="clear" w:color="auto" w:fill="auto"/>
            <w:noWrap/>
          </w:tcPr>
          <w:p w14:paraId="4D77D1F1"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Stredoslovenská energetika, a s. </w:t>
            </w:r>
          </w:p>
        </w:tc>
        <w:tc>
          <w:tcPr>
            <w:tcW w:w="612" w:type="pct"/>
            <w:shd w:val="clear" w:color="auto" w:fill="auto"/>
            <w:noWrap/>
            <w:vAlign w:val="center"/>
          </w:tcPr>
          <w:p w14:paraId="08BDECC9"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3 270</w:t>
            </w:r>
          </w:p>
        </w:tc>
        <w:tc>
          <w:tcPr>
            <w:tcW w:w="625" w:type="pct"/>
            <w:shd w:val="clear" w:color="auto" w:fill="auto"/>
            <w:noWrap/>
            <w:vAlign w:val="center"/>
          </w:tcPr>
          <w:p w14:paraId="79319383"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35 195</w:t>
            </w:r>
          </w:p>
        </w:tc>
        <w:tc>
          <w:tcPr>
            <w:tcW w:w="626" w:type="pct"/>
            <w:shd w:val="clear" w:color="auto" w:fill="auto"/>
            <w:noWrap/>
            <w:vAlign w:val="center"/>
          </w:tcPr>
          <w:p w14:paraId="7DF50724"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4 586</w:t>
            </w:r>
          </w:p>
        </w:tc>
        <w:tc>
          <w:tcPr>
            <w:tcW w:w="501" w:type="pct"/>
            <w:shd w:val="clear" w:color="auto" w:fill="auto"/>
            <w:noWrap/>
            <w:vAlign w:val="center"/>
          </w:tcPr>
          <w:p w14:paraId="3C1FE857"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-30 609</w:t>
            </w:r>
          </w:p>
        </w:tc>
        <w:tc>
          <w:tcPr>
            <w:tcW w:w="591" w:type="pct"/>
            <w:shd w:val="clear" w:color="auto" w:fill="auto"/>
            <w:noWrap/>
            <w:vAlign w:val="center"/>
          </w:tcPr>
          <w:p w14:paraId="2F21199D"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140,2</w:t>
            </w:r>
          </w:p>
        </w:tc>
      </w:tr>
      <w:tr w:rsidR="00831611" w:rsidRPr="00E53515" w14:paraId="5E1551F9" w14:textId="77777777" w:rsidTr="00B141AE">
        <w:trPr>
          <w:trHeight w:val="20"/>
          <w:jc w:val="center"/>
        </w:trPr>
        <w:tc>
          <w:tcPr>
            <w:tcW w:w="2045" w:type="pct"/>
            <w:shd w:val="clear" w:color="auto" w:fill="auto"/>
            <w:noWrap/>
          </w:tcPr>
          <w:p w14:paraId="728A6167"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b/>
                <w:bCs/>
                <w:color w:val="000000"/>
                <w:sz w:val="20"/>
                <w:szCs w:val="20"/>
              </w:rPr>
              <w:t xml:space="preserve">Ministerstvo financií SR </w:t>
            </w:r>
          </w:p>
        </w:tc>
        <w:tc>
          <w:tcPr>
            <w:tcW w:w="612" w:type="pct"/>
            <w:shd w:val="clear" w:color="auto" w:fill="auto"/>
            <w:noWrap/>
            <w:vAlign w:val="center"/>
          </w:tcPr>
          <w:p w14:paraId="41C79492"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69 092</w:t>
            </w:r>
          </w:p>
        </w:tc>
        <w:tc>
          <w:tcPr>
            <w:tcW w:w="625" w:type="pct"/>
            <w:shd w:val="clear" w:color="auto" w:fill="auto"/>
            <w:noWrap/>
            <w:vAlign w:val="center"/>
          </w:tcPr>
          <w:p w14:paraId="209B6B19"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20 459</w:t>
            </w:r>
          </w:p>
        </w:tc>
        <w:tc>
          <w:tcPr>
            <w:tcW w:w="626" w:type="pct"/>
            <w:shd w:val="clear" w:color="auto" w:fill="auto"/>
            <w:noWrap/>
            <w:vAlign w:val="center"/>
          </w:tcPr>
          <w:p w14:paraId="0568718E"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60 982</w:t>
            </w:r>
          </w:p>
        </w:tc>
        <w:tc>
          <w:tcPr>
            <w:tcW w:w="501" w:type="pct"/>
            <w:shd w:val="clear" w:color="auto" w:fill="auto"/>
            <w:noWrap/>
            <w:vAlign w:val="center"/>
          </w:tcPr>
          <w:p w14:paraId="12D91567"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40 523</w:t>
            </w:r>
          </w:p>
        </w:tc>
        <w:tc>
          <w:tcPr>
            <w:tcW w:w="591" w:type="pct"/>
            <w:shd w:val="clear" w:color="auto" w:fill="auto"/>
            <w:noWrap/>
            <w:vAlign w:val="center"/>
          </w:tcPr>
          <w:p w14:paraId="2D16C877" w14:textId="77777777" w:rsidR="00831611" w:rsidRPr="005A0FFC" w:rsidRDefault="00831611" w:rsidP="0070471B">
            <w:pPr>
              <w:jc w:val="right"/>
              <w:rPr>
                <w:rFonts w:eastAsia="Times New Roman" w:cs="Arial"/>
                <w:b/>
                <w:bCs/>
                <w:sz w:val="20"/>
                <w:szCs w:val="20"/>
                <w:lang w:eastAsia="sk-SK"/>
              </w:rPr>
            </w:pPr>
            <w:r w:rsidRPr="005A0FFC">
              <w:rPr>
                <w:rFonts w:eastAsia="Times New Roman" w:cs="Arial"/>
                <w:b/>
                <w:bCs/>
                <w:sz w:val="20"/>
                <w:szCs w:val="20"/>
                <w:lang w:eastAsia="sk-SK"/>
              </w:rPr>
              <w:t>88,3</w:t>
            </w:r>
          </w:p>
        </w:tc>
      </w:tr>
      <w:tr w:rsidR="00831611" w:rsidRPr="00E53515" w14:paraId="2C5218AF" w14:textId="77777777" w:rsidTr="00B141AE">
        <w:trPr>
          <w:trHeight w:val="20"/>
          <w:jc w:val="center"/>
        </w:trPr>
        <w:tc>
          <w:tcPr>
            <w:tcW w:w="2045" w:type="pct"/>
            <w:shd w:val="clear" w:color="auto" w:fill="auto"/>
            <w:noWrap/>
          </w:tcPr>
          <w:p w14:paraId="72F6A801"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Slovenská elektrizačná prenosová sústava, a.s. </w:t>
            </w:r>
          </w:p>
        </w:tc>
        <w:tc>
          <w:tcPr>
            <w:tcW w:w="612" w:type="pct"/>
            <w:shd w:val="clear" w:color="auto" w:fill="auto"/>
            <w:noWrap/>
            <w:vAlign w:val="center"/>
          </w:tcPr>
          <w:p w14:paraId="7B981370"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59 000</w:t>
            </w:r>
          </w:p>
        </w:tc>
        <w:tc>
          <w:tcPr>
            <w:tcW w:w="625" w:type="pct"/>
            <w:shd w:val="clear" w:color="auto" w:fill="auto"/>
            <w:noWrap/>
            <w:vAlign w:val="center"/>
          </w:tcPr>
          <w:p w14:paraId="142EB13E"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14 716</w:t>
            </w:r>
          </w:p>
        </w:tc>
        <w:tc>
          <w:tcPr>
            <w:tcW w:w="626" w:type="pct"/>
            <w:shd w:val="clear" w:color="auto" w:fill="auto"/>
            <w:noWrap/>
            <w:vAlign w:val="center"/>
          </w:tcPr>
          <w:p w14:paraId="5E524D3F"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50 000</w:t>
            </w:r>
          </w:p>
        </w:tc>
        <w:tc>
          <w:tcPr>
            <w:tcW w:w="501" w:type="pct"/>
            <w:shd w:val="clear" w:color="auto" w:fill="auto"/>
            <w:noWrap/>
            <w:vAlign w:val="center"/>
          </w:tcPr>
          <w:p w14:paraId="166A4CCC"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35 284</w:t>
            </w:r>
          </w:p>
        </w:tc>
        <w:tc>
          <w:tcPr>
            <w:tcW w:w="591" w:type="pct"/>
            <w:shd w:val="clear" w:color="auto" w:fill="auto"/>
            <w:noWrap/>
            <w:vAlign w:val="center"/>
          </w:tcPr>
          <w:p w14:paraId="0710D899"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84,7</w:t>
            </w:r>
          </w:p>
        </w:tc>
      </w:tr>
      <w:tr w:rsidR="00831611" w:rsidRPr="00E53515" w14:paraId="49997C05" w14:textId="77777777" w:rsidTr="00B141AE">
        <w:trPr>
          <w:trHeight w:val="20"/>
          <w:jc w:val="center"/>
        </w:trPr>
        <w:tc>
          <w:tcPr>
            <w:tcW w:w="2045" w:type="pct"/>
            <w:shd w:val="clear" w:color="auto" w:fill="auto"/>
            <w:noWrap/>
          </w:tcPr>
          <w:p w14:paraId="6489C6C4"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Slovenská záručná a rozvojová banka, a.s. </w:t>
            </w:r>
          </w:p>
        </w:tc>
        <w:tc>
          <w:tcPr>
            <w:tcW w:w="612" w:type="pct"/>
            <w:shd w:val="clear" w:color="auto" w:fill="auto"/>
            <w:noWrap/>
            <w:vAlign w:val="center"/>
          </w:tcPr>
          <w:p w14:paraId="149B3B33"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2 350</w:t>
            </w:r>
          </w:p>
        </w:tc>
        <w:tc>
          <w:tcPr>
            <w:tcW w:w="625" w:type="pct"/>
            <w:shd w:val="clear" w:color="auto" w:fill="auto"/>
            <w:noWrap/>
            <w:vAlign w:val="center"/>
          </w:tcPr>
          <w:p w14:paraId="223ADFE2"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1 000</w:t>
            </w:r>
          </w:p>
        </w:tc>
        <w:tc>
          <w:tcPr>
            <w:tcW w:w="626" w:type="pct"/>
            <w:shd w:val="clear" w:color="auto" w:fill="auto"/>
            <w:noWrap/>
            <w:vAlign w:val="center"/>
          </w:tcPr>
          <w:p w14:paraId="47AB9819"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6 000</w:t>
            </w:r>
          </w:p>
        </w:tc>
        <w:tc>
          <w:tcPr>
            <w:tcW w:w="501" w:type="pct"/>
            <w:shd w:val="clear" w:color="auto" w:fill="auto"/>
            <w:noWrap/>
            <w:vAlign w:val="center"/>
          </w:tcPr>
          <w:p w14:paraId="1CF6DD5D"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5 000</w:t>
            </w:r>
          </w:p>
        </w:tc>
        <w:tc>
          <w:tcPr>
            <w:tcW w:w="591" w:type="pct"/>
            <w:shd w:val="clear" w:color="auto" w:fill="auto"/>
            <w:noWrap/>
            <w:vAlign w:val="center"/>
          </w:tcPr>
          <w:p w14:paraId="4596E9F0"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255,3</w:t>
            </w:r>
          </w:p>
        </w:tc>
      </w:tr>
      <w:tr w:rsidR="00831611" w:rsidRPr="00E53515" w14:paraId="565ECE92" w14:textId="77777777" w:rsidTr="00B141AE">
        <w:trPr>
          <w:trHeight w:val="20"/>
          <w:jc w:val="center"/>
        </w:trPr>
        <w:tc>
          <w:tcPr>
            <w:tcW w:w="2045" w:type="pct"/>
            <w:shd w:val="clear" w:color="auto" w:fill="auto"/>
            <w:noWrap/>
          </w:tcPr>
          <w:p w14:paraId="2037B1DF"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Slovenská konsolidačná, a.s. Bratislava </w:t>
            </w:r>
          </w:p>
        </w:tc>
        <w:tc>
          <w:tcPr>
            <w:tcW w:w="612" w:type="pct"/>
            <w:shd w:val="clear" w:color="auto" w:fill="auto"/>
            <w:noWrap/>
            <w:vAlign w:val="center"/>
          </w:tcPr>
          <w:p w14:paraId="13AF7AA0"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1 742</w:t>
            </w:r>
          </w:p>
        </w:tc>
        <w:tc>
          <w:tcPr>
            <w:tcW w:w="625" w:type="pct"/>
            <w:shd w:val="clear" w:color="auto" w:fill="auto"/>
            <w:noWrap/>
            <w:vAlign w:val="center"/>
          </w:tcPr>
          <w:p w14:paraId="4E0011F5"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1 743</w:t>
            </w:r>
          </w:p>
        </w:tc>
        <w:tc>
          <w:tcPr>
            <w:tcW w:w="626" w:type="pct"/>
            <w:shd w:val="clear" w:color="auto" w:fill="auto"/>
            <w:noWrap/>
            <w:vAlign w:val="center"/>
          </w:tcPr>
          <w:p w14:paraId="73BDC8EE"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2 982</w:t>
            </w:r>
          </w:p>
        </w:tc>
        <w:tc>
          <w:tcPr>
            <w:tcW w:w="501" w:type="pct"/>
            <w:shd w:val="clear" w:color="auto" w:fill="auto"/>
            <w:noWrap/>
            <w:vAlign w:val="center"/>
          </w:tcPr>
          <w:p w14:paraId="52D24600"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1 239</w:t>
            </w:r>
          </w:p>
        </w:tc>
        <w:tc>
          <w:tcPr>
            <w:tcW w:w="591" w:type="pct"/>
            <w:shd w:val="clear" w:color="auto" w:fill="auto"/>
            <w:noWrap/>
            <w:vAlign w:val="center"/>
          </w:tcPr>
          <w:p w14:paraId="67D44B6F"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171,2</w:t>
            </w:r>
          </w:p>
        </w:tc>
      </w:tr>
      <w:tr w:rsidR="00831611" w:rsidRPr="00E53515" w14:paraId="6B5370EF" w14:textId="77777777" w:rsidTr="00B141AE">
        <w:trPr>
          <w:trHeight w:val="20"/>
          <w:jc w:val="center"/>
        </w:trPr>
        <w:tc>
          <w:tcPr>
            <w:tcW w:w="2045" w:type="pct"/>
            <w:shd w:val="clear" w:color="auto" w:fill="auto"/>
            <w:noWrap/>
          </w:tcPr>
          <w:p w14:paraId="0E278A70"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Tipos, národná lotériová spoločnosť, a.s. Bratislava </w:t>
            </w:r>
          </w:p>
        </w:tc>
        <w:tc>
          <w:tcPr>
            <w:tcW w:w="612" w:type="pct"/>
            <w:shd w:val="clear" w:color="auto" w:fill="auto"/>
            <w:noWrap/>
            <w:vAlign w:val="center"/>
          </w:tcPr>
          <w:p w14:paraId="1DF6A489"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6 000</w:t>
            </w:r>
          </w:p>
        </w:tc>
        <w:tc>
          <w:tcPr>
            <w:tcW w:w="625" w:type="pct"/>
            <w:shd w:val="clear" w:color="auto" w:fill="auto"/>
            <w:noWrap/>
            <w:vAlign w:val="center"/>
          </w:tcPr>
          <w:p w14:paraId="1A12D7F1"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3 000</w:t>
            </w:r>
          </w:p>
        </w:tc>
        <w:tc>
          <w:tcPr>
            <w:tcW w:w="626" w:type="pct"/>
            <w:shd w:val="clear" w:color="auto" w:fill="auto"/>
            <w:noWrap/>
            <w:vAlign w:val="center"/>
          </w:tcPr>
          <w:p w14:paraId="5FF2E68E"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2 000</w:t>
            </w:r>
          </w:p>
        </w:tc>
        <w:tc>
          <w:tcPr>
            <w:tcW w:w="501" w:type="pct"/>
            <w:shd w:val="clear" w:color="auto" w:fill="auto"/>
            <w:noWrap/>
            <w:vAlign w:val="center"/>
          </w:tcPr>
          <w:p w14:paraId="0483C3A9"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-1 000</w:t>
            </w:r>
          </w:p>
        </w:tc>
        <w:tc>
          <w:tcPr>
            <w:tcW w:w="591" w:type="pct"/>
            <w:shd w:val="clear" w:color="auto" w:fill="auto"/>
            <w:noWrap/>
            <w:vAlign w:val="center"/>
          </w:tcPr>
          <w:p w14:paraId="4DF5D75A"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33,3</w:t>
            </w:r>
          </w:p>
        </w:tc>
      </w:tr>
      <w:tr w:rsidR="00831611" w:rsidRPr="00E53515" w14:paraId="5C41BA71" w14:textId="77777777" w:rsidTr="00B141AE">
        <w:trPr>
          <w:trHeight w:val="20"/>
          <w:jc w:val="center"/>
        </w:trPr>
        <w:tc>
          <w:tcPr>
            <w:tcW w:w="2045" w:type="pct"/>
            <w:shd w:val="clear" w:color="auto" w:fill="auto"/>
            <w:noWrap/>
          </w:tcPr>
          <w:p w14:paraId="7B206779"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b/>
                <w:bCs/>
                <w:color w:val="000000"/>
                <w:sz w:val="20"/>
                <w:szCs w:val="20"/>
              </w:rPr>
              <w:t xml:space="preserve">Ministerstvo hospodárstva SR </w:t>
            </w:r>
          </w:p>
        </w:tc>
        <w:tc>
          <w:tcPr>
            <w:tcW w:w="612" w:type="pct"/>
            <w:shd w:val="clear" w:color="auto" w:fill="auto"/>
            <w:noWrap/>
            <w:vAlign w:val="center"/>
          </w:tcPr>
          <w:p w14:paraId="252E8777"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6 000</w:t>
            </w:r>
          </w:p>
        </w:tc>
        <w:tc>
          <w:tcPr>
            <w:tcW w:w="625" w:type="pct"/>
            <w:shd w:val="clear" w:color="auto" w:fill="auto"/>
            <w:noWrap/>
            <w:vAlign w:val="center"/>
          </w:tcPr>
          <w:p w14:paraId="050FB979"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9 032</w:t>
            </w:r>
          </w:p>
        </w:tc>
        <w:tc>
          <w:tcPr>
            <w:tcW w:w="626" w:type="pct"/>
            <w:shd w:val="clear" w:color="auto" w:fill="auto"/>
            <w:noWrap/>
            <w:vAlign w:val="center"/>
          </w:tcPr>
          <w:p w14:paraId="474B173F"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4 960</w:t>
            </w:r>
          </w:p>
        </w:tc>
        <w:tc>
          <w:tcPr>
            <w:tcW w:w="501" w:type="pct"/>
            <w:shd w:val="clear" w:color="auto" w:fill="auto"/>
            <w:noWrap/>
            <w:vAlign w:val="center"/>
          </w:tcPr>
          <w:p w14:paraId="26C79FE2"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-4 072</w:t>
            </w:r>
          </w:p>
        </w:tc>
        <w:tc>
          <w:tcPr>
            <w:tcW w:w="591" w:type="pct"/>
            <w:shd w:val="clear" w:color="auto" w:fill="auto"/>
            <w:noWrap/>
            <w:vAlign w:val="center"/>
          </w:tcPr>
          <w:p w14:paraId="534D6C54" w14:textId="77777777" w:rsidR="00831611" w:rsidRPr="005A0FFC" w:rsidRDefault="00831611" w:rsidP="0070471B">
            <w:pPr>
              <w:jc w:val="right"/>
              <w:rPr>
                <w:rFonts w:eastAsia="Times New Roman" w:cs="Arial"/>
                <w:b/>
                <w:bCs/>
                <w:sz w:val="20"/>
                <w:szCs w:val="20"/>
                <w:lang w:eastAsia="sk-SK"/>
              </w:rPr>
            </w:pPr>
            <w:r w:rsidRPr="005A0FFC">
              <w:rPr>
                <w:rFonts w:eastAsia="Times New Roman" w:cs="Arial"/>
                <w:b/>
                <w:bCs/>
                <w:sz w:val="20"/>
                <w:szCs w:val="20"/>
                <w:lang w:eastAsia="sk-SK"/>
              </w:rPr>
              <w:t>82,7</w:t>
            </w:r>
          </w:p>
        </w:tc>
      </w:tr>
      <w:tr w:rsidR="00831611" w:rsidRPr="00E53515" w14:paraId="0F8C233C" w14:textId="77777777" w:rsidTr="00B141AE">
        <w:trPr>
          <w:trHeight w:val="20"/>
          <w:jc w:val="center"/>
        </w:trPr>
        <w:tc>
          <w:tcPr>
            <w:tcW w:w="2045" w:type="pct"/>
            <w:shd w:val="clear" w:color="auto" w:fill="auto"/>
            <w:noWrap/>
          </w:tcPr>
          <w:p w14:paraId="609A586A"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JAVYS, a.s. </w:t>
            </w:r>
          </w:p>
        </w:tc>
        <w:tc>
          <w:tcPr>
            <w:tcW w:w="612" w:type="pct"/>
            <w:shd w:val="clear" w:color="auto" w:fill="auto"/>
            <w:noWrap/>
            <w:vAlign w:val="center"/>
          </w:tcPr>
          <w:p w14:paraId="1C3ED2C5"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6 000</w:t>
            </w:r>
          </w:p>
        </w:tc>
        <w:tc>
          <w:tcPr>
            <w:tcW w:w="625" w:type="pct"/>
            <w:shd w:val="clear" w:color="auto" w:fill="auto"/>
            <w:noWrap/>
            <w:vAlign w:val="center"/>
          </w:tcPr>
          <w:p w14:paraId="31289780"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2 032</w:t>
            </w:r>
          </w:p>
        </w:tc>
        <w:tc>
          <w:tcPr>
            <w:tcW w:w="626" w:type="pct"/>
            <w:shd w:val="clear" w:color="auto" w:fill="auto"/>
            <w:noWrap/>
            <w:vAlign w:val="center"/>
          </w:tcPr>
          <w:p w14:paraId="7D48CB5C"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4 960</w:t>
            </w:r>
          </w:p>
        </w:tc>
        <w:tc>
          <w:tcPr>
            <w:tcW w:w="501" w:type="pct"/>
            <w:shd w:val="clear" w:color="auto" w:fill="auto"/>
            <w:noWrap/>
            <w:vAlign w:val="center"/>
          </w:tcPr>
          <w:p w14:paraId="6CAE7BA9"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2 928</w:t>
            </w:r>
          </w:p>
        </w:tc>
        <w:tc>
          <w:tcPr>
            <w:tcW w:w="591" w:type="pct"/>
            <w:shd w:val="clear" w:color="auto" w:fill="auto"/>
            <w:noWrap/>
            <w:vAlign w:val="center"/>
          </w:tcPr>
          <w:p w14:paraId="7CCAEA51"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82,7</w:t>
            </w:r>
          </w:p>
        </w:tc>
      </w:tr>
      <w:tr w:rsidR="00831611" w:rsidRPr="00E53515" w14:paraId="15F770EF" w14:textId="77777777" w:rsidTr="00B141AE">
        <w:trPr>
          <w:trHeight w:val="20"/>
          <w:jc w:val="center"/>
        </w:trPr>
        <w:tc>
          <w:tcPr>
            <w:tcW w:w="2045" w:type="pct"/>
            <w:shd w:val="clear" w:color="auto" w:fill="auto"/>
            <w:noWrap/>
          </w:tcPr>
          <w:p w14:paraId="0E306760"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Transpetrol, a.s. </w:t>
            </w:r>
          </w:p>
        </w:tc>
        <w:tc>
          <w:tcPr>
            <w:tcW w:w="612" w:type="pct"/>
            <w:shd w:val="clear" w:color="auto" w:fill="auto"/>
            <w:noWrap/>
            <w:vAlign w:val="center"/>
          </w:tcPr>
          <w:p w14:paraId="71FA98A7"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0</w:t>
            </w:r>
          </w:p>
        </w:tc>
        <w:tc>
          <w:tcPr>
            <w:tcW w:w="625" w:type="pct"/>
            <w:shd w:val="clear" w:color="auto" w:fill="auto"/>
            <w:noWrap/>
            <w:vAlign w:val="center"/>
          </w:tcPr>
          <w:p w14:paraId="35BF2326"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7 000</w:t>
            </w:r>
          </w:p>
        </w:tc>
        <w:tc>
          <w:tcPr>
            <w:tcW w:w="626" w:type="pct"/>
            <w:shd w:val="clear" w:color="auto" w:fill="auto"/>
            <w:noWrap/>
            <w:vAlign w:val="center"/>
          </w:tcPr>
          <w:p w14:paraId="00B4329D"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0</w:t>
            </w:r>
          </w:p>
        </w:tc>
        <w:tc>
          <w:tcPr>
            <w:tcW w:w="501" w:type="pct"/>
            <w:shd w:val="clear" w:color="auto" w:fill="auto"/>
            <w:noWrap/>
            <w:vAlign w:val="center"/>
          </w:tcPr>
          <w:p w14:paraId="1C06614B"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-7 000</w:t>
            </w:r>
          </w:p>
        </w:tc>
        <w:tc>
          <w:tcPr>
            <w:tcW w:w="591" w:type="pct"/>
            <w:shd w:val="clear" w:color="auto" w:fill="auto"/>
            <w:noWrap/>
            <w:vAlign w:val="center"/>
          </w:tcPr>
          <w:p w14:paraId="3BCF2CD3"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w:t>
            </w:r>
          </w:p>
        </w:tc>
      </w:tr>
      <w:tr w:rsidR="00831611" w:rsidRPr="00E53515" w14:paraId="748311B4" w14:textId="77777777" w:rsidTr="00B141AE">
        <w:trPr>
          <w:trHeight w:val="20"/>
          <w:jc w:val="center"/>
        </w:trPr>
        <w:tc>
          <w:tcPr>
            <w:tcW w:w="2045" w:type="pct"/>
            <w:shd w:val="clear" w:color="auto" w:fill="auto"/>
            <w:noWrap/>
          </w:tcPr>
          <w:p w14:paraId="50B44D8D"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b/>
                <w:bCs/>
                <w:color w:val="000000"/>
                <w:sz w:val="20"/>
                <w:szCs w:val="20"/>
              </w:rPr>
              <w:t xml:space="preserve">Ministerstvo dopravy a výstavby SR </w:t>
            </w:r>
          </w:p>
        </w:tc>
        <w:tc>
          <w:tcPr>
            <w:tcW w:w="612" w:type="pct"/>
            <w:shd w:val="clear" w:color="auto" w:fill="auto"/>
            <w:noWrap/>
            <w:vAlign w:val="center"/>
          </w:tcPr>
          <w:p w14:paraId="300FF410"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597</w:t>
            </w:r>
          </w:p>
        </w:tc>
        <w:tc>
          <w:tcPr>
            <w:tcW w:w="625" w:type="pct"/>
            <w:shd w:val="clear" w:color="auto" w:fill="auto"/>
            <w:noWrap/>
            <w:vAlign w:val="center"/>
          </w:tcPr>
          <w:p w14:paraId="6F12DB7B"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510</w:t>
            </w:r>
          </w:p>
        </w:tc>
        <w:tc>
          <w:tcPr>
            <w:tcW w:w="626" w:type="pct"/>
            <w:shd w:val="clear" w:color="auto" w:fill="auto"/>
            <w:noWrap/>
            <w:vAlign w:val="center"/>
          </w:tcPr>
          <w:p w14:paraId="417AFD70"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768</w:t>
            </w:r>
          </w:p>
        </w:tc>
        <w:tc>
          <w:tcPr>
            <w:tcW w:w="501" w:type="pct"/>
            <w:shd w:val="clear" w:color="auto" w:fill="auto"/>
            <w:noWrap/>
            <w:vAlign w:val="center"/>
          </w:tcPr>
          <w:p w14:paraId="26597FFD"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258</w:t>
            </w:r>
          </w:p>
        </w:tc>
        <w:tc>
          <w:tcPr>
            <w:tcW w:w="591" w:type="pct"/>
            <w:shd w:val="clear" w:color="auto" w:fill="auto"/>
            <w:noWrap/>
            <w:vAlign w:val="center"/>
          </w:tcPr>
          <w:p w14:paraId="528FDFA1" w14:textId="77777777" w:rsidR="00831611" w:rsidRPr="005A0FFC" w:rsidRDefault="00831611" w:rsidP="0070471B">
            <w:pPr>
              <w:jc w:val="right"/>
              <w:rPr>
                <w:rFonts w:eastAsia="Times New Roman" w:cs="Arial"/>
                <w:b/>
                <w:bCs/>
                <w:sz w:val="20"/>
                <w:szCs w:val="20"/>
                <w:lang w:eastAsia="sk-SK"/>
              </w:rPr>
            </w:pPr>
            <w:r w:rsidRPr="005A0FFC">
              <w:rPr>
                <w:rFonts w:eastAsia="Times New Roman" w:cs="Arial"/>
                <w:b/>
                <w:bCs/>
                <w:sz w:val="20"/>
                <w:szCs w:val="20"/>
                <w:lang w:eastAsia="sk-SK"/>
              </w:rPr>
              <w:t>128,6</w:t>
            </w:r>
          </w:p>
        </w:tc>
      </w:tr>
      <w:tr w:rsidR="00831611" w:rsidRPr="00E53515" w14:paraId="44502232" w14:textId="77777777" w:rsidTr="00B141AE">
        <w:trPr>
          <w:trHeight w:val="20"/>
          <w:jc w:val="center"/>
        </w:trPr>
        <w:tc>
          <w:tcPr>
            <w:tcW w:w="2045" w:type="pct"/>
            <w:shd w:val="clear" w:color="auto" w:fill="auto"/>
            <w:noWrap/>
          </w:tcPr>
          <w:p w14:paraId="634B2E02"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Letisko Košice - Airport Košice, a.s. </w:t>
            </w:r>
          </w:p>
        </w:tc>
        <w:tc>
          <w:tcPr>
            <w:tcW w:w="612" w:type="pct"/>
            <w:shd w:val="clear" w:color="auto" w:fill="auto"/>
            <w:noWrap/>
            <w:vAlign w:val="center"/>
          </w:tcPr>
          <w:p w14:paraId="5630FA3C"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570</w:t>
            </w:r>
          </w:p>
        </w:tc>
        <w:tc>
          <w:tcPr>
            <w:tcW w:w="625" w:type="pct"/>
            <w:shd w:val="clear" w:color="auto" w:fill="auto"/>
            <w:noWrap/>
            <w:vAlign w:val="center"/>
          </w:tcPr>
          <w:p w14:paraId="2FFCC523"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510</w:t>
            </w:r>
          </w:p>
        </w:tc>
        <w:tc>
          <w:tcPr>
            <w:tcW w:w="626" w:type="pct"/>
            <w:shd w:val="clear" w:color="auto" w:fill="auto"/>
            <w:noWrap/>
            <w:vAlign w:val="center"/>
          </w:tcPr>
          <w:p w14:paraId="0F23946D"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757</w:t>
            </w:r>
          </w:p>
        </w:tc>
        <w:tc>
          <w:tcPr>
            <w:tcW w:w="501" w:type="pct"/>
            <w:shd w:val="clear" w:color="auto" w:fill="auto"/>
            <w:noWrap/>
            <w:vAlign w:val="center"/>
          </w:tcPr>
          <w:p w14:paraId="6301E2BA"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247</w:t>
            </w:r>
          </w:p>
        </w:tc>
        <w:tc>
          <w:tcPr>
            <w:tcW w:w="591" w:type="pct"/>
            <w:shd w:val="clear" w:color="auto" w:fill="auto"/>
            <w:noWrap/>
            <w:vAlign w:val="center"/>
          </w:tcPr>
          <w:p w14:paraId="5A63DE33"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132,8</w:t>
            </w:r>
          </w:p>
        </w:tc>
      </w:tr>
      <w:tr w:rsidR="00831611" w:rsidRPr="00E53515" w14:paraId="6BF87437" w14:textId="77777777" w:rsidTr="00B141AE">
        <w:trPr>
          <w:trHeight w:val="20"/>
          <w:jc w:val="center"/>
        </w:trPr>
        <w:tc>
          <w:tcPr>
            <w:tcW w:w="2045" w:type="pct"/>
            <w:shd w:val="clear" w:color="auto" w:fill="auto"/>
            <w:noWrap/>
          </w:tcPr>
          <w:p w14:paraId="513C9F92"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Poštová banka, a.s. </w:t>
            </w:r>
          </w:p>
        </w:tc>
        <w:tc>
          <w:tcPr>
            <w:tcW w:w="612" w:type="pct"/>
            <w:shd w:val="clear" w:color="auto" w:fill="auto"/>
            <w:noWrap/>
            <w:vAlign w:val="center"/>
          </w:tcPr>
          <w:p w14:paraId="1DC281DA"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7</w:t>
            </w:r>
          </w:p>
        </w:tc>
        <w:tc>
          <w:tcPr>
            <w:tcW w:w="625" w:type="pct"/>
            <w:shd w:val="clear" w:color="auto" w:fill="auto"/>
            <w:noWrap/>
            <w:vAlign w:val="center"/>
          </w:tcPr>
          <w:p w14:paraId="49FC4B8E"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0</w:t>
            </w:r>
          </w:p>
        </w:tc>
        <w:tc>
          <w:tcPr>
            <w:tcW w:w="626" w:type="pct"/>
            <w:shd w:val="clear" w:color="auto" w:fill="auto"/>
            <w:noWrap/>
            <w:vAlign w:val="center"/>
          </w:tcPr>
          <w:p w14:paraId="6EEB6BBD"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11</w:t>
            </w:r>
          </w:p>
        </w:tc>
        <w:tc>
          <w:tcPr>
            <w:tcW w:w="501" w:type="pct"/>
            <w:shd w:val="clear" w:color="auto" w:fill="auto"/>
            <w:noWrap/>
            <w:vAlign w:val="center"/>
          </w:tcPr>
          <w:p w14:paraId="589113BD"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11</w:t>
            </w:r>
          </w:p>
        </w:tc>
        <w:tc>
          <w:tcPr>
            <w:tcW w:w="591" w:type="pct"/>
            <w:shd w:val="clear" w:color="auto" w:fill="auto"/>
            <w:noWrap/>
            <w:vAlign w:val="center"/>
          </w:tcPr>
          <w:p w14:paraId="50AF3105"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157,1</w:t>
            </w:r>
          </w:p>
        </w:tc>
      </w:tr>
      <w:tr w:rsidR="00831611" w:rsidRPr="00E53515" w14:paraId="7379F72C" w14:textId="77777777" w:rsidTr="00B141AE">
        <w:trPr>
          <w:trHeight w:val="20"/>
          <w:jc w:val="center"/>
        </w:trPr>
        <w:tc>
          <w:tcPr>
            <w:tcW w:w="2045" w:type="pct"/>
            <w:shd w:val="clear" w:color="auto" w:fill="auto"/>
            <w:noWrap/>
          </w:tcPr>
          <w:p w14:paraId="358F554C"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Letisko Sliač, a.s. </w:t>
            </w:r>
          </w:p>
        </w:tc>
        <w:tc>
          <w:tcPr>
            <w:tcW w:w="612" w:type="pct"/>
            <w:shd w:val="clear" w:color="auto" w:fill="auto"/>
            <w:noWrap/>
            <w:vAlign w:val="center"/>
          </w:tcPr>
          <w:p w14:paraId="56C80D10"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20</w:t>
            </w:r>
          </w:p>
        </w:tc>
        <w:tc>
          <w:tcPr>
            <w:tcW w:w="625" w:type="pct"/>
            <w:shd w:val="clear" w:color="auto" w:fill="auto"/>
            <w:noWrap/>
            <w:vAlign w:val="center"/>
          </w:tcPr>
          <w:p w14:paraId="53AA1174"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0</w:t>
            </w:r>
          </w:p>
        </w:tc>
        <w:tc>
          <w:tcPr>
            <w:tcW w:w="626" w:type="pct"/>
            <w:shd w:val="clear" w:color="auto" w:fill="auto"/>
            <w:noWrap/>
            <w:vAlign w:val="center"/>
          </w:tcPr>
          <w:p w14:paraId="3E6C6589"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0</w:t>
            </w:r>
          </w:p>
        </w:tc>
        <w:tc>
          <w:tcPr>
            <w:tcW w:w="501" w:type="pct"/>
            <w:shd w:val="clear" w:color="auto" w:fill="auto"/>
            <w:noWrap/>
            <w:vAlign w:val="center"/>
          </w:tcPr>
          <w:p w14:paraId="5F7FFCCE"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0</w:t>
            </w:r>
          </w:p>
        </w:tc>
        <w:tc>
          <w:tcPr>
            <w:tcW w:w="591" w:type="pct"/>
            <w:shd w:val="clear" w:color="auto" w:fill="auto"/>
            <w:noWrap/>
            <w:vAlign w:val="center"/>
          </w:tcPr>
          <w:p w14:paraId="4C1241FA"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0,0</w:t>
            </w:r>
          </w:p>
        </w:tc>
      </w:tr>
      <w:tr w:rsidR="00831611" w:rsidRPr="00E53515" w14:paraId="5DF4DF68" w14:textId="77777777" w:rsidTr="00B141AE">
        <w:trPr>
          <w:trHeight w:val="20"/>
          <w:jc w:val="center"/>
        </w:trPr>
        <w:tc>
          <w:tcPr>
            <w:tcW w:w="2045" w:type="pct"/>
            <w:shd w:val="clear" w:color="auto" w:fill="auto"/>
            <w:noWrap/>
          </w:tcPr>
          <w:p w14:paraId="290C4DA5" w14:textId="77777777" w:rsidR="00831611" w:rsidRPr="00EC5FA0" w:rsidRDefault="00831611" w:rsidP="0070471B">
            <w:pPr>
              <w:autoSpaceDE w:val="0"/>
              <w:autoSpaceDN w:val="0"/>
              <w:adjustRightInd w:val="0"/>
              <w:rPr>
                <w:rFonts w:cs="Times New Roman"/>
                <w:color w:val="000000"/>
                <w:sz w:val="20"/>
                <w:szCs w:val="20"/>
              </w:rPr>
            </w:pPr>
            <w:r>
              <w:rPr>
                <w:rFonts w:cs="Times New Roman"/>
                <w:b/>
                <w:bCs/>
                <w:color w:val="000000"/>
                <w:sz w:val="20"/>
                <w:szCs w:val="20"/>
              </w:rPr>
              <w:t>Ministerstvo zahraničných</w:t>
            </w:r>
            <w:r w:rsidRPr="00EC5FA0">
              <w:rPr>
                <w:rFonts w:cs="Times New Roman"/>
                <w:b/>
                <w:bCs/>
                <w:color w:val="000000"/>
                <w:sz w:val="20"/>
                <w:szCs w:val="20"/>
              </w:rPr>
              <w:t xml:space="preserve"> vecí a európskych záležitostí SR </w:t>
            </w:r>
          </w:p>
        </w:tc>
        <w:tc>
          <w:tcPr>
            <w:tcW w:w="612" w:type="pct"/>
            <w:shd w:val="clear" w:color="auto" w:fill="auto"/>
            <w:noWrap/>
            <w:vAlign w:val="center"/>
          </w:tcPr>
          <w:p w14:paraId="580B73C1"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213</w:t>
            </w:r>
          </w:p>
        </w:tc>
        <w:tc>
          <w:tcPr>
            <w:tcW w:w="625" w:type="pct"/>
            <w:shd w:val="clear" w:color="auto" w:fill="auto"/>
            <w:noWrap/>
            <w:vAlign w:val="center"/>
          </w:tcPr>
          <w:p w14:paraId="4A649186"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217</w:t>
            </w:r>
          </w:p>
        </w:tc>
        <w:tc>
          <w:tcPr>
            <w:tcW w:w="626" w:type="pct"/>
            <w:shd w:val="clear" w:color="auto" w:fill="auto"/>
            <w:noWrap/>
            <w:vAlign w:val="center"/>
          </w:tcPr>
          <w:p w14:paraId="0F2F966D"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216</w:t>
            </w:r>
          </w:p>
        </w:tc>
        <w:tc>
          <w:tcPr>
            <w:tcW w:w="501" w:type="pct"/>
            <w:shd w:val="clear" w:color="auto" w:fill="auto"/>
            <w:noWrap/>
            <w:vAlign w:val="center"/>
          </w:tcPr>
          <w:p w14:paraId="2FAA97C9"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-1</w:t>
            </w:r>
          </w:p>
        </w:tc>
        <w:tc>
          <w:tcPr>
            <w:tcW w:w="591" w:type="pct"/>
            <w:shd w:val="clear" w:color="auto" w:fill="auto"/>
            <w:noWrap/>
            <w:vAlign w:val="center"/>
          </w:tcPr>
          <w:p w14:paraId="3E8DB8BC"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101,4</w:t>
            </w:r>
          </w:p>
        </w:tc>
      </w:tr>
      <w:tr w:rsidR="00831611" w:rsidRPr="00E53515" w14:paraId="481DAEF8" w14:textId="77777777" w:rsidTr="00B141AE">
        <w:trPr>
          <w:trHeight w:val="20"/>
          <w:jc w:val="center"/>
        </w:trPr>
        <w:tc>
          <w:tcPr>
            <w:tcW w:w="2045" w:type="pct"/>
            <w:shd w:val="clear" w:color="auto" w:fill="auto"/>
            <w:noWrap/>
          </w:tcPr>
          <w:p w14:paraId="162B9431"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t xml:space="preserve">Správa služieb diplomatického zboru, a.s. </w:t>
            </w:r>
          </w:p>
        </w:tc>
        <w:tc>
          <w:tcPr>
            <w:tcW w:w="612" w:type="pct"/>
            <w:shd w:val="clear" w:color="auto" w:fill="auto"/>
            <w:noWrap/>
            <w:vAlign w:val="center"/>
          </w:tcPr>
          <w:p w14:paraId="20E0D57F"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213</w:t>
            </w:r>
          </w:p>
        </w:tc>
        <w:tc>
          <w:tcPr>
            <w:tcW w:w="625" w:type="pct"/>
            <w:shd w:val="clear" w:color="auto" w:fill="auto"/>
            <w:noWrap/>
            <w:vAlign w:val="center"/>
          </w:tcPr>
          <w:p w14:paraId="6C6B3DBA"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217</w:t>
            </w:r>
          </w:p>
        </w:tc>
        <w:tc>
          <w:tcPr>
            <w:tcW w:w="626" w:type="pct"/>
            <w:shd w:val="clear" w:color="auto" w:fill="auto"/>
            <w:noWrap/>
            <w:vAlign w:val="center"/>
          </w:tcPr>
          <w:p w14:paraId="692C0B8B"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216</w:t>
            </w:r>
          </w:p>
        </w:tc>
        <w:tc>
          <w:tcPr>
            <w:tcW w:w="501" w:type="pct"/>
            <w:shd w:val="clear" w:color="auto" w:fill="auto"/>
            <w:noWrap/>
            <w:vAlign w:val="center"/>
          </w:tcPr>
          <w:p w14:paraId="59C3C0D1"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-1</w:t>
            </w:r>
          </w:p>
        </w:tc>
        <w:tc>
          <w:tcPr>
            <w:tcW w:w="591" w:type="pct"/>
            <w:shd w:val="clear" w:color="auto" w:fill="auto"/>
            <w:noWrap/>
            <w:vAlign w:val="center"/>
          </w:tcPr>
          <w:p w14:paraId="45C8EC4A"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101,4</w:t>
            </w:r>
          </w:p>
        </w:tc>
      </w:tr>
      <w:tr w:rsidR="00831611" w:rsidRPr="00E53515" w14:paraId="3602B347" w14:textId="77777777" w:rsidTr="00B141AE">
        <w:trPr>
          <w:trHeight w:val="20"/>
          <w:jc w:val="center"/>
        </w:trPr>
        <w:tc>
          <w:tcPr>
            <w:tcW w:w="2045" w:type="pct"/>
            <w:shd w:val="clear" w:color="auto" w:fill="auto"/>
            <w:noWrap/>
          </w:tcPr>
          <w:p w14:paraId="35CE4300"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b/>
                <w:bCs/>
                <w:color w:val="000000"/>
                <w:sz w:val="20"/>
                <w:szCs w:val="20"/>
              </w:rPr>
              <w:t xml:space="preserve">Ministerstvo práce, sociálnych vecí a rodiny SR </w:t>
            </w:r>
          </w:p>
        </w:tc>
        <w:tc>
          <w:tcPr>
            <w:tcW w:w="612" w:type="pct"/>
            <w:shd w:val="clear" w:color="auto" w:fill="auto"/>
            <w:noWrap/>
            <w:vAlign w:val="center"/>
          </w:tcPr>
          <w:p w14:paraId="44ED27D9"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63</w:t>
            </w:r>
          </w:p>
        </w:tc>
        <w:tc>
          <w:tcPr>
            <w:tcW w:w="625" w:type="pct"/>
            <w:shd w:val="clear" w:color="auto" w:fill="auto"/>
            <w:noWrap/>
            <w:vAlign w:val="center"/>
          </w:tcPr>
          <w:p w14:paraId="591E894C"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32</w:t>
            </w:r>
          </w:p>
        </w:tc>
        <w:tc>
          <w:tcPr>
            <w:tcW w:w="626" w:type="pct"/>
            <w:shd w:val="clear" w:color="auto" w:fill="auto"/>
            <w:noWrap/>
            <w:vAlign w:val="center"/>
          </w:tcPr>
          <w:p w14:paraId="0385FDCF"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53</w:t>
            </w:r>
          </w:p>
        </w:tc>
        <w:tc>
          <w:tcPr>
            <w:tcW w:w="501" w:type="pct"/>
            <w:shd w:val="clear" w:color="auto" w:fill="auto"/>
            <w:noWrap/>
            <w:vAlign w:val="center"/>
          </w:tcPr>
          <w:p w14:paraId="46668F78"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21</w:t>
            </w:r>
          </w:p>
        </w:tc>
        <w:tc>
          <w:tcPr>
            <w:tcW w:w="591" w:type="pct"/>
            <w:shd w:val="clear" w:color="auto" w:fill="auto"/>
            <w:noWrap/>
            <w:vAlign w:val="center"/>
          </w:tcPr>
          <w:p w14:paraId="679ABAF2" w14:textId="77777777" w:rsidR="00831611" w:rsidRPr="005A0FFC" w:rsidRDefault="00831611" w:rsidP="0070471B">
            <w:pPr>
              <w:jc w:val="right"/>
              <w:rPr>
                <w:rFonts w:eastAsia="Times New Roman" w:cs="Arial"/>
                <w:b/>
                <w:bCs/>
                <w:sz w:val="20"/>
                <w:szCs w:val="20"/>
                <w:lang w:eastAsia="sk-SK"/>
              </w:rPr>
            </w:pPr>
            <w:r w:rsidRPr="005A0FFC">
              <w:rPr>
                <w:rFonts w:eastAsia="Times New Roman" w:cs="Arial"/>
                <w:b/>
                <w:bCs/>
                <w:sz w:val="20"/>
                <w:szCs w:val="20"/>
                <w:lang w:eastAsia="sk-SK"/>
              </w:rPr>
              <w:t>84,1</w:t>
            </w:r>
          </w:p>
        </w:tc>
      </w:tr>
      <w:tr w:rsidR="00831611" w:rsidRPr="00E53515" w14:paraId="2F837294" w14:textId="77777777" w:rsidTr="00B141AE">
        <w:trPr>
          <w:trHeight w:val="20"/>
          <w:jc w:val="center"/>
        </w:trPr>
        <w:tc>
          <w:tcPr>
            <w:tcW w:w="2045" w:type="pct"/>
            <w:shd w:val="clear" w:color="auto" w:fill="auto"/>
            <w:noWrap/>
          </w:tcPr>
          <w:p w14:paraId="20A46AB6" w14:textId="77777777" w:rsidR="00831611" w:rsidRPr="00EC5FA0" w:rsidRDefault="00831611" w:rsidP="0070471B">
            <w:pPr>
              <w:autoSpaceDE w:val="0"/>
              <w:autoSpaceDN w:val="0"/>
              <w:adjustRightInd w:val="0"/>
              <w:rPr>
                <w:rFonts w:cs="Times New Roman"/>
                <w:color w:val="000000"/>
                <w:sz w:val="20"/>
                <w:szCs w:val="20"/>
              </w:rPr>
            </w:pPr>
            <w:r w:rsidRPr="00EC5FA0">
              <w:rPr>
                <w:rFonts w:cs="Times New Roman"/>
                <w:color w:val="000000"/>
                <w:sz w:val="20"/>
                <w:szCs w:val="20"/>
              </w:rPr>
              <w:lastRenderedPageBreak/>
              <w:t xml:space="preserve">Technická inšpekcia, a.s. Bratislava </w:t>
            </w:r>
          </w:p>
        </w:tc>
        <w:tc>
          <w:tcPr>
            <w:tcW w:w="612" w:type="pct"/>
            <w:shd w:val="clear" w:color="auto" w:fill="auto"/>
            <w:noWrap/>
            <w:vAlign w:val="center"/>
          </w:tcPr>
          <w:p w14:paraId="5E9E7945"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63</w:t>
            </w:r>
          </w:p>
        </w:tc>
        <w:tc>
          <w:tcPr>
            <w:tcW w:w="625" w:type="pct"/>
            <w:shd w:val="clear" w:color="auto" w:fill="auto"/>
            <w:noWrap/>
            <w:vAlign w:val="center"/>
          </w:tcPr>
          <w:p w14:paraId="009F2BE7"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32</w:t>
            </w:r>
          </w:p>
        </w:tc>
        <w:tc>
          <w:tcPr>
            <w:tcW w:w="626" w:type="pct"/>
            <w:shd w:val="clear" w:color="auto" w:fill="auto"/>
            <w:noWrap/>
            <w:vAlign w:val="center"/>
          </w:tcPr>
          <w:p w14:paraId="7563FC9B"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53</w:t>
            </w:r>
          </w:p>
        </w:tc>
        <w:tc>
          <w:tcPr>
            <w:tcW w:w="501" w:type="pct"/>
            <w:shd w:val="clear" w:color="auto" w:fill="auto"/>
            <w:noWrap/>
            <w:vAlign w:val="center"/>
          </w:tcPr>
          <w:p w14:paraId="17DEAF49" w14:textId="77777777" w:rsidR="00831611" w:rsidRPr="005A0FFC" w:rsidRDefault="00831611" w:rsidP="0070471B">
            <w:pPr>
              <w:jc w:val="right"/>
              <w:rPr>
                <w:rFonts w:eastAsia="Times New Roman" w:cs="Arial"/>
                <w:color w:val="000000"/>
                <w:sz w:val="20"/>
                <w:szCs w:val="20"/>
                <w:lang w:eastAsia="sk-SK"/>
              </w:rPr>
            </w:pPr>
            <w:r w:rsidRPr="005A0FFC">
              <w:rPr>
                <w:rFonts w:eastAsia="Times New Roman" w:cs="Arial"/>
                <w:color w:val="000000"/>
                <w:sz w:val="20"/>
                <w:szCs w:val="20"/>
                <w:lang w:eastAsia="sk-SK"/>
              </w:rPr>
              <w:t>21</w:t>
            </w:r>
          </w:p>
        </w:tc>
        <w:tc>
          <w:tcPr>
            <w:tcW w:w="591" w:type="pct"/>
            <w:shd w:val="clear" w:color="auto" w:fill="auto"/>
            <w:noWrap/>
            <w:vAlign w:val="center"/>
          </w:tcPr>
          <w:p w14:paraId="54F754F7" w14:textId="77777777" w:rsidR="00831611" w:rsidRPr="005A0FFC" w:rsidRDefault="00831611" w:rsidP="0070471B">
            <w:pPr>
              <w:jc w:val="right"/>
              <w:rPr>
                <w:rFonts w:eastAsia="Times New Roman" w:cs="Arial"/>
                <w:sz w:val="20"/>
                <w:szCs w:val="20"/>
                <w:lang w:eastAsia="sk-SK"/>
              </w:rPr>
            </w:pPr>
            <w:r w:rsidRPr="005A0FFC">
              <w:rPr>
                <w:rFonts w:eastAsia="Times New Roman" w:cs="Arial"/>
                <w:sz w:val="20"/>
                <w:szCs w:val="20"/>
                <w:lang w:eastAsia="sk-SK"/>
              </w:rPr>
              <w:t>84,1</w:t>
            </w:r>
          </w:p>
        </w:tc>
      </w:tr>
      <w:tr w:rsidR="00831611" w:rsidRPr="00E53515" w14:paraId="04B991EE" w14:textId="77777777" w:rsidTr="00B141AE">
        <w:trPr>
          <w:trHeight w:val="20"/>
          <w:jc w:val="center"/>
        </w:trPr>
        <w:tc>
          <w:tcPr>
            <w:tcW w:w="2045" w:type="pct"/>
            <w:shd w:val="clear" w:color="auto" w:fill="D9D9D9" w:themeFill="background1" w:themeFillShade="D9"/>
            <w:noWrap/>
            <w:vAlign w:val="center"/>
          </w:tcPr>
          <w:p w14:paraId="60CF725A" w14:textId="77777777" w:rsidR="00831611" w:rsidRPr="00E53515" w:rsidRDefault="00831611" w:rsidP="0070471B">
            <w:pPr>
              <w:rPr>
                <w:rFonts w:eastAsia="Times New Roman" w:cs="Arial"/>
                <w:b/>
                <w:bCs/>
                <w:sz w:val="20"/>
                <w:szCs w:val="20"/>
                <w:lang w:eastAsia="sk-SK"/>
              </w:rPr>
            </w:pPr>
            <w:r w:rsidRPr="00E53515">
              <w:rPr>
                <w:rFonts w:eastAsia="Times New Roman" w:cs="Arial"/>
                <w:b/>
                <w:bCs/>
                <w:sz w:val="20"/>
                <w:szCs w:val="20"/>
                <w:lang w:eastAsia="sk-SK"/>
              </w:rPr>
              <w:t>Spolu</w:t>
            </w:r>
          </w:p>
        </w:tc>
        <w:tc>
          <w:tcPr>
            <w:tcW w:w="612" w:type="pct"/>
            <w:shd w:val="clear" w:color="auto" w:fill="D9D9D9" w:themeFill="background1" w:themeFillShade="D9"/>
            <w:noWrap/>
            <w:vAlign w:val="center"/>
          </w:tcPr>
          <w:p w14:paraId="1162D7B1"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438 596</w:t>
            </w:r>
          </w:p>
        </w:tc>
        <w:tc>
          <w:tcPr>
            <w:tcW w:w="625" w:type="pct"/>
            <w:shd w:val="clear" w:color="auto" w:fill="D9D9D9" w:themeFill="background1" w:themeFillShade="D9"/>
            <w:noWrap/>
            <w:vAlign w:val="center"/>
          </w:tcPr>
          <w:p w14:paraId="17F9517C"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432 701</w:t>
            </w:r>
          </w:p>
        </w:tc>
        <w:tc>
          <w:tcPr>
            <w:tcW w:w="626" w:type="pct"/>
            <w:shd w:val="clear" w:color="auto" w:fill="D9D9D9" w:themeFill="background1" w:themeFillShade="D9"/>
            <w:noWrap/>
            <w:vAlign w:val="center"/>
          </w:tcPr>
          <w:p w14:paraId="52B7ADA8"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504 450</w:t>
            </w:r>
          </w:p>
        </w:tc>
        <w:tc>
          <w:tcPr>
            <w:tcW w:w="501" w:type="pct"/>
            <w:shd w:val="clear" w:color="auto" w:fill="D9D9D9" w:themeFill="background1" w:themeFillShade="D9"/>
            <w:noWrap/>
            <w:vAlign w:val="center"/>
          </w:tcPr>
          <w:p w14:paraId="6B8DD4EE" w14:textId="77777777" w:rsidR="00831611" w:rsidRPr="005A0FFC" w:rsidRDefault="00831611" w:rsidP="0070471B">
            <w:pPr>
              <w:jc w:val="right"/>
              <w:rPr>
                <w:rFonts w:eastAsia="Times New Roman" w:cs="Arial"/>
                <w:b/>
                <w:bCs/>
                <w:color w:val="000000"/>
                <w:sz w:val="20"/>
                <w:szCs w:val="20"/>
                <w:lang w:eastAsia="sk-SK"/>
              </w:rPr>
            </w:pPr>
            <w:r w:rsidRPr="005A0FFC">
              <w:rPr>
                <w:rFonts w:eastAsia="Times New Roman" w:cs="Arial"/>
                <w:b/>
                <w:bCs/>
                <w:color w:val="000000"/>
                <w:sz w:val="20"/>
                <w:szCs w:val="20"/>
                <w:lang w:eastAsia="sk-SK"/>
              </w:rPr>
              <w:t>71 749</w:t>
            </w:r>
          </w:p>
        </w:tc>
        <w:tc>
          <w:tcPr>
            <w:tcW w:w="591" w:type="pct"/>
            <w:shd w:val="clear" w:color="auto" w:fill="D9D9D9" w:themeFill="background1" w:themeFillShade="D9"/>
            <w:noWrap/>
            <w:vAlign w:val="center"/>
          </w:tcPr>
          <w:p w14:paraId="3B2E9291" w14:textId="77777777" w:rsidR="00831611" w:rsidRPr="005A0FFC" w:rsidRDefault="00831611" w:rsidP="0070471B">
            <w:pPr>
              <w:jc w:val="right"/>
              <w:rPr>
                <w:rFonts w:eastAsia="Times New Roman" w:cs="Arial"/>
                <w:b/>
                <w:bCs/>
                <w:sz w:val="20"/>
                <w:szCs w:val="20"/>
                <w:lang w:eastAsia="sk-SK"/>
              </w:rPr>
            </w:pPr>
            <w:r w:rsidRPr="005A0FFC">
              <w:rPr>
                <w:rFonts w:eastAsia="Times New Roman" w:cs="Arial"/>
                <w:b/>
                <w:bCs/>
                <w:sz w:val="20"/>
                <w:szCs w:val="20"/>
                <w:lang w:eastAsia="sk-SK"/>
              </w:rPr>
              <w:t>115,0</w:t>
            </w:r>
          </w:p>
        </w:tc>
      </w:tr>
    </w:tbl>
    <w:p w14:paraId="5E20155A" w14:textId="77777777" w:rsidR="00831611" w:rsidRPr="00831611" w:rsidRDefault="00831611" w:rsidP="00831611">
      <w:pPr>
        <w:rPr>
          <w:rFonts w:eastAsia="Calibri" w:cs="Times New Roman"/>
          <w:i/>
          <w:sz w:val="18"/>
          <w:szCs w:val="20"/>
        </w:rPr>
      </w:pPr>
      <w:r w:rsidRPr="00831611">
        <w:rPr>
          <w:rFonts w:eastAsia="Calibri" w:cs="Times New Roman"/>
          <w:i/>
          <w:sz w:val="18"/>
          <w:szCs w:val="20"/>
        </w:rPr>
        <w:t>Zdroj: Návrh ŠZÚ za rok 2019</w:t>
      </w:r>
    </w:p>
    <w:p w14:paraId="38095696" w14:textId="59126A95" w:rsidR="008D37F3" w:rsidRPr="00220EB0" w:rsidRDefault="00280126" w:rsidP="003C2E0B">
      <w:pPr>
        <w:spacing w:before="120"/>
        <w:rPr>
          <w:rFonts w:eastAsia="Calibri" w:cs="Times New Roman"/>
          <w:b/>
          <w:i/>
        </w:rPr>
      </w:pPr>
      <w:r w:rsidRPr="00220EB0">
        <w:rPr>
          <w:rFonts w:eastAsia="Calibri" w:cs="Times New Roman"/>
          <w:b/>
          <w:i/>
        </w:rPr>
        <w:t xml:space="preserve">Tabuľka </w:t>
      </w:r>
      <w:r w:rsidR="006314F6" w:rsidRPr="00220EB0">
        <w:rPr>
          <w:rFonts w:eastAsia="Calibri" w:cs="Times New Roman"/>
          <w:b/>
          <w:i/>
        </w:rPr>
        <w:t>7</w:t>
      </w:r>
      <w:r w:rsidR="005B7EA6" w:rsidRPr="00220EB0">
        <w:rPr>
          <w:rFonts w:eastAsia="Calibri" w:cs="Times New Roman"/>
          <w:b/>
          <w:i/>
        </w:rPr>
        <w:t>:</w:t>
      </w:r>
      <w:r w:rsidR="008D37F3" w:rsidRPr="00220EB0">
        <w:rPr>
          <w:rFonts w:eastAsia="Calibri" w:cs="Times New Roman"/>
          <w:b/>
          <w:i/>
        </w:rPr>
        <w:t xml:space="preserve"> Príjmy podľa kapitol ŠR </w:t>
      </w:r>
      <w:r w:rsidR="00711800" w:rsidRPr="00220EB0">
        <w:rPr>
          <w:rFonts w:eastAsia="Calibri" w:cs="Times New Roman"/>
          <w:b/>
          <w:i/>
        </w:rPr>
        <w:t>na hotovostnej báze za roky 2018 a 2019</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6"/>
        <w:gridCol w:w="1136"/>
        <w:gridCol w:w="993"/>
        <w:gridCol w:w="1134"/>
        <w:gridCol w:w="1134"/>
        <w:gridCol w:w="849"/>
        <w:gridCol w:w="831"/>
      </w:tblGrid>
      <w:tr w:rsidR="00711800" w:rsidRPr="003C2E0B" w14:paraId="52B38B17" w14:textId="77777777" w:rsidTr="00B141AE">
        <w:trPr>
          <w:trHeight w:val="170"/>
          <w:tblHeader/>
        </w:trPr>
        <w:tc>
          <w:tcPr>
            <w:tcW w:w="1694" w:type="pct"/>
            <w:vMerge w:val="restart"/>
            <w:shd w:val="clear" w:color="auto" w:fill="0070C0"/>
            <w:vAlign w:val="center"/>
          </w:tcPr>
          <w:p w14:paraId="03087115" w14:textId="27747687" w:rsidR="00711800" w:rsidRPr="003C2E0B" w:rsidRDefault="00B141AE" w:rsidP="00303737">
            <w:pPr>
              <w:rPr>
                <w:rFonts w:eastAsia="Calibri" w:cs="Times New Roman"/>
                <w:b/>
                <w:bCs/>
                <w:color w:val="FFFFFF"/>
                <w:sz w:val="20"/>
                <w:szCs w:val="20"/>
              </w:rPr>
            </w:pPr>
            <w:r>
              <w:rPr>
                <w:rFonts w:eastAsia="Calibri" w:cs="Times New Roman"/>
                <w:b/>
                <w:bCs/>
                <w:color w:val="FFFFFF"/>
                <w:sz w:val="20"/>
                <w:szCs w:val="20"/>
              </w:rPr>
              <w:t xml:space="preserve">Ukazovateľ </w:t>
            </w:r>
            <w:r w:rsidR="00711800" w:rsidRPr="003C2E0B">
              <w:rPr>
                <w:rFonts w:eastAsia="Calibri" w:cs="Times New Roman"/>
                <w:b/>
                <w:bCs/>
                <w:color w:val="FFFFFF"/>
                <w:sz w:val="20"/>
                <w:szCs w:val="20"/>
              </w:rPr>
              <w:t>(v tis. eur)</w:t>
            </w:r>
          </w:p>
        </w:tc>
        <w:tc>
          <w:tcPr>
            <w:tcW w:w="618" w:type="pct"/>
            <w:vMerge w:val="restart"/>
            <w:shd w:val="clear" w:color="auto" w:fill="0070C0"/>
            <w:vAlign w:val="center"/>
          </w:tcPr>
          <w:p w14:paraId="75E6EFC4"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Skutočnosť 2018</w:t>
            </w:r>
          </w:p>
        </w:tc>
        <w:tc>
          <w:tcPr>
            <w:tcW w:w="1157" w:type="pct"/>
            <w:gridSpan w:val="2"/>
            <w:shd w:val="clear" w:color="auto" w:fill="0070C0"/>
            <w:vAlign w:val="center"/>
          </w:tcPr>
          <w:p w14:paraId="37893ACD"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Rozpočet 2019</w:t>
            </w:r>
          </w:p>
        </w:tc>
        <w:tc>
          <w:tcPr>
            <w:tcW w:w="617" w:type="pct"/>
            <w:vMerge w:val="restart"/>
            <w:shd w:val="clear" w:color="auto" w:fill="0070C0"/>
          </w:tcPr>
          <w:p w14:paraId="26A199F9"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Skutočnosť</w:t>
            </w:r>
          </w:p>
          <w:p w14:paraId="209CB495"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2019</w:t>
            </w:r>
          </w:p>
        </w:tc>
        <w:tc>
          <w:tcPr>
            <w:tcW w:w="462" w:type="pct"/>
            <w:vMerge w:val="restart"/>
            <w:shd w:val="clear" w:color="auto" w:fill="0070C0"/>
            <w:vAlign w:val="center"/>
          </w:tcPr>
          <w:p w14:paraId="36C88AC7"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Rozdiel</w:t>
            </w:r>
          </w:p>
        </w:tc>
        <w:tc>
          <w:tcPr>
            <w:tcW w:w="453" w:type="pct"/>
            <w:vMerge w:val="restart"/>
            <w:shd w:val="clear" w:color="auto" w:fill="0070C0"/>
            <w:vAlign w:val="center"/>
          </w:tcPr>
          <w:p w14:paraId="4680B52E" w14:textId="71D118C3" w:rsidR="00711800" w:rsidRPr="003C2E0B" w:rsidRDefault="0072153C" w:rsidP="0072153C">
            <w:pPr>
              <w:jc w:val="center"/>
              <w:rPr>
                <w:rFonts w:eastAsia="Calibri" w:cs="Times New Roman"/>
                <w:b/>
                <w:bCs/>
                <w:color w:val="FFFFFF"/>
                <w:sz w:val="20"/>
                <w:szCs w:val="20"/>
              </w:rPr>
            </w:pPr>
            <w:r>
              <w:rPr>
                <w:rFonts w:eastAsia="Calibri" w:cs="Times New Roman"/>
                <w:b/>
                <w:color w:val="FFFFFF"/>
                <w:sz w:val="20"/>
                <w:szCs w:val="20"/>
              </w:rPr>
              <w:t>Index (%)</w:t>
            </w:r>
          </w:p>
        </w:tc>
      </w:tr>
      <w:tr w:rsidR="00711800" w:rsidRPr="003C2E0B" w14:paraId="777430F6" w14:textId="77777777" w:rsidTr="00B141AE">
        <w:trPr>
          <w:trHeight w:val="170"/>
          <w:tblHeader/>
        </w:trPr>
        <w:tc>
          <w:tcPr>
            <w:tcW w:w="1694" w:type="pct"/>
            <w:vMerge/>
            <w:shd w:val="clear" w:color="auto" w:fill="D9D9D9"/>
            <w:vAlign w:val="center"/>
          </w:tcPr>
          <w:p w14:paraId="4CEBC1FA" w14:textId="77777777" w:rsidR="00711800" w:rsidRPr="003C2E0B" w:rsidRDefault="00711800" w:rsidP="00303737">
            <w:pPr>
              <w:rPr>
                <w:rFonts w:eastAsia="Calibri" w:cs="Times New Roman"/>
                <w:b/>
                <w:bCs/>
                <w:sz w:val="20"/>
                <w:szCs w:val="20"/>
              </w:rPr>
            </w:pPr>
          </w:p>
        </w:tc>
        <w:tc>
          <w:tcPr>
            <w:tcW w:w="618" w:type="pct"/>
            <w:vMerge/>
            <w:shd w:val="clear" w:color="auto" w:fill="D9D9D9"/>
            <w:vAlign w:val="center"/>
          </w:tcPr>
          <w:p w14:paraId="0B7D7EBF" w14:textId="77777777" w:rsidR="00711800" w:rsidRPr="003C2E0B" w:rsidRDefault="00711800" w:rsidP="00303737">
            <w:pPr>
              <w:rPr>
                <w:rFonts w:eastAsia="Calibri" w:cs="Times New Roman"/>
                <w:sz w:val="20"/>
                <w:szCs w:val="20"/>
              </w:rPr>
            </w:pPr>
          </w:p>
        </w:tc>
        <w:tc>
          <w:tcPr>
            <w:tcW w:w="540" w:type="pct"/>
            <w:shd w:val="clear" w:color="auto" w:fill="0070C0"/>
            <w:vAlign w:val="center"/>
          </w:tcPr>
          <w:p w14:paraId="68742094"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schválený</w:t>
            </w:r>
          </w:p>
        </w:tc>
        <w:tc>
          <w:tcPr>
            <w:tcW w:w="617" w:type="pct"/>
            <w:shd w:val="clear" w:color="auto" w:fill="0070C0"/>
            <w:vAlign w:val="center"/>
          </w:tcPr>
          <w:p w14:paraId="4A12BAA3"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upravený</w:t>
            </w:r>
          </w:p>
        </w:tc>
        <w:tc>
          <w:tcPr>
            <w:tcW w:w="617" w:type="pct"/>
            <w:vMerge/>
            <w:shd w:val="clear" w:color="auto" w:fill="D9D9D9"/>
          </w:tcPr>
          <w:p w14:paraId="4B8ED622" w14:textId="77777777" w:rsidR="00711800" w:rsidRPr="003C2E0B" w:rsidRDefault="00711800" w:rsidP="00303737">
            <w:pPr>
              <w:rPr>
                <w:rFonts w:eastAsia="Calibri" w:cs="Times New Roman"/>
                <w:sz w:val="20"/>
                <w:szCs w:val="20"/>
              </w:rPr>
            </w:pPr>
          </w:p>
        </w:tc>
        <w:tc>
          <w:tcPr>
            <w:tcW w:w="462" w:type="pct"/>
            <w:vMerge/>
            <w:shd w:val="clear" w:color="auto" w:fill="D9D9D9"/>
            <w:vAlign w:val="center"/>
          </w:tcPr>
          <w:p w14:paraId="41B9A4CD" w14:textId="77777777" w:rsidR="00711800" w:rsidRPr="003C2E0B" w:rsidRDefault="00711800" w:rsidP="00303737">
            <w:pPr>
              <w:rPr>
                <w:rFonts w:eastAsia="Calibri" w:cs="Times New Roman"/>
                <w:sz w:val="20"/>
                <w:szCs w:val="20"/>
              </w:rPr>
            </w:pPr>
          </w:p>
        </w:tc>
        <w:tc>
          <w:tcPr>
            <w:tcW w:w="453" w:type="pct"/>
            <w:vMerge/>
            <w:shd w:val="clear" w:color="auto" w:fill="D9D9D9"/>
            <w:vAlign w:val="center"/>
          </w:tcPr>
          <w:p w14:paraId="09F42D22" w14:textId="77777777" w:rsidR="00711800" w:rsidRPr="003C2E0B" w:rsidRDefault="00711800" w:rsidP="00303737">
            <w:pPr>
              <w:rPr>
                <w:rFonts w:eastAsia="Calibri" w:cs="Times New Roman"/>
                <w:sz w:val="20"/>
                <w:szCs w:val="20"/>
              </w:rPr>
            </w:pPr>
          </w:p>
        </w:tc>
      </w:tr>
      <w:tr w:rsidR="00711800" w:rsidRPr="003C2E0B" w14:paraId="71A918DE" w14:textId="77777777" w:rsidTr="00B141AE">
        <w:trPr>
          <w:trHeight w:val="170"/>
          <w:tblHeader/>
        </w:trPr>
        <w:tc>
          <w:tcPr>
            <w:tcW w:w="1694" w:type="pct"/>
            <w:shd w:val="clear" w:color="auto" w:fill="auto"/>
            <w:vAlign w:val="center"/>
            <w:hideMark/>
          </w:tcPr>
          <w:p w14:paraId="3F8755BD" w14:textId="77777777" w:rsidR="00711800" w:rsidRPr="003C2E0B" w:rsidRDefault="00711800" w:rsidP="00303737">
            <w:pPr>
              <w:jc w:val="center"/>
              <w:rPr>
                <w:rFonts w:eastAsia="Calibri" w:cs="Times New Roman"/>
                <w:bCs/>
                <w:sz w:val="20"/>
                <w:szCs w:val="20"/>
              </w:rPr>
            </w:pPr>
            <w:r w:rsidRPr="003C2E0B">
              <w:rPr>
                <w:rFonts w:eastAsia="Calibri" w:cs="Times New Roman"/>
                <w:bCs/>
                <w:sz w:val="20"/>
                <w:szCs w:val="20"/>
              </w:rPr>
              <w:t>a</w:t>
            </w:r>
          </w:p>
        </w:tc>
        <w:tc>
          <w:tcPr>
            <w:tcW w:w="618" w:type="pct"/>
            <w:shd w:val="clear" w:color="auto" w:fill="auto"/>
            <w:vAlign w:val="center"/>
            <w:hideMark/>
          </w:tcPr>
          <w:p w14:paraId="45F0FD9D" w14:textId="77777777" w:rsidR="00711800" w:rsidRPr="003C2E0B" w:rsidRDefault="00711800" w:rsidP="00303737">
            <w:pPr>
              <w:jc w:val="center"/>
              <w:rPr>
                <w:rFonts w:eastAsia="Calibri" w:cs="Times New Roman"/>
                <w:sz w:val="20"/>
                <w:szCs w:val="20"/>
              </w:rPr>
            </w:pPr>
            <w:r w:rsidRPr="003C2E0B">
              <w:rPr>
                <w:rFonts w:eastAsia="Calibri" w:cs="Times New Roman"/>
                <w:sz w:val="20"/>
                <w:szCs w:val="20"/>
              </w:rPr>
              <w:t>1</w:t>
            </w:r>
          </w:p>
        </w:tc>
        <w:tc>
          <w:tcPr>
            <w:tcW w:w="540" w:type="pct"/>
            <w:shd w:val="clear" w:color="auto" w:fill="auto"/>
            <w:vAlign w:val="center"/>
            <w:hideMark/>
          </w:tcPr>
          <w:p w14:paraId="493E5497" w14:textId="77777777" w:rsidR="00711800" w:rsidRPr="003C2E0B" w:rsidRDefault="00711800" w:rsidP="00303737">
            <w:pPr>
              <w:jc w:val="center"/>
              <w:rPr>
                <w:rFonts w:eastAsia="Calibri" w:cs="Times New Roman"/>
                <w:sz w:val="20"/>
                <w:szCs w:val="20"/>
              </w:rPr>
            </w:pPr>
            <w:r w:rsidRPr="003C2E0B">
              <w:rPr>
                <w:rFonts w:eastAsia="Calibri" w:cs="Times New Roman"/>
                <w:sz w:val="20"/>
                <w:szCs w:val="20"/>
              </w:rPr>
              <w:t>2</w:t>
            </w:r>
          </w:p>
        </w:tc>
        <w:tc>
          <w:tcPr>
            <w:tcW w:w="617" w:type="pct"/>
            <w:shd w:val="clear" w:color="auto" w:fill="auto"/>
            <w:vAlign w:val="center"/>
            <w:hideMark/>
          </w:tcPr>
          <w:p w14:paraId="773FF58D" w14:textId="77777777" w:rsidR="00711800" w:rsidRPr="003C2E0B" w:rsidRDefault="00711800" w:rsidP="00303737">
            <w:pPr>
              <w:jc w:val="center"/>
              <w:rPr>
                <w:rFonts w:eastAsia="Calibri" w:cs="Times New Roman"/>
                <w:sz w:val="20"/>
                <w:szCs w:val="20"/>
              </w:rPr>
            </w:pPr>
            <w:r w:rsidRPr="003C2E0B">
              <w:rPr>
                <w:rFonts w:eastAsia="Calibri" w:cs="Times New Roman"/>
                <w:sz w:val="20"/>
                <w:szCs w:val="20"/>
              </w:rPr>
              <w:t>3</w:t>
            </w:r>
          </w:p>
        </w:tc>
        <w:tc>
          <w:tcPr>
            <w:tcW w:w="617" w:type="pct"/>
          </w:tcPr>
          <w:p w14:paraId="6BBC141C" w14:textId="77777777" w:rsidR="00711800" w:rsidRPr="003C2E0B" w:rsidRDefault="00711800" w:rsidP="00303737">
            <w:pPr>
              <w:jc w:val="center"/>
              <w:rPr>
                <w:rFonts w:eastAsia="Calibri" w:cs="Times New Roman"/>
                <w:sz w:val="20"/>
                <w:szCs w:val="20"/>
              </w:rPr>
            </w:pPr>
            <w:r w:rsidRPr="003C2E0B">
              <w:rPr>
                <w:rFonts w:eastAsia="Calibri" w:cs="Times New Roman"/>
                <w:sz w:val="20"/>
                <w:szCs w:val="20"/>
              </w:rPr>
              <w:t>4</w:t>
            </w:r>
          </w:p>
        </w:tc>
        <w:tc>
          <w:tcPr>
            <w:tcW w:w="462" w:type="pct"/>
            <w:shd w:val="clear" w:color="auto" w:fill="auto"/>
            <w:vAlign w:val="center"/>
            <w:hideMark/>
          </w:tcPr>
          <w:p w14:paraId="295C79F9" w14:textId="77777777" w:rsidR="00711800" w:rsidRPr="003C2E0B" w:rsidRDefault="00711800" w:rsidP="00303737">
            <w:pPr>
              <w:jc w:val="center"/>
              <w:rPr>
                <w:rFonts w:eastAsia="Calibri" w:cs="Times New Roman"/>
                <w:sz w:val="20"/>
                <w:szCs w:val="20"/>
              </w:rPr>
            </w:pPr>
            <w:r w:rsidRPr="003C2E0B">
              <w:rPr>
                <w:rFonts w:eastAsia="Calibri" w:cs="Times New Roman"/>
                <w:sz w:val="20"/>
                <w:szCs w:val="20"/>
              </w:rPr>
              <w:t>4-3</w:t>
            </w:r>
          </w:p>
        </w:tc>
        <w:tc>
          <w:tcPr>
            <w:tcW w:w="453" w:type="pct"/>
            <w:shd w:val="clear" w:color="auto" w:fill="auto"/>
            <w:vAlign w:val="center"/>
            <w:hideMark/>
          </w:tcPr>
          <w:p w14:paraId="5BC00C6A" w14:textId="77777777" w:rsidR="00711800" w:rsidRPr="003C2E0B" w:rsidRDefault="00711800" w:rsidP="00303737">
            <w:pPr>
              <w:jc w:val="center"/>
              <w:rPr>
                <w:rFonts w:eastAsia="Calibri" w:cs="Times New Roman"/>
                <w:sz w:val="20"/>
                <w:szCs w:val="20"/>
              </w:rPr>
            </w:pPr>
            <w:r w:rsidRPr="003C2E0B">
              <w:rPr>
                <w:rFonts w:eastAsia="Calibri" w:cs="Times New Roman"/>
                <w:sz w:val="20"/>
                <w:szCs w:val="20"/>
              </w:rPr>
              <w:t>4/1*100</w:t>
            </w:r>
          </w:p>
        </w:tc>
      </w:tr>
      <w:tr w:rsidR="00711800" w:rsidRPr="003C2E0B" w14:paraId="41E4780B" w14:textId="77777777" w:rsidTr="00B141AE">
        <w:trPr>
          <w:trHeight w:val="227"/>
        </w:trPr>
        <w:tc>
          <w:tcPr>
            <w:tcW w:w="1694" w:type="pct"/>
            <w:shd w:val="clear" w:color="auto" w:fill="D9D9D9"/>
            <w:vAlign w:val="center"/>
            <w:hideMark/>
          </w:tcPr>
          <w:p w14:paraId="7F2BFF18" w14:textId="77777777" w:rsidR="00711800" w:rsidRPr="003C2E0B" w:rsidRDefault="00711800" w:rsidP="00303737">
            <w:pPr>
              <w:rPr>
                <w:rFonts w:eastAsia="Calibri" w:cs="Times New Roman"/>
                <w:b/>
                <w:bCs/>
                <w:color w:val="000000"/>
                <w:sz w:val="20"/>
                <w:szCs w:val="20"/>
              </w:rPr>
            </w:pPr>
            <w:r w:rsidRPr="003C2E0B">
              <w:rPr>
                <w:rFonts w:eastAsia="Calibri" w:cs="Times New Roman"/>
                <w:b/>
                <w:bCs/>
                <w:color w:val="000000"/>
                <w:sz w:val="20"/>
                <w:szCs w:val="20"/>
              </w:rPr>
              <w:t>Kapitoly ŠR spolu</w:t>
            </w:r>
          </w:p>
        </w:tc>
        <w:tc>
          <w:tcPr>
            <w:tcW w:w="618" w:type="pct"/>
            <w:shd w:val="clear" w:color="auto" w:fill="D9D9D9"/>
            <w:vAlign w:val="bottom"/>
          </w:tcPr>
          <w:p w14:paraId="55E64510" w14:textId="77777777" w:rsidR="00711800" w:rsidRPr="003C2E0B" w:rsidRDefault="00711800" w:rsidP="00303737">
            <w:pPr>
              <w:jc w:val="right"/>
              <w:rPr>
                <w:rFonts w:eastAsia="Times New Roman" w:cs="Arial CE"/>
                <w:b/>
                <w:bCs/>
                <w:sz w:val="20"/>
                <w:szCs w:val="20"/>
                <w:lang w:eastAsia="sk-SK"/>
              </w:rPr>
            </w:pPr>
            <w:r w:rsidRPr="003C2E0B">
              <w:rPr>
                <w:rFonts w:eastAsia="Times New Roman" w:cs="Arial CE"/>
                <w:b/>
                <w:bCs/>
                <w:sz w:val="20"/>
                <w:szCs w:val="20"/>
                <w:lang w:eastAsia="sk-SK"/>
              </w:rPr>
              <w:t>15 381 013</w:t>
            </w:r>
          </w:p>
        </w:tc>
        <w:tc>
          <w:tcPr>
            <w:tcW w:w="540" w:type="pct"/>
            <w:shd w:val="clear" w:color="auto" w:fill="D9D9D9"/>
            <w:vAlign w:val="bottom"/>
          </w:tcPr>
          <w:p w14:paraId="7DF44EB3" w14:textId="77777777" w:rsidR="00711800" w:rsidRPr="003C2E0B" w:rsidRDefault="00711800" w:rsidP="00303737">
            <w:pPr>
              <w:jc w:val="right"/>
              <w:rPr>
                <w:rFonts w:eastAsia="Times New Roman" w:cs="Arial CE"/>
                <w:b/>
                <w:bCs/>
                <w:sz w:val="20"/>
                <w:szCs w:val="20"/>
                <w:lang w:eastAsia="sk-SK"/>
              </w:rPr>
            </w:pPr>
            <w:r w:rsidRPr="003C2E0B">
              <w:rPr>
                <w:rFonts w:eastAsia="Times New Roman" w:cs="Arial CE"/>
                <w:b/>
                <w:bCs/>
                <w:sz w:val="20"/>
                <w:szCs w:val="20"/>
                <w:lang w:eastAsia="sk-SK"/>
              </w:rPr>
              <w:t>15 497 654</w:t>
            </w:r>
          </w:p>
        </w:tc>
        <w:tc>
          <w:tcPr>
            <w:tcW w:w="617" w:type="pct"/>
            <w:shd w:val="clear" w:color="auto" w:fill="D9D9D9"/>
            <w:vAlign w:val="bottom"/>
          </w:tcPr>
          <w:p w14:paraId="207C2BB4" w14:textId="77777777" w:rsidR="00711800" w:rsidRPr="003C2E0B" w:rsidRDefault="00711800" w:rsidP="00303737">
            <w:pPr>
              <w:jc w:val="right"/>
              <w:rPr>
                <w:rFonts w:eastAsia="Times New Roman" w:cs="Arial CE"/>
                <w:b/>
                <w:bCs/>
                <w:sz w:val="20"/>
                <w:szCs w:val="20"/>
                <w:lang w:eastAsia="sk-SK"/>
              </w:rPr>
            </w:pPr>
            <w:r w:rsidRPr="003C2E0B">
              <w:rPr>
                <w:rFonts w:eastAsia="Times New Roman" w:cs="Arial CE"/>
                <w:b/>
                <w:bCs/>
                <w:sz w:val="20"/>
                <w:szCs w:val="20"/>
                <w:lang w:eastAsia="sk-SK"/>
              </w:rPr>
              <w:t>15 943 099</w:t>
            </w:r>
          </w:p>
        </w:tc>
        <w:tc>
          <w:tcPr>
            <w:tcW w:w="617" w:type="pct"/>
            <w:shd w:val="clear" w:color="auto" w:fill="D9D9D9"/>
            <w:vAlign w:val="bottom"/>
          </w:tcPr>
          <w:p w14:paraId="56A569D6" w14:textId="77777777" w:rsidR="00711800" w:rsidRPr="003C2E0B" w:rsidRDefault="00711800" w:rsidP="00303737">
            <w:pPr>
              <w:jc w:val="right"/>
              <w:rPr>
                <w:rFonts w:eastAsia="Times New Roman" w:cs="Arial CE"/>
                <w:b/>
                <w:bCs/>
                <w:sz w:val="20"/>
                <w:szCs w:val="20"/>
                <w:lang w:eastAsia="sk-SK"/>
              </w:rPr>
            </w:pPr>
            <w:r w:rsidRPr="003C2E0B">
              <w:rPr>
                <w:rFonts w:eastAsia="Times New Roman" w:cs="Arial CE"/>
                <w:b/>
                <w:bCs/>
                <w:sz w:val="20"/>
                <w:szCs w:val="20"/>
                <w:lang w:eastAsia="sk-SK"/>
              </w:rPr>
              <w:t>15 825 535</w:t>
            </w:r>
          </w:p>
        </w:tc>
        <w:tc>
          <w:tcPr>
            <w:tcW w:w="462" w:type="pct"/>
            <w:shd w:val="clear" w:color="auto" w:fill="D9D9D9"/>
            <w:vAlign w:val="bottom"/>
          </w:tcPr>
          <w:p w14:paraId="22DA2198" w14:textId="77777777" w:rsidR="00711800" w:rsidRPr="003C2E0B" w:rsidRDefault="00711800" w:rsidP="00303737">
            <w:pPr>
              <w:jc w:val="right"/>
              <w:rPr>
                <w:rFonts w:eastAsia="Times New Roman" w:cs="Arial"/>
                <w:b/>
                <w:bCs/>
                <w:sz w:val="20"/>
                <w:szCs w:val="20"/>
                <w:lang w:eastAsia="sk-SK"/>
              </w:rPr>
            </w:pPr>
            <w:r w:rsidRPr="003C2E0B">
              <w:rPr>
                <w:rFonts w:eastAsia="Times New Roman" w:cs="Arial"/>
                <w:b/>
                <w:bCs/>
                <w:sz w:val="20"/>
                <w:szCs w:val="20"/>
                <w:lang w:eastAsia="sk-SK"/>
              </w:rPr>
              <w:t>-117 564</w:t>
            </w:r>
          </w:p>
        </w:tc>
        <w:tc>
          <w:tcPr>
            <w:tcW w:w="453" w:type="pct"/>
            <w:shd w:val="clear" w:color="auto" w:fill="D9D9D9"/>
            <w:vAlign w:val="bottom"/>
          </w:tcPr>
          <w:p w14:paraId="25477872" w14:textId="77777777" w:rsidR="00711800" w:rsidRPr="003C2E0B" w:rsidRDefault="00711800" w:rsidP="00303737">
            <w:pPr>
              <w:jc w:val="right"/>
              <w:rPr>
                <w:rFonts w:eastAsia="Times New Roman" w:cs="Arial"/>
                <w:b/>
                <w:bCs/>
                <w:sz w:val="20"/>
                <w:szCs w:val="20"/>
                <w:lang w:eastAsia="sk-SK"/>
              </w:rPr>
            </w:pPr>
            <w:r w:rsidRPr="003C2E0B">
              <w:rPr>
                <w:rFonts w:eastAsia="Times New Roman" w:cs="Arial"/>
                <w:b/>
                <w:bCs/>
                <w:sz w:val="20"/>
                <w:szCs w:val="20"/>
                <w:lang w:eastAsia="sk-SK"/>
              </w:rPr>
              <w:t>102,9</w:t>
            </w:r>
          </w:p>
        </w:tc>
      </w:tr>
      <w:tr w:rsidR="00711800" w:rsidRPr="003C2E0B" w14:paraId="549DF928" w14:textId="77777777" w:rsidTr="00B141AE">
        <w:trPr>
          <w:trHeight w:val="227"/>
        </w:trPr>
        <w:tc>
          <w:tcPr>
            <w:tcW w:w="1694" w:type="pct"/>
            <w:shd w:val="clear" w:color="auto" w:fill="auto"/>
            <w:vAlign w:val="bottom"/>
          </w:tcPr>
          <w:p w14:paraId="74DE1489" w14:textId="77777777" w:rsidR="00711800" w:rsidRPr="003C2E0B" w:rsidRDefault="00711800" w:rsidP="00303737">
            <w:pPr>
              <w:rPr>
                <w:rFonts w:eastAsia="Calibri" w:cs="Arial CE"/>
                <w:sz w:val="20"/>
                <w:szCs w:val="20"/>
              </w:rPr>
            </w:pPr>
            <w:r w:rsidRPr="003C2E0B">
              <w:rPr>
                <w:rFonts w:eastAsia="Calibri" w:cs="Arial CE"/>
                <w:sz w:val="20"/>
                <w:szCs w:val="20"/>
              </w:rPr>
              <w:t>Kancelária Národnej rady SR</w:t>
            </w:r>
          </w:p>
        </w:tc>
        <w:tc>
          <w:tcPr>
            <w:tcW w:w="618" w:type="pct"/>
            <w:shd w:val="clear" w:color="auto" w:fill="auto"/>
            <w:vAlign w:val="bottom"/>
          </w:tcPr>
          <w:p w14:paraId="06C6C41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1 683</w:t>
            </w:r>
          </w:p>
        </w:tc>
        <w:tc>
          <w:tcPr>
            <w:tcW w:w="540" w:type="pct"/>
            <w:shd w:val="clear" w:color="auto" w:fill="auto"/>
            <w:vAlign w:val="bottom"/>
          </w:tcPr>
          <w:p w14:paraId="125E0ED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1 280</w:t>
            </w:r>
          </w:p>
        </w:tc>
        <w:tc>
          <w:tcPr>
            <w:tcW w:w="617" w:type="pct"/>
            <w:shd w:val="clear" w:color="auto" w:fill="auto"/>
            <w:vAlign w:val="bottom"/>
          </w:tcPr>
          <w:p w14:paraId="3D6CD99A"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1 280</w:t>
            </w:r>
          </w:p>
        </w:tc>
        <w:tc>
          <w:tcPr>
            <w:tcW w:w="617" w:type="pct"/>
            <w:vAlign w:val="bottom"/>
          </w:tcPr>
          <w:p w14:paraId="13E4ADF5"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1 787</w:t>
            </w:r>
          </w:p>
        </w:tc>
        <w:tc>
          <w:tcPr>
            <w:tcW w:w="462" w:type="pct"/>
            <w:shd w:val="clear" w:color="auto" w:fill="auto"/>
            <w:vAlign w:val="bottom"/>
          </w:tcPr>
          <w:p w14:paraId="46F24EA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507</w:t>
            </w:r>
          </w:p>
        </w:tc>
        <w:tc>
          <w:tcPr>
            <w:tcW w:w="453" w:type="pct"/>
            <w:shd w:val="clear" w:color="auto" w:fill="auto"/>
            <w:vAlign w:val="bottom"/>
          </w:tcPr>
          <w:p w14:paraId="58BFE41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106,2</w:t>
            </w:r>
          </w:p>
        </w:tc>
      </w:tr>
      <w:tr w:rsidR="00711800" w:rsidRPr="003C2E0B" w14:paraId="3AF98747" w14:textId="77777777" w:rsidTr="00B141AE">
        <w:trPr>
          <w:trHeight w:val="227"/>
        </w:trPr>
        <w:tc>
          <w:tcPr>
            <w:tcW w:w="1694" w:type="pct"/>
            <w:shd w:val="clear" w:color="auto" w:fill="auto"/>
            <w:vAlign w:val="bottom"/>
          </w:tcPr>
          <w:p w14:paraId="4B6C5337" w14:textId="77777777" w:rsidR="00711800" w:rsidRPr="003C2E0B" w:rsidRDefault="00711800" w:rsidP="00303737">
            <w:pPr>
              <w:rPr>
                <w:rFonts w:eastAsia="Calibri" w:cs="Arial CE"/>
                <w:sz w:val="20"/>
                <w:szCs w:val="20"/>
              </w:rPr>
            </w:pPr>
            <w:r w:rsidRPr="003C2E0B">
              <w:rPr>
                <w:rFonts w:eastAsia="Calibri" w:cs="Arial CE"/>
                <w:sz w:val="20"/>
                <w:szCs w:val="20"/>
              </w:rPr>
              <w:t>Kancelária prezidenta SR</w:t>
            </w:r>
          </w:p>
        </w:tc>
        <w:tc>
          <w:tcPr>
            <w:tcW w:w="618" w:type="pct"/>
            <w:shd w:val="clear" w:color="auto" w:fill="auto"/>
            <w:vAlign w:val="bottom"/>
          </w:tcPr>
          <w:p w14:paraId="15C13D19"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32</w:t>
            </w:r>
          </w:p>
        </w:tc>
        <w:tc>
          <w:tcPr>
            <w:tcW w:w="540" w:type="pct"/>
            <w:shd w:val="clear" w:color="auto" w:fill="auto"/>
            <w:vAlign w:val="bottom"/>
          </w:tcPr>
          <w:p w14:paraId="3151B2F0"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10</w:t>
            </w:r>
          </w:p>
        </w:tc>
        <w:tc>
          <w:tcPr>
            <w:tcW w:w="617" w:type="pct"/>
            <w:shd w:val="clear" w:color="auto" w:fill="auto"/>
            <w:vAlign w:val="bottom"/>
          </w:tcPr>
          <w:p w14:paraId="264A6646"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10</w:t>
            </w:r>
          </w:p>
        </w:tc>
        <w:tc>
          <w:tcPr>
            <w:tcW w:w="617" w:type="pct"/>
            <w:vAlign w:val="bottom"/>
          </w:tcPr>
          <w:p w14:paraId="0F42510B"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19</w:t>
            </w:r>
          </w:p>
        </w:tc>
        <w:tc>
          <w:tcPr>
            <w:tcW w:w="462" w:type="pct"/>
            <w:shd w:val="clear" w:color="auto" w:fill="auto"/>
            <w:vAlign w:val="bottom"/>
          </w:tcPr>
          <w:p w14:paraId="7E2BBCA7"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w:t>
            </w:r>
          </w:p>
        </w:tc>
        <w:tc>
          <w:tcPr>
            <w:tcW w:w="453" w:type="pct"/>
            <w:shd w:val="clear" w:color="auto" w:fill="auto"/>
            <w:vAlign w:val="bottom"/>
          </w:tcPr>
          <w:p w14:paraId="6EF1529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59,4</w:t>
            </w:r>
          </w:p>
        </w:tc>
      </w:tr>
      <w:tr w:rsidR="00711800" w:rsidRPr="003C2E0B" w14:paraId="54FA9462" w14:textId="77777777" w:rsidTr="00B141AE">
        <w:trPr>
          <w:trHeight w:val="227"/>
        </w:trPr>
        <w:tc>
          <w:tcPr>
            <w:tcW w:w="1694" w:type="pct"/>
            <w:shd w:val="clear" w:color="auto" w:fill="auto"/>
            <w:vAlign w:val="bottom"/>
          </w:tcPr>
          <w:p w14:paraId="11C7795A" w14:textId="77777777" w:rsidR="00711800" w:rsidRPr="003C2E0B" w:rsidRDefault="00711800" w:rsidP="00303737">
            <w:pPr>
              <w:rPr>
                <w:rFonts w:eastAsia="Calibri" w:cs="Arial CE"/>
                <w:sz w:val="20"/>
                <w:szCs w:val="20"/>
              </w:rPr>
            </w:pPr>
            <w:r w:rsidRPr="003C2E0B">
              <w:rPr>
                <w:rFonts w:eastAsia="Calibri" w:cs="Arial CE"/>
                <w:sz w:val="20"/>
                <w:szCs w:val="20"/>
              </w:rPr>
              <w:t xml:space="preserve">Úrad vlády SR </w:t>
            </w:r>
          </w:p>
        </w:tc>
        <w:tc>
          <w:tcPr>
            <w:tcW w:w="618" w:type="pct"/>
            <w:shd w:val="clear" w:color="auto" w:fill="auto"/>
            <w:vAlign w:val="bottom"/>
          </w:tcPr>
          <w:p w14:paraId="2C871AE8"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26 608</w:t>
            </w:r>
          </w:p>
        </w:tc>
        <w:tc>
          <w:tcPr>
            <w:tcW w:w="540" w:type="pct"/>
            <w:shd w:val="clear" w:color="auto" w:fill="auto"/>
            <w:vAlign w:val="bottom"/>
          </w:tcPr>
          <w:p w14:paraId="56200C5F"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25 821</w:t>
            </w:r>
          </w:p>
        </w:tc>
        <w:tc>
          <w:tcPr>
            <w:tcW w:w="617" w:type="pct"/>
            <w:shd w:val="clear" w:color="auto" w:fill="auto"/>
            <w:vAlign w:val="bottom"/>
          </w:tcPr>
          <w:p w14:paraId="26878D67"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24 855</w:t>
            </w:r>
          </w:p>
        </w:tc>
        <w:tc>
          <w:tcPr>
            <w:tcW w:w="617" w:type="pct"/>
            <w:vAlign w:val="bottom"/>
          </w:tcPr>
          <w:p w14:paraId="394869AE"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24 955</w:t>
            </w:r>
          </w:p>
        </w:tc>
        <w:tc>
          <w:tcPr>
            <w:tcW w:w="462" w:type="pct"/>
            <w:shd w:val="clear" w:color="auto" w:fill="auto"/>
            <w:vAlign w:val="bottom"/>
          </w:tcPr>
          <w:p w14:paraId="2A0B1A1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100</w:t>
            </w:r>
          </w:p>
        </w:tc>
        <w:tc>
          <w:tcPr>
            <w:tcW w:w="453" w:type="pct"/>
            <w:shd w:val="clear" w:color="auto" w:fill="auto"/>
            <w:vAlign w:val="bottom"/>
          </w:tcPr>
          <w:p w14:paraId="06F3E08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93,8</w:t>
            </w:r>
          </w:p>
        </w:tc>
      </w:tr>
      <w:tr w:rsidR="00711800" w:rsidRPr="003C2E0B" w14:paraId="70C4A6B7" w14:textId="77777777" w:rsidTr="00B141AE">
        <w:trPr>
          <w:trHeight w:val="227"/>
        </w:trPr>
        <w:tc>
          <w:tcPr>
            <w:tcW w:w="1694" w:type="pct"/>
            <w:shd w:val="clear" w:color="auto" w:fill="auto"/>
            <w:vAlign w:val="bottom"/>
          </w:tcPr>
          <w:p w14:paraId="2C1B438D" w14:textId="77777777" w:rsidR="00711800" w:rsidRPr="003C2E0B" w:rsidRDefault="00711800" w:rsidP="00303737">
            <w:pPr>
              <w:rPr>
                <w:rFonts w:eastAsia="Calibri" w:cs="Arial CE"/>
                <w:sz w:val="20"/>
                <w:szCs w:val="20"/>
              </w:rPr>
            </w:pPr>
            <w:r w:rsidRPr="003C2E0B">
              <w:rPr>
                <w:rFonts w:eastAsia="Calibri" w:cs="Arial CE"/>
                <w:sz w:val="20"/>
                <w:szCs w:val="20"/>
              </w:rPr>
              <w:t>Úrad podpredsedu vlády SR pre investície a informatizáciu</w:t>
            </w:r>
          </w:p>
        </w:tc>
        <w:tc>
          <w:tcPr>
            <w:tcW w:w="618" w:type="pct"/>
            <w:shd w:val="clear" w:color="auto" w:fill="auto"/>
            <w:vAlign w:val="bottom"/>
          </w:tcPr>
          <w:p w14:paraId="2CFB4AC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5</w:t>
            </w:r>
          </w:p>
        </w:tc>
        <w:tc>
          <w:tcPr>
            <w:tcW w:w="540" w:type="pct"/>
            <w:shd w:val="clear" w:color="auto" w:fill="auto"/>
            <w:vAlign w:val="bottom"/>
          </w:tcPr>
          <w:p w14:paraId="3F712E08"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0</w:t>
            </w:r>
          </w:p>
        </w:tc>
        <w:tc>
          <w:tcPr>
            <w:tcW w:w="617" w:type="pct"/>
            <w:shd w:val="clear" w:color="auto" w:fill="auto"/>
            <w:vAlign w:val="bottom"/>
          </w:tcPr>
          <w:p w14:paraId="73FFAC0A"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0</w:t>
            </w:r>
          </w:p>
        </w:tc>
        <w:tc>
          <w:tcPr>
            <w:tcW w:w="617" w:type="pct"/>
            <w:vAlign w:val="bottom"/>
          </w:tcPr>
          <w:p w14:paraId="3277F23F"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9</w:t>
            </w:r>
          </w:p>
        </w:tc>
        <w:tc>
          <w:tcPr>
            <w:tcW w:w="462" w:type="pct"/>
            <w:shd w:val="clear" w:color="auto" w:fill="auto"/>
            <w:vAlign w:val="bottom"/>
          </w:tcPr>
          <w:p w14:paraId="3E95230B"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w:t>
            </w:r>
          </w:p>
        </w:tc>
        <w:tc>
          <w:tcPr>
            <w:tcW w:w="453" w:type="pct"/>
            <w:shd w:val="clear" w:color="auto" w:fill="auto"/>
            <w:vAlign w:val="bottom"/>
          </w:tcPr>
          <w:p w14:paraId="7A6E33C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180,0</w:t>
            </w:r>
          </w:p>
        </w:tc>
      </w:tr>
      <w:tr w:rsidR="00711800" w:rsidRPr="003C2E0B" w14:paraId="1020D8C2" w14:textId="77777777" w:rsidTr="00B141AE">
        <w:trPr>
          <w:trHeight w:val="227"/>
        </w:trPr>
        <w:tc>
          <w:tcPr>
            <w:tcW w:w="1694" w:type="pct"/>
            <w:shd w:val="clear" w:color="auto" w:fill="auto"/>
            <w:vAlign w:val="bottom"/>
          </w:tcPr>
          <w:p w14:paraId="433CA375" w14:textId="77777777" w:rsidR="00711800" w:rsidRPr="003C2E0B" w:rsidRDefault="00711800" w:rsidP="00303737">
            <w:pPr>
              <w:rPr>
                <w:rFonts w:eastAsia="Calibri" w:cs="Arial CE"/>
                <w:sz w:val="20"/>
                <w:szCs w:val="20"/>
              </w:rPr>
            </w:pPr>
            <w:r w:rsidRPr="003C2E0B">
              <w:rPr>
                <w:rFonts w:eastAsia="Calibri" w:cs="Arial CE"/>
                <w:sz w:val="20"/>
                <w:szCs w:val="20"/>
              </w:rPr>
              <w:t xml:space="preserve">Kancelária Ústavného súdu SR </w:t>
            </w:r>
          </w:p>
        </w:tc>
        <w:tc>
          <w:tcPr>
            <w:tcW w:w="618" w:type="pct"/>
            <w:shd w:val="clear" w:color="auto" w:fill="auto"/>
            <w:vAlign w:val="bottom"/>
          </w:tcPr>
          <w:p w14:paraId="0857856A"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13</w:t>
            </w:r>
          </w:p>
        </w:tc>
        <w:tc>
          <w:tcPr>
            <w:tcW w:w="540" w:type="pct"/>
            <w:shd w:val="clear" w:color="auto" w:fill="auto"/>
            <w:vAlign w:val="bottom"/>
          </w:tcPr>
          <w:p w14:paraId="20A5F90B"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12</w:t>
            </w:r>
          </w:p>
        </w:tc>
        <w:tc>
          <w:tcPr>
            <w:tcW w:w="617" w:type="pct"/>
            <w:shd w:val="clear" w:color="auto" w:fill="auto"/>
            <w:vAlign w:val="bottom"/>
          </w:tcPr>
          <w:p w14:paraId="1A4FE40E"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4</w:t>
            </w:r>
          </w:p>
        </w:tc>
        <w:tc>
          <w:tcPr>
            <w:tcW w:w="617" w:type="pct"/>
            <w:vAlign w:val="bottom"/>
          </w:tcPr>
          <w:p w14:paraId="05ECA463"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11</w:t>
            </w:r>
          </w:p>
        </w:tc>
        <w:tc>
          <w:tcPr>
            <w:tcW w:w="462" w:type="pct"/>
            <w:shd w:val="clear" w:color="auto" w:fill="auto"/>
            <w:vAlign w:val="bottom"/>
          </w:tcPr>
          <w:p w14:paraId="626B1F6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w:t>
            </w:r>
          </w:p>
        </w:tc>
        <w:tc>
          <w:tcPr>
            <w:tcW w:w="453" w:type="pct"/>
            <w:shd w:val="clear" w:color="auto" w:fill="auto"/>
            <w:vAlign w:val="bottom"/>
          </w:tcPr>
          <w:p w14:paraId="42A0065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84,6</w:t>
            </w:r>
          </w:p>
        </w:tc>
      </w:tr>
      <w:tr w:rsidR="00711800" w:rsidRPr="003C2E0B" w14:paraId="24D68B37" w14:textId="77777777" w:rsidTr="00B141AE">
        <w:trPr>
          <w:trHeight w:val="227"/>
        </w:trPr>
        <w:tc>
          <w:tcPr>
            <w:tcW w:w="1694" w:type="pct"/>
            <w:shd w:val="clear" w:color="auto" w:fill="auto"/>
            <w:vAlign w:val="bottom"/>
          </w:tcPr>
          <w:p w14:paraId="57283C14" w14:textId="77777777" w:rsidR="00711800" w:rsidRPr="003C2E0B" w:rsidRDefault="00711800" w:rsidP="00303737">
            <w:pPr>
              <w:rPr>
                <w:rFonts w:eastAsia="Calibri" w:cs="Arial CE"/>
                <w:sz w:val="20"/>
                <w:szCs w:val="20"/>
              </w:rPr>
            </w:pPr>
            <w:r w:rsidRPr="003C2E0B">
              <w:rPr>
                <w:rFonts w:eastAsia="Calibri" w:cs="Arial CE"/>
                <w:sz w:val="20"/>
                <w:szCs w:val="20"/>
              </w:rPr>
              <w:t>Kancelária Najvyššieho súdu SR</w:t>
            </w:r>
          </w:p>
        </w:tc>
        <w:tc>
          <w:tcPr>
            <w:tcW w:w="618" w:type="pct"/>
            <w:shd w:val="clear" w:color="auto" w:fill="auto"/>
            <w:vAlign w:val="bottom"/>
          </w:tcPr>
          <w:p w14:paraId="3D95AE8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15</w:t>
            </w:r>
          </w:p>
        </w:tc>
        <w:tc>
          <w:tcPr>
            <w:tcW w:w="540" w:type="pct"/>
            <w:shd w:val="clear" w:color="auto" w:fill="auto"/>
            <w:vAlign w:val="bottom"/>
          </w:tcPr>
          <w:p w14:paraId="3255FE30"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10</w:t>
            </w:r>
          </w:p>
        </w:tc>
        <w:tc>
          <w:tcPr>
            <w:tcW w:w="617" w:type="pct"/>
            <w:shd w:val="clear" w:color="auto" w:fill="auto"/>
            <w:vAlign w:val="bottom"/>
          </w:tcPr>
          <w:p w14:paraId="28053C4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4</w:t>
            </w:r>
          </w:p>
        </w:tc>
        <w:tc>
          <w:tcPr>
            <w:tcW w:w="617" w:type="pct"/>
            <w:vAlign w:val="bottom"/>
          </w:tcPr>
          <w:p w14:paraId="6BE706A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4</w:t>
            </w:r>
          </w:p>
        </w:tc>
        <w:tc>
          <w:tcPr>
            <w:tcW w:w="462" w:type="pct"/>
            <w:shd w:val="clear" w:color="auto" w:fill="auto"/>
            <w:vAlign w:val="bottom"/>
          </w:tcPr>
          <w:p w14:paraId="18F7F73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0</w:t>
            </w:r>
          </w:p>
        </w:tc>
        <w:tc>
          <w:tcPr>
            <w:tcW w:w="453" w:type="pct"/>
            <w:shd w:val="clear" w:color="auto" w:fill="auto"/>
            <w:vAlign w:val="bottom"/>
          </w:tcPr>
          <w:p w14:paraId="7BD4914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26,7</w:t>
            </w:r>
          </w:p>
        </w:tc>
      </w:tr>
      <w:tr w:rsidR="00711800" w:rsidRPr="003C2E0B" w14:paraId="68C755B5" w14:textId="77777777" w:rsidTr="00B141AE">
        <w:trPr>
          <w:trHeight w:val="227"/>
        </w:trPr>
        <w:tc>
          <w:tcPr>
            <w:tcW w:w="1694" w:type="pct"/>
            <w:shd w:val="clear" w:color="auto" w:fill="auto"/>
            <w:vAlign w:val="bottom"/>
          </w:tcPr>
          <w:p w14:paraId="55A793D2" w14:textId="77777777" w:rsidR="00711800" w:rsidRPr="003C2E0B" w:rsidRDefault="00711800" w:rsidP="00303737">
            <w:pPr>
              <w:rPr>
                <w:rFonts w:eastAsia="Calibri" w:cs="Arial CE"/>
                <w:sz w:val="20"/>
                <w:szCs w:val="20"/>
              </w:rPr>
            </w:pPr>
            <w:r w:rsidRPr="003C2E0B">
              <w:rPr>
                <w:rFonts w:eastAsia="Calibri" w:cs="Arial CE"/>
                <w:sz w:val="20"/>
                <w:szCs w:val="20"/>
              </w:rPr>
              <w:t xml:space="preserve">Generálna prokuratúra SR </w:t>
            </w:r>
          </w:p>
        </w:tc>
        <w:tc>
          <w:tcPr>
            <w:tcW w:w="618" w:type="pct"/>
            <w:shd w:val="clear" w:color="auto" w:fill="auto"/>
            <w:vAlign w:val="bottom"/>
          </w:tcPr>
          <w:p w14:paraId="18DECD23"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515</w:t>
            </w:r>
          </w:p>
        </w:tc>
        <w:tc>
          <w:tcPr>
            <w:tcW w:w="540" w:type="pct"/>
            <w:shd w:val="clear" w:color="auto" w:fill="auto"/>
            <w:vAlign w:val="bottom"/>
          </w:tcPr>
          <w:p w14:paraId="36707622"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500</w:t>
            </w:r>
          </w:p>
        </w:tc>
        <w:tc>
          <w:tcPr>
            <w:tcW w:w="617" w:type="pct"/>
            <w:shd w:val="clear" w:color="auto" w:fill="auto"/>
            <w:vAlign w:val="bottom"/>
          </w:tcPr>
          <w:p w14:paraId="1370B598"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500</w:t>
            </w:r>
          </w:p>
        </w:tc>
        <w:tc>
          <w:tcPr>
            <w:tcW w:w="617" w:type="pct"/>
            <w:vAlign w:val="bottom"/>
          </w:tcPr>
          <w:p w14:paraId="65F34762"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525</w:t>
            </w:r>
          </w:p>
        </w:tc>
        <w:tc>
          <w:tcPr>
            <w:tcW w:w="462" w:type="pct"/>
            <w:shd w:val="clear" w:color="auto" w:fill="auto"/>
            <w:vAlign w:val="bottom"/>
          </w:tcPr>
          <w:p w14:paraId="4106592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25</w:t>
            </w:r>
          </w:p>
        </w:tc>
        <w:tc>
          <w:tcPr>
            <w:tcW w:w="453" w:type="pct"/>
            <w:shd w:val="clear" w:color="auto" w:fill="auto"/>
            <w:vAlign w:val="bottom"/>
          </w:tcPr>
          <w:p w14:paraId="2B975C9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101,9</w:t>
            </w:r>
          </w:p>
        </w:tc>
      </w:tr>
      <w:tr w:rsidR="00711800" w:rsidRPr="003C2E0B" w14:paraId="1A23D751" w14:textId="77777777" w:rsidTr="00B141AE">
        <w:trPr>
          <w:trHeight w:val="227"/>
        </w:trPr>
        <w:tc>
          <w:tcPr>
            <w:tcW w:w="1694" w:type="pct"/>
            <w:shd w:val="clear" w:color="auto" w:fill="auto"/>
            <w:vAlign w:val="bottom"/>
          </w:tcPr>
          <w:p w14:paraId="422FE695" w14:textId="77777777" w:rsidR="00711800" w:rsidRPr="003C2E0B" w:rsidRDefault="00711800" w:rsidP="00303737">
            <w:pPr>
              <w:rPr>
                <w:rFonts w:eastAsia="Calibri" w:cs="Arial CE"/>
                <w:sz w:val="20"/>
                <w:szCs w:val="20"/>
              </w:rPr>
            </w:pPr>
            <w:r w:rsidRPr="003C2E0B">
              <w:rPr>
                <w:rFonts w:eastAsia="Calibri" w:cs="Arial CE"/>
                <w:sz w:val="20"/>
                <w:szCs w:val="20"/>
              </w:rPr>
              <w:t xml:space="preserve">Najvyšší kontrolný úrad SR </w:t>
            </w:r>
          </w:p>
        </w:tc>
        <w:tc>
          <w:tcPr>
            <w:tcW w:w="618" w:type="pct"/>
            <w:shd w:val="clear" w:color="auto" w:fill="auto"/>
            <w:vAlign w:val="bottom"/>
          </w:tcPr>
          <w:p w14:paraId="42ADB633"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10</w:t>
            </w:r>
          </w:p>
        </w:tc>
        <w:tc>
          <w:tcPr>
            <w:tcW w:w="540" w:type="pct"/>
            <w:shd w:val="clear" w:color="auto" w:fill="auto"/>
            <w:vAlign w:val="bottom"/>
          </w:tcPr>
          <w:p w14:paraId="1D3394BA"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20</w:t>
            </w:r>
          </w:p>
        </w:tc>
        <w:tc>
          <w:tcPr>
            <w:tcW w:w="617" w:type="pct"/>
            <w:shd w:val="clear" w:color="auto" w:fill="auto"/>
            <w:vAlign w:val="bottom"/>
          </w:tcPr>
          <w:p w14:paraId="5EDD6103"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16</w:t>
            </w:r>
          </w:p>
        </w:tc>
        <w:tc>
          <w:tcPr>
            <w:tcW w:w="617" w:type="pct"/>
            <w:vAlign w:val="bottom"/>
          </w:tcPr>
          <w:p w14:paraId="6DDF87D4"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41</w:t>
            </w:r>
          </w:p>
        </w:tc>
        <w:tc>
          <w:tcPr>
            <w:tcW w:w="462" w:type="pct"/>
            <w:shd w:val="clear" w:color="auto" w:fill="auto"/>
            <w:vAlign w:val="bottom"/>
          </w:tcPr>
          <w:p w14:paraId="336AC4C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25</w:t>
            </w:r>
          </w:p>
        </w:tc>
        <w:tc>
          <w:tcPr>
            <w:tcW w:w="453" w:type="pct"/>
            <w:shd w:val="clear" w:color="auto" w:fill="auto"/>
            <w:vAlign w:val="bottom"/>
          </w:tcPr>
          <w:p w14:paraId="220AF9F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410,0</w:t>
            </w:r>
          </w:p>
        </w:tc>
      </w:tr>
      <w:tr w:rsidR="00711800" w:rsidRPr="003C2E0B" w14:paraId="60F7E138" w14:textId="77777777" w:rsidTr="00B141AE">
        <w:trPr>
          <w:trHeight w:val="227"/>
        </w:trPr>
        <w:tc>
          <w:tcPr>
            <w:tcW w:w="1694" w:type="pct"/>
            <w:shd w:val="clear" w:color="auto" w:fill="auto"/>
            <w:vAlign w:val="bottom"/>
          </w:tcPr>
          <w:p w14:paraId="6C07F173" w14:textId="77777777" w:rsidR="00711800" w:rsidRPr="003C2E0B" w:rsidRDefault="00711800" w:rsidP="00303737">
            <w:pPr>
              <w:rPr>
                <w:rFonts w:eastAsia="Calibri" w:cs="Arial CE"/>
                <w:sz w:val="20"/>
                <w:szCs w:val="20"/>
              </w:rPr>
            </w:pPr>
            <w:r w:rsidRPr="003C2E0B">
              <w:rPr>
                <w:rFonts w:eastAsia="Calibri" w:cs="Arial CE"/>
                <w:sz w:val="20"/>
                <w:szCs w:val="20"/>
              </w:rPr>
              <w:t xml:space="preserve">Slovenská informačná služba </w:t>
            </w:r>
          </w:p>
        </w:tc>
        <w:tc>
          <w:tcPr>
            <w:tcW w:w="618" w:type="pct"/>
            <w:shd w:val="clear" w:color="auto" w:fill="auto"/>
            <w:vAlign w:val="bottom"/>
          </w:tcPr>
          <w:p w14:paraId="07C6BD5F"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169</w:t>
            </w:r>
          </w:p>
        </w:tc>
        <w:tc>
          <w:tcPr>
            <w:tcW w:w="540" w:type="pct"/>
            <w:shd w:val="clear" w:color="auto" w:fill="auto"/>
            <w:vAlign w:val="bottom"/>
          </w:tcPr>
          <w:p w14:paraId="6E5B8AE6"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130</w:t>
            </w:r>
          </w:p>
        </w:tc>
        <w:tc>
          <w:tcPr>
            <w:tcW w:w="617" w:type="pct"/>
            <w:shd w:val="clear" w:color="auto" w:fill="auto"/>
            <w:vAlign w:val="bottom"/>
          </w:tcPr>
          <w:p w14:paraId="48EC8BE5"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130</w:t>
            </w:r>
          </w:p>
        </w:tc>
        <w:tc>
          <w:tcPr>
            <w:tcW w:w="617" w:type="pct"/>
            <w:vAlign w:val="bottom"/>
          </w:tcPr>
          <w:p w14:paraId="35BFB139"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225</w:t>
            </w:r>
          </w:p>
        </w:tc>
        <w:tc>
          <w:tcPr>
            <w:tcW w:w="462" w:type="pct"/>
            <w:shd w:val="clear" w:color="auto" w:fill="auto"/>
            <w:vAlign w:val="bottom"/>
          </w:tcPr>
          <w:p w14:paraId="15FEBA2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95</w:t>
            </w:r>
          </w:p>
        </w:tc>
        <w:tc>
          <w:tcPr>
            <w:tcW w:w="453" w:type="pct"/>
            <w:shd w:val="clear" w:color="auto" w:fill="auto"/>
            <w:vAlign w:val="bottom"/>
          </w:tcPr>
          <w:p w14:paraId="6838AAA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133,1</w:t>
            </w:r>
          </w:p>
        </w:tc>
      </w:tr>
      <w:tr w:rsidR="00711800" w:rsidRPr="003C2E0B" w14:paraId="1C3F6813" w14:textId="77777777" w:rsidTr="00B141AE">
        <w:trPr>
          <w:trHeight w:val="227"/>
        </w:trPr>
        <w:tc>
          <w:tcPr>
            <w:tcW w:w="1694" w:type="pct"/>
            <w:shd w:val="clear" w:color="auto" w:fill="auto"/>
            <w:vAlign w:val="bottom"/>
          </w:tcPr>
          <w:p w14:paraId="20881AA8" w14:textId="77777777" w:rsidR="00711800" w:rsidRPr="003C2E0B" w:rsidRDefault="00711800" w:rsidP="00303737">
            <w:pPr>
              <w:rPr>
                <w:rFonts w:eastAsia="Calibri" w:cs="Arial CE"/>
                <w:sz w:val="20"/>
                <w:szCs w:val="20"/>
              </w:rPr>
            </w:pPr>
            <w:r w:rsidRPr="003C2E0B">
              <w:rPr>
                <w:rFonts w:eastAsia="Calibri" w:cs="Arial CE"/>
                <w:sz w:val="20"/>
                <w:szCs w:val="20"/>
              </w:rPr>
              <w:t xml:space="preserve">Ministerstvo zahraničných vecí </w:t>
            </w:r>
          </w:p>
          <w:p w14:paraId="2073556E" w14:textId="77777777" w:rsidR="00711800" w:rsidRPr="003C2E0B" w:rsidRDefault="00711800" w:rsidP="00303737">
            <w:pPr>
              <w:rPr>
                <w:rFonts w:eastAsia="Calibri" w:cs="Arial CE"/>
                <w:sz w:val="20"/>
                <w:szCs w:val="20"/>
              </w:rPr>
            </w:pPr>
            <w:r w:rsidRPr="003C2E0B">
              <w:rPr>
                <w:rFonts w:eastAsia="Calibri" w:cs="Arial CE"/>
                <w:sz w:val="20"/>
                <w:szCs w:val="20"/>
              </w:rPr>
              <w:t>a európskych záležitostí SR</w:t>
            </w:r>
          </w:p>
        </w:tc>
        <w:tc>
          <w:tcPr>
            <w:tcW w:w="618" w:type="pct"/>
            <w:shd w:val="clear" w:color="auto" w:fill="auto"/>
            <w:vAlign w:val="bottom"/>
          </w:tcPr>
          <w:p w14:paraId="03A131D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2 456</w:t>
            </w:r>
          </w:p>
        </w:tc>
        <w:tc>
          <w:tcPr>
            <w:tcW w:w="540" w:type="pct"/>
            <w:shd w:val="clear" w:color="auto" w:fill="auto"/>
            <w:vAlign w:val="bottom"/>
          </w:tcPr>
          <w:p w14:paraId="5A0270AE"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1 800</w:t>
            </w:r>
          </w:p>
        </w:tc>
        <w:tc>
          <w:tcPr>
            <w:tcW w:w="617" w:type="pct"/>
            <w:shd w:val="clear" w:color="auto" w:fill="auto"/>
            <w:vAlign w:val="bottom"/>
          </w:tcPr>
          <w:p w14:paraId="2AA9A00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1 800</w:t>
            </w:r>
          </w:p>
        </w:tc>
        <w:tc>
          <w:tcPr>
            <w:tcW w:w="617" w:type="pct"/>
            <w:vAlign w:val="bottom"/>
          </w:tcPr>
          <w:p w14:paraId="486DC839"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2 564</w:t>
            </w:r>
          </w:p>
        </w:tc>
        <w:tc>
          <w:tcPr>
            <w:tcW w:w="462" w:type="pct"/>
            <w:shd w:val="clear" w:color="auto" w:fill="auto"/>
            <w:vAlign w:val="bottom"/>
          </w:tcPr>
          <w:p w14:paraId="36A700B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764</w:t>
            </w:r>
          </w:p>
        </w:tc>
        <w:tc>
          <w:tcPr>
            <w:tcW w:w="453" w:type="pct"/>
            <w:shd w:val="clear" w:color="auto" w:fill="auto"/>
            <w:vAlign w:val="bottom"/>
          </w:tcPr>
          <w:p w14:paraId="3FD2FCF7"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104,4</w:t>
            </w:r>
          </w:p>
        </w:tc>
      </w:tr>
      <w:tr w:rsidR="00711800" w:rsidRPr="003C2E0B" w14:paraId="2D7F654A" w14:textId="77777777" w:rsidTr="00B141AE">
        <w:trPr>
          <w:trHeight w:val="227"/>
        </w:trPr>
        <w:tc>
          <w:tcPr>
            <w:tcW w:w="1694" w:type="pct"/>
            <w:shd w:val="clear" w:color="auto" w:fill="auto"/>
            <w:vAlign w:val="bottom"/>
          </w:tcPr>
          <w:p w14:paraId="47885A4C" w14:textId="77777777" w:rsidR="00711800" w:rsidRPr="003C2E0B" w:rsidRDefault="00711800" w:rsidP="00303737">
            <w:pPr>
              <w:rPr>
                <w:rFonts w:eastAsia="Calibri" w:cs="Arial CE"/>
                <w:sz w:val="20"/>
                <w:szCs w:val="20"/>
              </w:rPr>
            </w:pPr>
            <w:r w:rsidRPr="003C2E0B">
              <w:rPr>
                <w:rFonts w:eastAsia="Calibri" w:cs="Arial CE"/>
                <w:sz w:val="20"/>
                <w:szCs w:val="20"/>
              </w:rPr>
              <w:t xml:space="preserve">Ministerstvo obrany SR </w:t>
            </w:r>
          </w:p>
        </w:tc>
        <w:tc>
          <w:tcPr>
            <w:tcW w:w="618" w:type="pct"/>
            <w:shd w:val="clear" w:color="auto" w:fill="auto"/>
            <w:vAlign w:val="bottom"/>
          </w:tcPr>
          <w:p w14:paraId="54FCF4B1"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6 980</w:t>
            </w:r>
          </w:p>
        </w:tc>
        <w:tc>
          <w:tcPr>
            <w:tcW w:w="540" w:type="pct"/>
            <w:shd w:val="clear" w:color="auto" w:fill="auto"/>
            <w:vAlign w:val="bottom"/>
          </w:tcPr>
          <w:p w14:paraId="07441766"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9 047</w:t>
            </w:r>
          </w:p>
        </w:tc>
        <w:tc>
          <w:tcPr>
            <w:tcW w:w="617" w:type="pct"/>
            <w:shd w:val="clear" w:color="auto" w:fill="auto"/>
            <w:vAlign w:val="bottom"/>
          </w:tcPr>
          <w:p w14:paraId="5A426983"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4 911</w:t>
            </w:r>
          </w:p>
        </w:tc>
        <w:tc>
          <w:tcPr>
            <w:tcW w:w="617" w:type="pct"/>
            <w:vAlign w:val="bottom"/>
          </w:tcPr>
          <w:p w14:paraId="40D6AF0A"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5 016</w:t>
            </w:r>
          </w:p>
        </w:tc>
        <w:tc>
          <w:tcPr>
            <w:tcW w:w="462" w:type="pct"/>
            <w:shd w:val="clear" w:color="auto" w:fill="auto"/>
            <w:vAlign w:val="bottom"/>
          </w:tcPr>
          <w:p w14:paraId="0705F46B"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105</w:t>
            </w:r>
          </w:p>
        </w:tc>
        <w:tc>
          <w:tcPr>
            <w:tcW w:w="453" w:type="pct"/>
            <w:shd w:val="clear" w:color="auto" w:fill="auto"/>
            <w:vAlign w:val="bottom"/>
          </w:tcPr>
          <w:p w14:paraId="0A7E61E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71,9</w:t>
            </w:r>
          </w:p>
        </w:tc>
      </w:tr>
      <w:tr w:rsidR="00711800" w:rsidRPr="003C2E0B" w14:paraId="7FA5DDFC" w14:textId="77777777" w:rsidTr="00B141AE">
        <w:trPr>
          <w:trHeight w:val="227"/>
        </w:trPr>
        <w:tc>
          <w:tcPr>
            <w:tcW w:w="1694" w:type="pct"/>
            <w:shd w:val="clear" w:color="auto" w:fill="auto"/>
            <w:vAlign w:val="bottom"/>
          </w:tcPr>
          <w:p w14:paraId="0B5D9776" w14:textId="77777777" w:rsidR="00711800" w:rsidRPr="003C2E0B" w:rsidRDefault="00711800" w:rsidP="00303737">
            <w:pPr>
              <w:rPr>
                <w:rFonts w:eastAsia="Calibri" w:cs="Arial CE"/>
                <w:sz w:val="20"/>
                <w:szCs w:val="20"/>
              </w:rPr>
            </w:pPr>
            <w:r w:rsidRPr="003C2E0B">
              <w:rPr>
                <w:rFonts w:eastAsia="Calibri" w:cs="Arial CE"/>
                <w:sz w:val="20"/>
                <w:szCs w:val="20"/>
              </w:rPr>
              <w:t xml:space="preserve">Ministerstvo vnútra SR </w:t>
            </w:r>
          </w:p>
        </w:tc>
        <w:tc>
          <w:tcPr>
            <w:tcW w:w="618" w:type="pct"/>
            <w:shd w:val="clear" w:color="auto" w:fill="auto"/>
            <w:vAlign w:val="bottom"/>
          </w:tcPr>
          <w:p w14:paraId="20883999"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107 402</w:t>
            </w:r>
          </w:p>
        </w:tc>
        <w:tc>
          <w:tcPr>
            <w:tcW w:w="540" w:type="pct"/>
            <w:shd w:val="clear" w:color="auto" w:fill="auto"/>
            <w:vAlign w:val="bottom"/>
          </w:tcPr>
          <w:p w14:paraId="2516711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120 822</w:t>
            </w:r>
          </w:p>
        </w:tc>
        <w:tc>
          <w:tcPr>
            <w:tcW w:w="617" w:type="pct"/>
            <w:shd w:val="clear" w:color="auto" w:fill="auto"/>
            <w:vAlign w:val="bottom"/>
          </w:tcPr>
          <w:p w14:paraId="68FE006F"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138 128</w:t>
            </w:r>
          </w:p>
        </w:tc>
        <w:tc>
          <w:tcPr>
            <w:tcW w:w="617" w:type="pct"/>
            <w:vAlign w:val="bottom"/>
          </w:tcPr>
          <w:p w14:paraId="7363842E"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138 639</w:t>
            </w:r>
          </w:p>
        </w:tc>
        <w:tc>
          <w:tcPr>
            <w:tcW w:w="462" w:type="pct"/>
            <w:shd w:val="clear" w:color="auto" w:fill="auto"/>
            <w:vAlign w:val="bottom"/>
          </w:tcPr>
          <w:p w14:paraId="4BD2BB17"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511</w:t>
            </w:r>
          </w:p>
        </w:tc>
        <w:tc>
          <w:tcPr>
            <w:tcW w:w="453" w:type="pct"/>
            <w:shd w:val="clear" w:color="auto" w:fill="auto"/>
            <w:vAlign w:val="bottom"/>
          </w:tcPr>
          <w:p w14:paraId="6E604E3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129,1</w:t>
            </w:r>
          </w:p>
        </w:tc>
      </w:tr>
      <w:tr w:rsidR="00711800" w:rsidRPr="003C2E0B" w14:paraId="58108CFF" w14:textId="77777777" w:rsidTr="00B141AE">
        <w:trPr>
          <w:trHeight w:val="227"/>
        </w:trPr>
        <w:tc>
          <w:tcPr>
            <w:tcW w:w="1694" w:type="pct"/>
            <w:shd w:val="clear" w:color="auto" w:fill="auto"/>
            <w:vAlign w:val="bottom"/>
          </w:tcPr>
          <w:p w14:paraId="1942015D" w14:textId="77777777" w:rsidR="00711800" w:rsidRPr="003C2E0B" w:rsidRDefault="00711800" w:rsidP="00303737">
            <w:pPr>
              <w:rPr>
                <w:rFonts w:eastAsia="Calibri" w:cs="Arial CE"/>
                <w:sz w:val="20"/>
                <w:szCs w:val="20"/>
              </w:rPr>
            </w:pPr>
            <w:r w:rsidRPr="003C2E0B">
              <w:rPr>
                <w:rFonts w:eastAsia="Calibri" w:cs="Arial CE"/>
                <w:sz w:val="20"/>
                <w:szCs w:val="20"/>
              </w:rPr>
              <w:t xml:space="preserve">Ministerstvo spravodlivosti SR </w:t>
            </w:r>
          </w:p>
        </w:tc>
        <w:tc>
          <w:tcPr>
            <w:tcW w:w="618" w:type="pct"/>
            <w:shd w:val="clear" w:color="auto" w:fill="auto"/>
            <w:vAlign w:val="bottom"/>
          </w:tcPr>
          <w:p w14:paraId="143B0728"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27 712</w:t>
            </w:r>
          </w:p>
        </w:tc>
        <w:tc>
          <w:tcPr>
            <w:tcW w:w="540" w:type="pct"/>
            <w:shd w:val="clear" w:color="auto" w:fill="auto"/>
            <w:vAlign w:val="bottom"/>
          </w:tcPr>
          <w:p w14:paraId="378E501D"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23 281</w:t>
            </w:r>
          </w:p>
        </w:tc>
        <w:tc>
          <w:tcPr>
            <w:tcW w:w="617" w:type="pct"/>
            <w:shd w:val="clear" w:color="auto" w:fill="auto"/>
            <w:vAlign w:val="bottom"/>
          </w:tcPr>
          <w:p w14:paraId="69A4466B"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23 292</w:t>
            </w:r>
          </w:p>
        </w:tc>
        <w:tc>
          <w:tcPr>
            <w:tcW w:w="617" w:type="pct"/>
            <w:vAlign w:val="bottom"/>
          </w:tcPr>
          <w:p w14:paraId="5E2E6790"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33 448</w:t>
            </w:r>
          </w:p>
        </w:tc>
        <w:tc>
          <w:tcPr>
            <w:tcW w:w="462" w:type="pct"/>
            <w:shd w:val="clear" w:color="auto" w:fill="auto"/>
            <w:vAlign w:val="bottom"/>
          </w:tcPr>
          <w:p w14:paraId="3547E05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10 156</w:t>
            </w:r>
          </w:p>
        </w:tc>
        <w:tc>
          <w:tcPr>
            <w:tcW w:w="453" w:type="pct"/>
            <w:shd w:val="clear" w:color="auto" w:fill="auto"/>
            <w:vAlign w:val="bottom"/>
          </w:tcPr>
          <w:p w14:paraId="2176726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120,7</w:t>
            </w:r>
          </w:p>
        </w:tc>
      </w:tr>
      <w:tr w:rsidR="00711800" w:rsidRPr="003C2E0B" w14:paraId="6DA4C16B" w14:textId="77777777" w:rsidTr="00B141AE">
        <w:trPr>
          <w:trHeight w:val="227"/>
        </w:trPr>
        <w:tc>
          <w:tcPr>
            <w:tcW w:w="1694" w:type="pct"/>
            <w:shd w:val="clear" w:color="auto" w:fill="auto"/>
            <w:vAlign w:val="bottom"/>
          </w:tcPr>
          <w:p w14:paraId="0DFE04D5" w14:textId="77777777" w:rsidR="00711800" w:rsidRPr="003C2E0B" w:rsidRDefault="00711800" w:rsidP="00303737">
            <w:pPr>
              <w:rPr>
                <w:rFonts w:eastAsia="Calibri" w:cs="Arial CE"/>
                <w:sz w:val="20"/>
                <w:szCs w:val="20"/>
              </w:rPr>
            </w:pPr>
            <w:r w:rsidRPr="003C2E0B">
              <w:rPr>
                <w:rFonts w:eastAsia="Calibri" w:cs="Arial CE"/>
                <w:sz w:val="20"/>
                <w:szCs w:val="20"/>
              </w:rPr>
              <w:t xml:space="preserve">Ministerstvo financií SR  </w:t>
            </w:r>
          </w:p>
        </w:tc>
        <w:tc>
          <w:tcPr>
            <w:tcW w:w="618" w:type="pct"/>
            <w:shd w:val="clear" w:color="auto" w:fill="auto"/>
            <w:vAlign w:val="bottom"/>
          </w:tcPr>
          <w:p w14:paraId="650C0BF6"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187 788</w:t>
            </w:r>
          </w:p>
        </w:tc>
        <w:tc>
          <w:tcPr>
            <w:tcW w:w="540" w:type="pct"/>
            <w:shd w:val="clear" w:color="auto" w:fill="auto"/>
            <w:vAlign w:val="bottom"/>
          </w:tcPr>
          <w:p w14:paraId="1A33B922"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37 811</w:t>
            </w:r>
          </w:p>
        </w:tc>
        <w:tc>
          <w:tcPr>
            <w:tcW w:w="617" w:type="pct"/>
            <w:shd w:val="clear" w:color="auto" w:fill="auto"/>
            <w:vAlign w:val="bottom"/>
          </w:tcPr>
          <w:p w14:paraId="4D51FBE2"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75 376</w:t>
            </w:r>
          </w:p>
        </w:tc>
        <w:tc>
          <w:tcPr>
            <w:tcW w:w="617" w:type="pct"/>
            <w:vAlign w:val="bottom"/>
          </w:tcPr>
          <w:p w14:paraId="5D38DF39"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83 058</w:t>
            </w:r>
          </w:p>
        </w:tc>
        <w:tc>
          <w:tcPr>
            <w:tcW w:w="462" w:type="pct"/>
            <w:shd w:val="clear" w:color="auto" w:fill="auto"/>
            <w:vAlign w:val="bottom"/>
          </w:tcPr>
          <w:p w14:paraId="69D86A8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7 682</w:t>
            </w:r>
          </w:p>
        </w:tc>
        <w:tc>
          <w:tcPr>
            <w:tcW w:w="453" w:type="pct"/>
            <w:shd w:val="clear" w:color="auto" w:fill="auto"/>
            <w:vAlign w:val="bottom"/>
          </w:tcPr>
          <w:p w14:paraId="2E7C325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44,2</w:t>
            </w:r>
          </w:p>
        </w:tc>
      </w:tr>
      <w:tr w:rsidR="00711800" w:rsidRPr="003C2E0B" w14:paraId="3654497F" w14:textId="77777777" w:rsidTr="00B141AE">
        <w:trPr>
          <w:trHeight w:val="227"/>
        </w:trPr>
        <w:tc>
          <w:tcPr>
            <w:tcW w:w="1694" w:type="pct"/>
            <w:shd w:val="clear" w:color="auto" w:fill="auto"/>
            <w:vAlign w:val="bottom"/>
          </w:tcPr>
          <w:p w14:paraId="649D2971" w14:textId="77777777" w:rsidR="00711800" w:rsidRPr="003C2E0B" w:rsidRDefault="00711800" w:rsidP="00303737">
            <w:pPr>
              <w:rPr>
                <w:rFonts w:eastAsia="Calibri" w:cs="Arial CE"/>
                <w:sz w:val="20"/>
                <w:szCs w:val="20"/>
              </w:rPr>
            </w:pPr>
            <w:r w:rsidRPr="003C2E0B">
              <w:rPr>
                <w:rFonts w:eastAsia="Calibri" w:cs="Arial CE"/>
                <w:sz w:val="20"/>
                <w:szCs w:val="20"/>
              </w:rPr>
              <w:t xml:space="preserve">Ministerstvo životného </w:t>
            </w:r>
          </w:p>
          <w:p w14:paraId="7C4BD2C0" w14:textId="77777777" w:rsidR="00711800" w:rsidRPr="003C2E0B" w:rsidRDefault="00711800" w:rsidP="00303737">
            <w:pPr>
              <w:rPr>
                <w:rFonts w:eastAsia="Calibri" w:cs="Arial CE"/>
                <w:sz w:val="20"/>
                <w:szCs w:val="20"/>
              </w:rPr>
            </w:pPr>
            <w:r w:rsidRPr="003C2E0B">
              <w:rPr>
                <w:rFonts w:eastAsia="Calibri" w:cs="Arial CE"/>
                <w:sz w:val="20"/>
                <w:szCs w:val="20"/>
              </w:rPr>
              <w:t xml:space="preserve">prostredia  SR  </w:t>
            </w:r>
          </w:p>
        </w:tc>
        <w:tc>
          <w:tcPr>
            <w:tcW w:w="618" w:type="pct"/>
            <w:shd w:val="clear" w:color="auto" w:fill="auto"/>
            <w:vAlign w:val="bottom"/>
          </w:tcPr>
          <w:p w14:paraId="03E115E0"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325 798</w:t>
            </w:r>
          </w:p>
        </w:tc>
        <w:tc>
          <w:tcPr>
            <w:tcW w:w="540" w:type="pct"/>
            <w:shd w:val="clear" w:color="auto" w:fill="auto"/>
            <w:vAlign w:val="bottom"/>
          </w:tcPr>
          <w:p w14:paraId="6D10EB3E"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409 228</w:t>
            </w:r>
          </w:p>
        </w:tc>
        <w:tc>
          <w:tcPr>
            <w:tcW w:w="617" w:type="pct"/>
            <w:shd w:val="clear" w:color="auto" w:fill="auto"/>
            <w:vAlign w:val="bottom"/>
          </w:tcPr>
          <w:p w14:paraId="3D1DA48E"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362 905</w:t>
            </w:r>
          </w:p>
        </w:tc>
        <w:tc>
          <w:tcPr>
            <w:tcW w:w="617" w:type="pct"/>
            <w:vAlign w:val="bottom"/>
          </w:tcPr>
          <w:p w14:paraId="353EBF51"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364 894</w:t>
            </w:r>
          </w:p>
        </w:tc>
        <w:tc>
          <w:tcPr>
            <w:tcW w:w="462" w:type="pct"/>
            <w:shd w:val="clear" w:color="auto" w:fill="auto"/>
            <w:vAlign w:val="bottom"/>
          </w:tcPr>
          <w:p w14:paraId="433E573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1 989</w:t>
            </w:r>
          </w:p>
        </w:tc>
        <w:tc>
          <w:tcPr>
            <w:tcW w:w="453" w:type="pct"/>
            <w:shd w:val="clear" w:color="auto" w:fill="auto"/>
            <w:vAlign w:val="bottom"/>
          </w:tcPr>
          <w:p w14:paraId="49A4120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112,0</w:t>
            </w:r>
          </w:p>
        </w:tc>
      </w:tr>
      <w:tr w:rsidR="00711800" w:rsidRPr="003C2E0B" w14:paraId="51FAAAE0" w14:textId="77777777" w:rsidTr="00B141AE">
        <w:trPr>
          <w:trHeight w:val="227"/>
        </w:trPr>
        <w:tc>
          <w:tcPr>
            <w:tcW w:w="1694" w:type="pct"/>
            <w:shd w:val="clear" w:color="auto" w:fill="auto"/>
            <w:vAlign w:val="bottom"/>
          </w:tcPr>
          <w:p w14:paraId="5A945464" w14:textId="77777777" w:rsidR="00711800" w:rsidRPr="003C2E0B" w:rsidRDefault="00711800" w:rsidP="00303737">
            <w:pPr>
              <w:rPr>
                <w:rFonts w:eastAsia="Calibri" w:cs="Arial CE"/>
                <w:sz w:val="20"/>
                <w:szCs w:val="20"/>
              </w:rPr>
            </w:pPr>
            <w:r w:rsidRPr="003C2E0B">
              <w:rPr>
                <w:rFonts w:eastAsia="Calibri" w:cs="Arial CE"/>
                <w:sz w:val="20"/>
                <w:szCs w:val="20"/>
              </w:rPr>
              <w:t>Ministerstvo školstva, vedy, výskumu a športu SR</w:t>
            </w:r>
          </w:p>
        </w:tc>
        <w:tc>
          <w:tcPr>
            <w:tcW w:w="618" w:type="pct"/>
            <w:shd w:val="clear" w:color="auto" w:fill="auto"/>
            <w:vAlign w:val="bottom"/>
          </w:tcPr>
          <w:p w14:paraId="07767692"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38 466</w:t>
            </w:r>
          </w:p>
        </w:tc>
        <w:tc>
          <w:tcPr>
            <w:tcW w:w="540" w:type="pct"/>
            <w:shd w:val="clear" w:color="auto" w:fill="auto"/>
            <w:vAlign w:val="bottom"/>
          </w:tcPr>
          <w:p w14:paraId="66AF6447"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81 529</w:t>
            </w:r>
          </w:p>
        </w:tc>
        <w:tc>
          <w:tcPr>
            <w:tcW w:w="617" w:type="pct"/>
            <w:shd w:val="clear" w:color="auto" w:fill="auto"/>
            <w:vAlign w:val="bottom"/>
          </w:tcPr>
          <w:p w14:paraId="71A6DC32"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43 674</w:t>
            </w:r>
          </w:p>
        </w:tc>
        <w:tc>
          <w:tcPr>
            <w:tcW w:w="617" w:type="pct"/>
            <w:vAlign w:val="bottom"/>
          </w:tcPr>
          <w:p w14:paraId="295A534A"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44 985</w:t>
            </w:r>
          </w:p>
        </w:tc>
        <w:tc>
          <w:tcPr>
            <w:tcW w:w="462" w:type="pct"/>
            <w:shd w:val="clear" w:color="auto" w:fill="auto"/>
            <w:vAlign w:val="bottom"/>
          </w:tcPr>
          <w:p w14:paraId="093A11BB"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1 311</w:t>
            </w:r>
          </w:p>
        </w:tc>
        <w:tc>
          <w:tcPr>
            <w:tcW w:w="453" w:type="pct"/>
            <w:shd w:val="clear" w:color="auto" w:fill="auto"/>
            <w:vAlign w:val="bottom"/>
          </w:tcPr>
          <w:p w14:paraId="13C6F03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116,9</w:t>
            </w:r>
          </w:p>
        </w:tc>
      </w:tr>
      <w:tr w:rsidR="00711800" w:rsidRPr="003C2E0B" w14:paraId="5EC7D039" w14:textId="77777777" w:rsidTr="00B141AE">
        <w:trPr>
          <w:trHeight w:val="227"/>
        </w:trPr>
        <w:tc>
          <w:tcPr>
            <w:tcW w:w="1694" w:type="pct"/>
            <w:shd w:val="clear" w:color="auto" w:fill="auto"/>
            <w:vAlign w:val="bottom"/>
          </w:tcPr>
          <w:p w14:paraId="187A29FF" w14:textId="77777777" w:rsidR="00711800" w:rsidRPr="003C2E0B" w:rsidRDefault="00711800" w:rsidP="00303737">
            <w:pPr>
              <w:rPr>
                <w:rFonts w:eastAsia="Calibri" w:cs="Arial CE"/>
                <w:sz w:val="20"/>
                <w:szCs w:val="20"/>
              </w:rPr>
            </w:pPr>
            <w:r w:rsidRPr="003C2E0B">
              <w:rPr>
                <w:rFonts w:eastAsia="Calibri" w:cs="Arial CE"/>
                <w:sz w:val="20"/>
                <w:szCs w:val="20"/>
              </w:rPr>
              <w:t xml:space="preserve">Ministerstvo zdravotníctva SR  </w:t>
            </w:r>
          </w:p>
        </w:tc>
        <w:tc>
          <w:tcPr>
            <w:tcW w:w="618" w:type="pct"/>
            <w:shd w:val="clear" w:color="auto" w:fill="auto"/>
            <w:vAlign w:val="bottom"/>
          </w:tcPr>
          <w:p w14:paraId="21A9CE37"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37 196</w:t>
            </w:r>
          </w:p>
        </w:tc>
        <w:tc>
          <w:tcPr>
            <w:tcW w:w="540" w:type="pct"/>
            <w:shd w:val="clear" w:color="auto" w:fill="auto"/>
            <w:vAlign w:val="bottom"/>
          </w:tcPr>
          <w:p w14:paraId="0A58DEC3"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39 078</w:t>
            </w:r>
          </w:p>
        </w:tc>
        <w:tc>
          <w:tcPr>
            <w:tcW w:w="617" w:type="pct"/>
            <w:shd w:val="clear" w:color="auto" w:fill="auto"/>
            <w:vAlign w:val="bottom"/>
          </w:tcPr>
          <w:p w14:paraId="0E669CF5"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38 204</w:t>
            </w:r>
          </w:p>
        </w:tc>
        <w:tc>
          <w:tcPr>
            <w:tcW w:w="617" w:type="pct"/>
            <w:vAlign w:val="bottom"/>
          </w:tcPr>
          <w:p w14:paraId="11A02CBD"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37 830</w:t>
            </w:r>
          </w:p>
        </w:tc>
        <w:tc>
          <w:tcPr>
            <w:tcW w:w="462" w:type="pct"/>
            <w:shd w:val="clear" w:color="auto" w:fill="auto"/>
            <w:vAlign w:val="bottom"/>
          </w:tcPr>
          <w:p w14:paraId="48E0F7F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-374</w:t>
            </w:r>
          </w:p>
        </w:tc>
        <w:tc>
          <w:tcPr>
            <w:tcW w:w="453" w:type="pct"/>
            <w:shd w:val="clear" w:color="auto" w:fill="auto"/>
            <w:vAlign w:val="bottom"/>
          </w:tcPr>
          <w:p w14:paraId="7994DBF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101,7</w:t>
            </w:r>
          </w:p>
        </w:tc>
      </w:tr>
      <w:tr w:rsidR="00711800" w:rsidRPr="003C2E0B" w14:paraId="1784C85C" w14:textId="77777777" w:rsidTr="00B141AE">
        <w:trPr>
          <w:trHeight w:val="227"/>
        </w:trPr>
        <w:tc>
          <w:tcPr>
            <w:tcW w:w="1694" w:type="pct"/>
            <w:shd w:val="clear" w:color="auto" w:fill="auto"/>
            <w:vAlign w:val="bottom"/>
          </w:tcPr>
          <w:p w14:paraId="328C02C9" w14:textId="77777777" w:rsidR="00711800" w:rsidRPr="003C2E0B" w:rsidRDefault="00711800" w:rsidP="00303737">
            <w:pPr>
              <w:rPr>
                <w:rFonts w:eastAsia="Calibri" w:cs="Arial CE"/>
                <w:sz w:val="20"/>
                <w:szCs w:val="20"/>
              </w:rPr>
            </w:pPr>
            <w:r w:rsidRPr="003C2E0B">
              <w:rPr>
                <w:rFonts w:eastAsia="Calibri" w:cs="Arial CE"/>
                <w:sz w:val="20"/>
                <w:szCs w:val="20"/>
              </w:rPr>
              <w:t xml:space="preserve">Ministerstvo práce, sociálnych vecí a rodiny SR </w:t>
            </w:r>
          </w:p>
        </w:tc>
        <w:tc>
          <w:tcPr>
            <w:tcW w:w="618" w:type="pct"/>
            <w:shd w:val="clear" w:color="auto" w:fill="auto"/>
            <w:vAlign w:val="bottom"/>
          </w:tcPr>
          <w:p w14:paraId="405397F6"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229 341</w:t>
            </w:r>
          </w:p>
        </w:tc>
        <w:tc>
          <w:tcPr>
            <w:tcW w:w="540" w:type="pct"/>
            <w:shd w:val="clear" w:color="auto" w:fill="auto"/>
            <w:vAlign w:val="bottom"/>
          </w:tcPr>
          <w:p w14:paraId="61F98205"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98 172</w:t>
            </w:r>
          </w:p>
        </w:tc>
        <w:tc>
          <w:tcPr>
            <w:tcW w:w="617" w:type="pct"/>
            <w:shd w:val="clear" w:color="auto" w:fill="auto"/>
            <w:vAlign w:val="bottom"/>
          </w:tcPr>
          <w:p w14:paraId="3BFDE8D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234 840</w:t>
            </w:r>
          </w:p>
        </w:tc>
        <w:tc>
          <w:tcPr>
            <w:tcW w:w="617" w:type="pct"/>
            <w:vAlign w:val="bottom"/>
          </w:tcPr>
          <w:p w14:paraId="16DB211B"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237 144</w:t>
            </w:r>
          </w:p>
        </w:tc>
        <w:tc>
          <w:tcPr>
            <w:tcW w:w="462" w:type="pct"/>
            <w:shd w:val="clear" w:color="auto" w:fill="auto"/>
            <w:vAlign w:val="bottom"/>
          </w:tcPr>
          <w:p w14:paraId="6F91D2D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2 304</w:t>
            </w:r>
          </w:p>
        </w:tc>
        <w:tc>
          <w:tcPr>
            <w:tcW w:w="453" w:type="pct"/>
            <w:shd w:val="clear" w:color="auto" w:fill="auto"/>
            <w:vAlign w:val="bottom"/>
          </w:tcPr>
          <w:p w14:paraId="4852474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103,4</w:t>
            </w:r>
          </w:p>
        </w:tc>
      </w:tr>
      <w:tr w:rsidR="00711800" w:rsidRPr="003C2E0B" w14:paraId="1F375C6D" w14:textId="77777777" w:rsidTr="00B141AE">
        <w:trPr>
          <w:trHeight w:val="227"/>
        </w:trPr>
        <w:tc>
          <w:tcPr>
            <w:tcW w:w="1694" w:type="pct"/>
            <w:shd w:val="clear" w:color="auto" w:fill="auto"/>
            <w:vAlign w:val="bottom"/>
          </w:tcPr>
          <w:p w14:paraId="5C071DEE" w14:textId="77777777" w:rsidR="00711800" w:rsidRPr="003C2E0B" w:rsidRDefault="00711800" w:rsidP="00303737">
            <w:pPr>
              <w:rPr>
                <w:rFonts w:eastAsia="Calibri" w:cs="Arial CE"/>
                <w:sz w:val="20"/>
                <w:szCs w:val="20"/>
              </w:rPr>
            </w:pPr>
            <w:r w:rsidRPr="003C2E0B">
              <w:rPr>
                <w:rFonts w:eastAsia="Calibri" w:cs="Arial CE"/>
                <w:sz w:val="20"/>
                <w:szCs w:val="20"/>
              </w:rPr>
              <w:t xml:space="preserve">Ministerstvo kultúry SR </w:t>
            </w:r>
          </w:p>
        </w:tc>
        <w:tc>
          <w:tcPr>
            <w:tcW w:w="618" w:type="pct"/>
            <w:shd w:val="clear" w:color="auto" w:fill="auto"/>
            <w:vAlign w:val="bottom"/>
          </w:tcPr>
          <w:p w14:paraId="18140942"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1 387</w:t>
            </w:r>
          </w:p>
        </w:tc>
        <w:tc>
          <w:tcPr>
            <w:tcW w:w="540" w:type="pct"/>
            <w:shd w:val="clear" w:color="auto" w:fill="auto"/>
            <w:vAlign w:val="bottom"/>
          </w:tcPr>
          <w:p w14:paraId="53B3DBA1"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1 500</w:t>
            </w:r>
          </w:p>
        </w:tc>
        <w:tc>
          <w:tcPr>
            <w:tcW w:w="617" w:type="pct"/>
            <w:shd w:val="clear" w:color="auto" w:fill="auto"/>
            <w:vAlign w:val="bottom"/>
          </w:tcPr>
          <w:p w14:paraId="35FD813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1 151</w:t>
            </w:r>
          </w:p>
        </w:tc>
        <w:tc>
          <w:tcPr>
            <w:tcW w:w="617" w:type="pct"/>
            <w:vAlign w:val="bottom"/>
          </w:tcPr>
          <w:p w14:paraId="5953BB27"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1 156</w:t>
            </w:r>
          </w:p>
        </w:tc>
        <w:tc>
          <w:tcPr>
            <w:tcW w:w="462" w:type="pct"/>
            <w:shd w:val="clear" w:color="auto" w:fill="auto"/>
            <w:vAlign w:val="bottom"/>
          </w:tcPr>
          <w:p w14:paraId="7C3FB7A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w:t>
            </w:r>
          </w:p>
        </w:tc>
        <w:tc>
          <w:tcPr>
            <w:tcW w:w="453" w:type="pct"/>
            <w:shd w:val="clear" w:color="auto" w:fill="auto"/>
            <w:vAlign w:val="bottom"/>
          </w:tcPr>
          <w:p w14:paraId="3374B45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83,3</w:t>
            </w:r>
          </w:p>
        </w:tc>
      </w:tr>
      <w:tr w:rsidR="00711800" w:rsidRPr="003C2E0B" w14:paraId="6FE6F49A" w14:textId="77777777" w:rsidTr="00B141AE">
        <w:trPr>
          <w:trHeight w:val="227"/>
        </w:trPr>
        <w:tc>
          <w:tcPr>
            <w:tcW w:w="1694" w:type="pct"/>
            <w:shd w:val="clear" w:color="auto" w:fill="auto"/>
            <w:vAlign w:val="bottom"/>
          </w:tcPr>
          <w:p w14:paraId="29E18DE0" w14:textId="77777777" w:rsidR="00711800" w:rsidRPr="003C2E0B" w:rsidRDefault="00711800" w:rsidP="00303737">
            <w:pPr>
              <w:rPr>
                <w:rFonts w:eastAsia="Calibri" w:cs="Arial CE"/>
                <w:sz w:val="20"/>
                <w:szCs w:val="20"/>
              </w:rPr>
            </w:pPr>
            <w:r w:rsidRPr="003C2E0B">
              <w:rPr>
                <w:rFonts w:eastAsia="Calibri" w:cs="Arial CE"/>
                <w:sz w:val="20"/>
                <w:szCs w:val="20"/>
              </w:rPr>
              <w:t xml:space="preserve">Ministerstvo hospodárstva SR   </w:t>
            </w:r>
          </w:p>
        </w:tc>
        <w:tc>
          <w:tcPr>
            <w:tcW w:w="618" w:type="pct"/>
            <w:shd w:val="clear" w:color="auto" w:fill="auto"/>
            <w:vAlign w:val="bottom"/>
          </w:tcPr>
          <w:p w14:paraId="4D0CA0C4"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192 766</w:t>
            </w:r>
          </w:p>
        </w:tc>
        <w:tc>
          <w:tcPr>
            <w:tcW w:w="540" w:type="pct"/>
            <w:shd w:val="clear" w:color="auto" w:fill="auto"/>
            <w:vAlign w:val="bottom"/>
          </w:tcPr>
          <w:p w14:paraId="78806999"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293 693</w:t>
            </w:r>
          </w:p>
        </w:tc>
        <w:tc>
          <w:tcPr>
            <w:tcW w:w="617" w:type="pct"/>
            <w:shd w:val="clear" w:color="auto" w:fill="auto"/>
            <w:vAlign w:val="bottom"/>
          </w:tcPr>
          <w:p w14:paraId="71601016"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194 344</w:t>
            </w:r>
          </w:p>
        </w:tc>
        <w:tc>
          <w:tcPr>
            <w:tcW w:w="617" w:type="pct"/>
            <w:vAlign w:val="bottom"/>
          </w:tcPr>
          <w:p w14:paraId="0D55FF6D"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194 860</w:t>
            </w:r>
          </w:p>
        </w:tc>
        <w:tc>
          <w:tcPr>
            <w:tcW w:w="462" w:type="pct"/>
            <w:shd w:val="clear" w:color="auto" w:fill="auto"/>
            <w:vAlign w:val="bottom"/>
          </w:tcPr>
          <w:p w14:paraId="3734AD9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516</w:t>
            </w:r>
          </w:p>
        </w:tc>
        <w:tc>
          <w:tcPr>
            <w:tcW w:w="453" w:type="pct"/>
            <w:shd w:val="clear" w:color="auto" w:fill="auto"/>
            <w:vAlign w:val="bottom"/>
          </w:tcPr>
          <w:p w14:paraId="7AF3A3F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101,1</w:t>
            </w:r>
          </w:p>
        </w:tc>
      </w:tr>
      <w:tr w:rsidR="00711800" w:rsidRPr="003C2E0B" w14:paraId="73901CC2" w14:textId="77777777" w:rsidTr="00B141AE">
        <w:trPr>
          <w:trHeight w:val="227"/>
        </w:trPr>
        <w:tc>
          <w:tcPr>
            <w:tcW w:w="1694" w:type="pct"/>
            <w:shd w:val="clear" w:color="auto" w:fill="auto"/>
            <w:vAlign w:val="bottom"/>
          </w:tcPr>
          <w:p w14:paraId="0A42B41B" w14:textId="77777777" w:rsidR="00711800" w:rsidRPr="003C2E0B" w:rsidRDefault="00711800" w:rsidP="00303737">
            <w:pPr>
              <w:rPr>
                <w:rFonts w:eastAsia="Calibri" w:cs="Arial CE"/>
                <w:sz w:val="20"/>
                <w:szCs w:val="20"/>
              </w:rPr>
            </w:pPr>
            <w:r w:rsidRPr="003C2E0B">
              <w:rPr>
                <w:rFonts w:eastAsia="Calibri" w:cs="Arial CE"/>
                <w:sz w:val="20"/>
                <w:szCs w:val="20"/>
              </w:rPr>
              <w:t xml:space="preserve">Ministerstvo pôdohospodárstva a rozvoja vidieka SR  </w:t>
            </w:r>
          </w:p>
        </w:tc>
        <w:tc>
          <w:tcPr>
            <w:tcW w:w="618" w:type="pct"/>
            <w:shd w:val="clear" w:color="auto" w:fill="auto"/>
            <w:vAlign w:val="bottom"/>
          </w:tcPr>
          <w:p w14:paraId="3C042289"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804 512</w:t>
            </w:r>
          </w:p>
        </w:tc>
        <w:tc>
          <w:tcPr>
            <w:tcW w:w="540" w:type="pct"/>
            <w:shd w:val="clear" w:color="auto" w:fill="auto"/>
            <w:vAlign w:val="bottom"/>
          </w:tcPr>
          <w:p w14:paraId="05ADBA7D"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829 679</w:t>
            </w:r>
          </w:p>
        </w:tc>
        <w:tc>
          <w:tcPr>
            <w:tcW w:w="617" w:type="pct"/>
            <w:shd w:val="clear" w:color="auto" w:fill="auto"/>
            <w:vAlign w:val="bottom"/>
          </w:tcPr>
          <w:p w14:paraId="74D80348"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906 235</w:t>
            </w:r>
          </w:p>
        </w:tc>
        <w:tc>
          <w:tcPr>
            <w:tcW w:w="617" w:type="pct"/>
            <w:vAlign w:val="bottom"/>
          </w:tcPr>
          <w:p w14:paraId="1E02D200"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907 194</w:t>
            </w:r>
          </w:p>
        </w:tc>
        <w:tc>
          <w:tcPr>
            <w:tcW w:w="462" w:type="pct"/>
            <w:shd w:val="clear" w:color="auto" w:fill="auto"/>
            <w:vAlign w:val="bottom"/>
          </w:tcPr>
          <w:p w14:paraId="6D3F12C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959</w:t>
            </w:r>
          </w:p>
        </w:tc>
        <w:tc>
          <w:tcPr>
            <w:tcW w:w="453" w:type="pct"/>
            <w:shd w:val="clear" w:color="auto" w:fill="auto"/>
            <w:vAlign w:val="bottom"/>
          </w:tcPr>
          <w:p w14:paraId="27BF5E4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112,8</w:t>
            </w:r>
          </w:p>
        </w:tc>
      </w:tr>
      <w:tr w:rsidR="00711800" w:rsidRPr="003C2E0B" w14:paraId="18C45C6F" w14:textId="77777777" w:rsidTr="00B141AE">
        <w:trPr>
          <w:trHeight w:val="227"/>
        </w:trPr>
        <w:tc>
          <w:tcPr>
            <w:tcW w:w="1694" w:type="pct"/>
            <w:shd w:val="clear" w:color="auto" w:fill="auto"/>
            <w:vAlign w:val="bottom"/>
          </w:tcPr>
          <w:p w14:paraId="7AAC384F" w14:textId="77777777" w:rsidR="00711800" w:rsidRPr="003C2E0B" w:rsidRDefault="00711800" w:rsidP="00303737">
            <w:pPr>
              <w:rPr>
                <w:rFonts w:eastAsia="Calibri" w:cs="Arial CE"/>
                <w:sz w:val="20"/>
                <w:szCs w:val="20"/>
              </w:rPr>
            </w:pPr>
            <w:r w:rsidRPr="003C2E0B">
              <w:rPr>
                <w:rFonts w:eastAsia="Calibri" w:cs="Arial CE"/>
                <w:sz w:val="20"/>
                <w:szCs w:val="20"/>
              </w:rPr>
              <w:t xml:space="preserve">Ministerstvo dopravy a výstavby SR  </w:t>
            </w:r>
          </w:p>
        </w:tc>
        <w:tc>
          <w:tcPr>
            <w:tcW w:w="618" w:type="pct"/>
            <w:shd w:val="clear" w:color="auto" w:fill="auto"/>
            <w:vAlign w:val="bottom"/>
          </w:tcPr>
          <w:p w14:paraId="3BF91607"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546 444</w:t>
            </w:r>
          </w:p>
        </w:tc>
        <w:tc>
          <w:tcPr>
            <w:tcW w:w="540" w:type="pct"/>
            <w:shd w:val="clear" w:color="auto" w:fill="auto"/>
            <w:vAlign w:val="bottom"/>
          </w:tcPr>
          <w:p w14:paraId="5DCED099"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43 962</w:t>
            </w:r>
          </w:p>
        </w:tc>
        <w:tc>
          <w:tcPr>
            <w:tcW w:w="617" w:type="pct"/>
            <w:shd w:val="clear" w:color="auto" w:fill="auto"/>
            <w:vAlign w:val="bottom"/>
          </w:tcPr>
          <w:p w14:paraId="6225776A"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412 032</w:t>
            </w:r>
          </w:p>
        </w:tc>
        <w:tc>
          <w:tcPr>
            <w:tcW w:w="617" w:type="pct"/>
            <w:vAlign w:val="bottom"/>
          </w:tcPr>
          <w:p w14:paraId="526304AF"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415 720</w:t>
            </w:r>
          </w:p>
        </w:tc>
        <w:tc>
          <w:tcPr>
            <w:tcW w:w="462" w:type="pct"/>
            <w:shd w:val="clear" w:color="auto" w:fill="auto"/>
            <w:vAlign w:val="bottom"/>
          </w:tcPr>
          <w:p w14:paraId="3BB78BF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3 688</w:t>
            </w:r>
          </w:p>
        </w:tc>
        <w:tc>
          <w:tcPr>
            <w:tcW w:w="453" w:type="pct"/>
            <w:shd w:val="clear" w:color="auto" w:fill="auto"/>
            <w:vAlign w:val="bottom"/>
          </w:tcPr>
          <w:p w14:paraId="0B82174B"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76,1</w:t>
            </w:r>
          </w:p>
        </w:tc>
      </w:tr>
      <w:tr w:rsidR="00711800" w:rsidRPr="003C2E0B" w14:paraId="149FA8B1" w14:textId="77777777" w:rsidTr="00B141AE">
        <w:trPr>
          <w:trHeight w:val="227"/>
        </w:trPr>
        <w:tc>
          <w:tcPr>
            <w:tcW w:w="1694" w:type="pct"/>
            <w:shd w:val="clear" w:color="auto" w:fill="auto"/>
            <w:vAlign w:val="bottom"/>
          </w:tcPr>
          <w:p w14:paraId="401ACD0A" w14:textId="77777777" w:rsidR="00711800" w:rsidRPr="003C2E0B" w:rsidRDefault="00711800" w:rsidP="00303737">
            <w:pPr>
              <w:rPr>
                <w:rFonts w:eastAsia="Calibri" w:cs="Arial CE"/>
                <w:sz w:val="20"/>
                <w:szCs w:val="20"/>
              </w:rPr>
            </w:pPr>
            <w:r w:rsidRPr="003C2E0B">
              <w:rPr>
                <w:rFonts w:eastAsia="Calibri" w:cs="Arial CE"/>
                <w:sz w:val="20"/>
                <w:szCs w:val="20"/>
              </w:rPr>
              <w:t>Úrad geodézie, kartografie a katastra SR</w:t>
            </w:r>
          </w:p>
        </w:tc>
        <w:tc>
          <w:tcPr>
            <w:tcW w:w="618" w:type="pct"/>
            <w:shd w:val="clear" w:color="auto" w:fill="auto"/>
            <w:vAlign w:val="bottom"/>
          </w:tcPr>
          <w:p w14:paraId="5F38D3BE"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240</w:t>
            </w:r>
          </w:p>
        </w:tc>
        <w:tc>
          <w:tcPr>
            <w:tcW w:w="540" w:type="pct"/>
            <w:shd w:val="clear" w:color="auto" w:fill="auto"/>
            <w:vAlign w:val="bottom"/>
          </w:tcPr>
          <w:p w14:paraId="22201B6F"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200</w:t>
            </w:r>
          </w:p>
        </w:tc>
        <w:tc>
          <w:tcPr>
            <w:tcW w:w="617" w:type="pct"/>
            <w:shd w:val="clear" w:color="auto" w:fill="auto"/>
            <w:vAlign w:val="bottom"/>
          </w:tcPr>
          <w:p w14:paraId="44C92B05"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200</w:t>
            </w:r>
          </w:p>
        </w:tc>
        <w:tc>
          <w:tcPr>
            <w:tcW w:w="617" w:type="pct"/>
            <w:vAlign w:val="bottom"/>
          </w:tcPr>
          <w:p w14:paraId="74843368"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257</w:t>
            </w:r>
          </w:p>
        </w:tc>
        <w:tc>
          <w:tcPr>
            <w:tcW w:w="462" w:type="pct"/>
            <w:shd w:val="clear" w:color="auto" w:fill="auto"/>
            <w:vAlign w:val="bottom"/>
          </w:tcPr>
          <w:p w14:paraId="0EB51FC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57</w:t>
            </w:r>
          </w:p>
        </w:tc>
        <w:tc>
          <w:tcPr>
            <w:tcW w:w="453" w:type="pct"/>
            <w:shd w:val="clear" w:color="auto" w:fill="auto"/>
            <w:vAlign w:val="bottom"/>
          </w:tcPr>
          <w:p w14:paraId="55901C6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107,1</w:t>
            </w:r>
          </w:p>
        </w:tc>
      </w:tr>
      <w:tr w:rsidR="00711800" w:rsidRPr="003C2E0B" w14:paraId="41C1A950" w14:textId="77777777" w:rsidTr="00B141AE">
        <w:trPr>
          <w:trHeight w:val="227"/>
        </w:trPr>
        <w:tc>
          <w:tcPr>
            <w:tcW w:w="1694" w:type="pct"/>
            <w:shd w:val="clear" w:color="auto" w:fill="auto"/>
            <w:vAlign w:val="bottom"/>
          </w:tcPr>
          <w:p w14:paraId="4C174406" w14:textId="77777777" w:rsidR="00711800" w:rsidRPr="003C2E0B" w:rsidRDefault="00711800" w:rsidP="00303737">
            <w:pPr>
              <w:rPr>
                <w:rFonts w:eastAsia="Calibri" w:cs="Arial CE"/>
                <w:sz w:val="20"/>
                <w:szCs w:val="20"/>
              </w:rPr>
            </w:pPr>
            <w:r w:rsidRPr="003C2E0B">
              <w:rPr>
                <w:rFonts w:eastAsia="Calibri" w:cs="Arial CE"/>
                <w:sz w:val="20"/>
                <w:szCs w:val="20"/>
              </w:rPr>
              <w:t xml:space="preserve">Štatistický úrad SR </w:t>
            </w:r>
          </w:p>
        </w:tc>
        <w:tc>
          <w:tcPr>
            <w:tcW w:w="618" w:type="pct"/>
            <w:shd w:val="clear" w:color="auto" w:fill="auto"/>
            <w:vAlign w:val="bottom"/>
          </w:tcPr>
          <w:p w14:paraId="33997D16"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92</w:t>
            </w:r>
          </w:p>
        </w:tc>
        <w:tc>
          <w:tcPr>
            <w:tcW w:w="540" w:type="pct"/>
            <w:shd w:val="clear" w:color="auto" w:fill="auto"/>
            <w:vAlign w:val="bottom"/>
          </w:tcPr>
          <w:p w14:paraId="226085D8"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120</w:t>
            </w:r>
          </w:p>
        </w:tc>
        <w:tc>
          <w:tcPr>
            <w:tcW w:w="617" w:type="pct"/>
            <w:shd w:val="clear" w:color="auto" w:fill="auto"/>
            <w:vAlign w:val="bottom"/>
          </w:tcPr>
          <w:p w14:paraId="6BFB6291"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93</w:t>
            </w:r>
          </w:p>
        </w:tc>
        <w:tc>
          <w:tcPr>
            <w:tcW w:w="617" w:type="pct"/>
            <w:vAlign w:val="bottom"/>
          </w:tcPr>
          <w:p w14:paraId="2601503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93</w:t>
            </w:r>
          </w:p>
        </w:tc>
        <w:tc>
          <w:tcPr>
            <w:tcW w:w="462" w:type="pct"/>
            <w:shd w:val="clear" w:color="auto" w:fill="auto"/>
            <w:vAlign w:val="bottom"/>
          </w:tcPr>
          <w:p w14:paraId="1B6FD58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0</w:t>
            </w:r>
          </w:p>
        </w:tc>
        <w:tc>
          <w:tcPr>
            <w:tcW w:w="453" w:type="pct"/>
            <w:shd w:val="clear" w:color="auto" w:fill="auto"/>
            <w:vAlign w:val="bottom"/>
          </w:tcPr>
          <w:p w14:paraId="2C5E892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101,1</w:t>
            </w:r>
          </w:p>
        </w:tc>
      </w:tr>
      <w:tr w:rsidR="00711800" w:rsidRPr="003C2E0B" w14:paraId="55A6E234" w14:textId="77777777" w:rsidTr="00B141AE">
        <w:trPr>
          <w:trHeight w:val="227"/>
        </w:trPr>
        <w:tc>
          <w:tcPr>
            <w:tcW w:w="1694" w:type="pct"/>
            <w:shd w:val="clear" w:color="auto" w:fill="auto"/>
            <w:vAlign w:val="bottom"/>
          </w:tcPr>
          <w:p w14:paraId="3D8948B7" w14:textId="77777777" w:rsidR="00711800" w:rsidRPr="003C2E0B" w:rsidRDefault="00711800" w:rsidP="00303737">
            <w:pPr>
              <w:rPr>
                <w:rFonts w:eastAsia="Calibri" w:cs="Arial CE"/>
                <w:sz w:val="20"/>
                <w:szCs w:val="20"/>
              </w:rPr>
            </w:pPr>
            <w:r w:rsidRPr="003C2E0B">
              <w:rPr>
                <w:rFonts w:eastAsia="Calibri" w:cs="Arial CE"/>
                <w:sz w:val="20"/>
                <w:szCs w:val="20"/>
              </w:rPr>
              <w:t xml:space="preserve">Úrad pre verejné obstarávanie </w:t>
            </w:r>
          </w:p>
        </w:tc>
        <w:tc>
          <w:tcPr>
            <w:tcW w:w="618" w:type="pct"/>
            <w:shd w:val="clear" w:color="auto" w:fill="auto"/>
            <w:vAlign w:val="bottom"/>
          </w:tcPr>
          <w:p w14:paraId="56B76879"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1 966</w:t>
            </w:r>
          </w:p>
        </w:tc>
        <w:tc>
          <w:tcPr>
            <w:tcW w:w="540" w:type="pct"/>
            <w:shd w:val="clear" w:color="auto" w:fill="auto"/>
            <w:vAlign w:val="bottom"/>
          </w:tcPr>
          <w:p w14:paraId="552FDB8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500</w:t>
            </w:r>
          </w:p>
        </w:tc>
        <w:tc>
          <w:tcPr>
            <w:tcW w:w="617" w:type="pct"/>
            <w:shd w:val="clear" w:color="auto" w:fill="auto"/>
            <w:vAlign w:val="bottom"/>
          </w:tcPr>
          <w:p w14:paraId="280671C9"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500</w:t>
            </w:r>
          </w:p>
        </w:tc>
        <w:tc>
          <w:tcPr>
            <w:tcW w:w="617" w:type="pct"/>
            <w:vAlign w:val="bottom"/>
          </w:tcPr>
          <w:p w14:paraId="1A480363"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4 041</w:t>
            </w:r>
          </w:p>
        </w:tc>
        <w:tc>
          <w:tcPr>
            <w:tcW w:w="462" w:type="pct"/>
            <w:shd w:val="clear" w:color="auto" w:fill="auto"/>
            <w:vAlign w:val="bottom"/>
          </w:tcPr>
          <w:p w14:paraId="57B6BED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3 541</w:t>
            </w:r>
          </w:p>
        </w:tc>
        <w:tc>
          <w:tcPr>
            <w:tcW w:w="453" w:type="pct"/>
            <w:shd w:val="clear" w:color="auto" w:fill="auto"/>
            <w:vAlign w:val="bottom"/>
          </w:tcPr>
          <w:p w14:paraId="18C4EC3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205,5</w:t>
            </w:r>
          </w:p>
        </w:tc>
      </w:tr>
      <w:tr w:rsidR="00711800" w:rsidRPr="003C2E0B" w14:paraId="2EC3C796" w14:textId="77777777" w:rsidTr="00B141AE">
        <w:trPr>
          <w:trHeight w:val="227"/>
        </w:trPr>
        <w:tc>
          <w:tcPr>
            <w:tcW w:w="1694" w:type="pct"/>
            <w:shd w:val="clear" w:color="auto" w:fill="auto"/>
            <w:vAlign w:val="bottom"/>
          </w:tcPr>
          <w:p w14:paraId="7E40D820" w14:textId="77777777" w:rsidR="00711800" w:rsidRPr="003C2E0B" w:rsidRDefault="00711800" w:rsidP="00303737">
            <w:pPr>
              <w:rPr>
                <w:rFonts w:eastAsia="Calibri" w:cs="Arial CE"/>
                <w:sz w:val="20"/>
                <w:szCs w:val="20"/>
              </w:rPr>
            </w:pPr>
            <w:r w:rsidRPr="003C2E0B">
              <w:rPr>
                <w:rFonts w:eastAsia="Calibri" w:cs="Arial CE"/>
                <w:sz w:val="20"/>
                <w:szCs w:val="20"/>
              </w:rPr>
              <w:t>Úrad pre reguláciu sieťových  odvetví</w:t>
            </w:r>
          </w:p>
        </w:tc>
        <w:tc>
          <w:tcPr>
            <w:tcW w:w="618" w:type="pct"/>
            <w:shd w:val="clear" w:color="auto" w:fill="auto"/>
            <w:vAlign w:val="bottom"/>
          </w:tcPr>
          <w:p w14:paraId="18B051C4"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243</w:t>
            </w:r>
          </w:p>
        </w:tc>
        <w:tc>
          <w:tcPr>
            <w:tcW w:w="540" w:type="pct"/>
            <w:shd w:val="clear" w:color="auto" w:fill="auto"/>
            <w:vAlign w:val="bottom"/>
          </w:tcPr>
          <w:p w14:paraId="3F3D95B5"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1 000</w:t>
            </w:r>
          </w:p>
        </w:tc>
        <w:tc>
          <w:tcPr>
            <w:tcW w:w="617" w:type="pct"/>
            <w:shd w:val="clear" w:color="auto" w:fill="auto"/>
            <w:vAlign w:val="bottom"/>
          </w:tcPr>
          <w:p w14:paraId="38A521DD"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154</w:t>
            </w:r>
          </w:p>
        </w:tc>
        <w:tc>
          <w:tcPr>
            <w:tcW w:w="617" w:type="pct"/>
            <w:vAlign w:val="bottom"/>
          </w:tcPr>
          <w:p w14:paraId="3210DE59"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166</w:t>
            </w:r>
          </w:p>
        </w:tc>
        <w:tc>
          <w:tcPr>
            <w:tcW w:w="462" w:type="pct"/>
            <w:shd w:val="clear" w:color="auto" w:fill="auto"/>
            <w:vAlign w:val="bottom"/>
          </w:tcPr>
          <w:p w14:paraId="4C2EC59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12</w:t>
            </w:r>
          </w:p>
        </w:tc>
        <w:tc>
          <w:tcPr>
            <w:tcW w:w="453" w:type="pct"/>
            <w:shd w:val="clear" w:color="auto" w:fill="auto"/>
            <w:vAlign w:val="bottom"/>
          </w:tcPr>
          <w:p w14:paraId="395FE43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68,3</w:t>
            </w:r>
          </w:p>
        </w:tc>
      </w:tr>
      <w:tr w:rsidR="00711800" w:rsidRPr="003C2E0B" w14:paraId="5E91E7E5" w14:textId="77777777" w:rsidTr="00B141AE">
        <w:trPr>
          <w:trHeight w:val="227"/>
        </w:trPr>
        <w:tc>
          <w:tcPr>
            <w:tcW w:w="1694" w:type="pct"/>
            <w:shd w:val="clear" w:color="auto" w:fill="auto"/>
            <w:vAlign w:val="bottom"/>
          </w:tcPr>
          <w:p w14:paraId="27CC8DA6" w14:textId="77777777" w:rsidR="00711800" w:rsidRPr="003C2E0B" w:rsidRDefault="00711800" w:rsidP="00303737">
            <w:pPr>
              <w:rPr>
                <w:rFonts w:eastAsia="Calibri" w:cs="Arial CE"/>
                <w:sz w:val="20"/>
                <w:szCs w:val="20"/>
              </w:rPr>
            </w:pPr>
            <w:r w:rsidRPr="003C2E0B">
              <w:rPr>
                <w:rFonts w:eastAsia="Calibri" w:cs="Arial CE"/>
                <w:sz w:val="20"/>
                <w:szCs w:val="20"/>
              </w:rPr>
              <w:t xml:space="preserve">Úrad jadrového dozoru SR </w:t>
            </w:r>
          </w:p>
        </w:tc>
        <w:tc>
          <w:tcPr>
            <w:tcW w:w="618" w:type="pct"/>
            <w:shd w:val="clear" w:color="auto" w:fill="auto"/>
            <w:vAlign w:val="bottom"/>
          </w:tcPr>
          <w:p w14:paraId="6D62F012"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9 286</w:t>
            </w:r>
          </w:p>
        </w:tc>
        <w:tc>
          <w:tcPr>
            <w:tcW w:w="540" w:type="pct"/>
            <w:shd w:val="clear" w:color="auto" w:fill="auto"/>
            <w:vAlign w:val="bottom"/>
          </w:tcPr>
          <w:p w14:paraId="07A0C96B"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9 121</w:t>
            </w:r>
          </w:p>
        </w:tc>
        <w:tc>
          <w:tcPr>
            <w:tcW w:w="617" w:type="pct"/>
            <w:shd w:val="clear" w:color="auto" w:fill="auto"/>
            <w:vAlign w:val="bottom"/>
          </w:tcPr>
          <w:p w14:paraId="3E5BD07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9 121</w:t>
            </w:r>
          </w:p>
        </w:tc>
        <w:tc>
          <w:tcPr>
            <w:tcW w:w="617" w:type="pct"/>
            <w:vAlign w:val="bottom"/>
          </w:tcPr>
          <w:p w14:paraId="6359EAE1"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9 403</w:t>
            </w:r>
          </w:p>
        </w:tc>
        <w:tc>
          <w:tcPr>
            <w:tcW w:w="462" w:type="pct"/>
            <w:shd w:val="clear" w:color="auto" w:fill="auto"/>
            <w:vAlign w:val="bottom"/>
          </w:tcPr>
          <w:p w14:paraId="0B949EA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282</w:t>
            </w:r>
          </w:p>
        </w:tc>
        <w:tc>
          <w:tcPr>
            <w:tcW w:w="453" w:type="pct"/>
            <w:shd w:val="clear" w:color="auto" w:fill="auto"/>
            <w:vAlign w:val="bottom"/>
          </w:tcPr>
          <w:p w14:paraId="5F97D34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101,3</w:t>
            </w:r>
          </w:p>
        </w:tc>
      </w:tr>
      <w:tr w:rsidR="00711800" w:rsidRPr="003C2E0B" w14:paraId="3D8513A7" w14:textId="77777777" w:rsidTr="00B141AE">
        <w:trPr>
          <w:trHeight w:val="227"/>
        </w:trPr>
        <w:tc>
          <w:tcPr>
            <w:tcW w:w="1694" w:type="pct"/>
            <w:shd w:val="clear" w:color="auto" w:fill="auto"/>
            <w:vAlign w:val="bottom"/>
          </w:tcPr>
          <w:p w14:paraId="1E7A1B81" w14:textId="77777777" w:rsidR="00711800" w:rsidRPr="003C2E0B" w:rsidRDefault="00711800" w:rsidP="00303737">
            <w:pPr>
              <w:rPr>
                <w:rFonts w:eastAsia="Calibri" w:cs="Arial CE"/>
                <w:sz w:val="20"/>
                <w:szCs w:val="20"/>
              </w:rPr>
            </w:pPr>
            <w:r w:rsidRPr="003C2E0B">
              <w:rPr>
                <w:rFonts w:eastAsia="Calibri" w:cs="Arial CE"/>
                <w:sz w:val="20"/>
                <w:szCs w:val="20"/>
              </w:rPr>
              <w:t xml:space="preserve">Úrad priemyselného vlastníctva SR      </w:t>
            </w:r>
          </w:p>
        </w:tc>
        <w:tc>
          <w:tcPr>
            <w:tcW w:w="618" w:type="pct"/>
            <w:shd w:val="clear" w:color="auto" w:fill="auto"/>
            <w:vAlign w:val="bottom"/>
          </w:tcPr>
          <w:p w14:paraId="4D7DD923"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3 216</w:t>
            </w:r>
          </w:p>
        </w:tc>
        <w:tc>
          <w:tcPr>
            <w:tcW w:w="540" w:type="pct"/>
            <w:shd w:val="clear" w:color="auto" w:fill="auto"/>
            <w:vAlign w:val="bottom"/>
          </w:tcPr>
          <w:p w14:paraId="6FFFF32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3 200</w:t>
            </w:r>
          </w:p>
        </w:tc>
        <w:tc>
          <w:tcPr>
            <w:tcW w:w="617" w:type="pct"/>
            <w:shd w:val="clear" w:color="auto" w:fill="auto"/>
            <w:vAlign w:val="bottom"/>
          </w:tcPr>
          <w:p w14:paraId="4920C88F"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3 200</w:t>
            </w:r>
          </w:p>
        </w:tc>
        <w:tc>
          <w:tcPr>
            <w:tcW w:w="617" w:type="pct"/>
            <w:vAlign w:val="bottom"/>
          </w:tcPr>
          <w:p w14:paraId="09BAED3F"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3 372</w:t>
            </w:r>
          </w:p>
        </w:tc>
        <w:tc>
          <w:tcPr>
            <w:tcW w:w="462" w:type="pct"/>
            <w:shd w:val="clear" w:color="auto" w:fill="auto"/>
            <w:vAlign w:val="bottom"/>
          </w:tcPr>
          <w:p w14:paraId="632C2E7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172</w:t>
            </w:r>
          </w:p>
        </w:tc>
        <w:tc>
          <w:tcPr>
            <w:tcW w:w="453" w:type="pct"/>
            <w:shd w:val="clear" w:color="auto" w:fill="auto"/>
            <w:vAlign w:val="bottom"/>
          </w:tcPr>
          <w:p w14:paraId="30FEE43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104,9</w:t>
            </w:r>
          </w:p>
        </w:tc>
      </w:tr>
      <w:tr w:rsidR="00711800" w:rsidRPr="003C2E0B" w14:paraId="79558CC1" w14:textId="77777777" w:rsidTr="00B141AE">
        <w:trPr>
          <w:trHeight w:val="227"/>
        </w:trPr>
        <w:tc>
          <w:tcPr>
            <w:tcW w:w="1694" w:type="pct"/>
            <w:shd w:val="clear" w:color="auto" w:fill="auto"/>
            <w:vAlign w:val="bottom"/>
          </w:tcPr>
          <w:p w14:paraId="354FBE11" w14:textId="77777777" w:rsidR="00711800" w:rsidRPr="003C2E0B" w:rsidRDefault="00711800" w:rsidP="00303737">
            <w:pPr>
              <w:rPr>
                <w:rFonts w:eastAsia="Calibri" w:cs="Arial CE"/>
                <w:sz w:val="20"/>
                <w:szCs w:val="20"/>
              </w:rPr>
            </w:pPr>
            <w:r w:rsidRPr="003C2E0B">
              <w:rPr>
                <w:rFonts w:eastAsia="Calibri" w:cs="Arial CE"/>
                <w:sz w:val="20"/>
                <w:szCs w:val="20"/>
              </w:rPr>
              <w:t>Úrad pre normalizáciu, metrológiu a skúšobníctvo SR</w:t>
            </w:r>
          </w:p>
        </w:tc>
        <w:tc>
          <w:tcPr>
            <w:tcW w:w="618" w:type="pct"/>
            <w:shd w:val="clear" w:color="auto" w:fill="auto"/>
            <w:vAlign w:val="bottom"/>
          </w:tcPr>
          <w:p w14:paraId="4F3B6831"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1 135</w:t>
            </w:r>
          </w:p>
        </w:tc>
        <w:tc>
          <w:tcPr>
            <w:tcW w:w="540" w:type="pct"/>
            <w:shd w:val="clear" w:color="auto" w:fill="auto"/>
            <w:vAlign w:val="bottom"/>
          </w:tcPr>
          <w:p w14:paraId="35190DB9"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2 152</w:t>
            </w:r>
          </w:p>
        </w:tc>
        <w:tc>
          <w:tcPr>
            <w:tcW w:w="617" w:type="pct"/>
            <w:shd w:val="clear" w:color="auto" w:fill="auto"/>
            <w:vAlign w:val="bottom"/>
          </w:tcPr>
          <w:p w14:paraId="1D303798"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2 152</w:t>
            </w:r>
          </w:p>
        </w:tc>
        <w:tc>
          <w:tcPr>
            <w:tcW w:w="617" w:type="pct"/>
            <w:vAlign w:val="bottom"/>
          </w:tcPr>
          <w:p w14:paraId="5DD17D56"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2 435</w:t>
            </w:r>
          </w:p>
        </w:tc>
        <w:tc>
          <w:tcPr>
            <w:tcW w:w="462" w:type="pct"/>
            <w:shd w:val="clear" w:color="auto" w:fill="auto"/>
            <w:vAlign w:val="bottom"/>
          </w:tcPr>
          <w:p w14:paraId="48C2322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283</w:t>
            </w:r>
          </w:p>
        </w:tc>
        <w:tc>
          <w:tcPr>
            <w:tcW w:w="453" w:type="pct"/>
            <w:shd w:val="clear" w:color="auto" w:fill="auto"/>
            <w:vAlign w:val="bottom"/>
          </w:tcPr>
          <w:p w14:paraId="5D0A907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214,5</w:t>
            </w:r>
          </w:p>
        </w:tc>
      </w:tr>
      <w:tr w:rsidR="00711800" w:rsidRPr="003C2E0B" w14:paraId="40429298" w14:textId="77777777" w:rsidTr="00B141AE">
        <w:trPr>
          <w:trHeight w:val="227"/>
        </w:trPr>
        <w:tc>
          <w:tcPr>
            <w:tcW w:w="1694" w:type="pct"/>
            <w:shd w:val="clear" w:color="auto" w:fill="auto"/>
            <w:vAlign w:val="bottom"/>
          </w:tcPr>
          <w:p w14:paraId="6205D2A7" w14:textId="77777777" w:rsidR="00711800" w:rsidRPr="003C2E0B" w:rsidRDefault="00711800" w:rsidP="00303737">
            <w:pPr>
              <w:rPr>
                <w:rFonts w:eastAsia="Calibri" w:cs="Arial CE"/>
                <w:sz w:val="20"/>
                <w:szCs w:val="20"/>
              </w:rPr>
            </w:pPr>
            <w:r w:rsidRPr="003C2E0B">
              <w:rPr>
                <w:rFonts w:eastAsia="Calibri" w:cs="Arial CE"/>
                <w:sz w:val="20"/>
                <w:szCs w:val="20"/>
              </w:rPr>
              <w:t xml:space="preserve">Protimonopolný úrad SR </w:t>
            </w:r>
          </w:p>
        </w:tc>
        <w:tc>
          <w:tcPr>
            <w:tcW w:w="618" w:type="pct"/>
            <w:shd w:val="clear" w:color="auto" w:fill="auto"/>
            <w:vAlign w:val="bottom"/>
          </w:tcPr>
          <w:p w14:paraId="146F4B54"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5 458</w:t>
            </w:r>
          </w:p>
        </w:tc>
        <w:tc>
          <w:tcPr>
            <w:tcW w:w="540" w:type="pct"/>
            <w:shd w:val="clear" w:color="auto" w:fill="auto"/>
            <w:vAlign w:val="bottom"/>
          </w:tcPr>
          <w:p w14:paraId="0CA99642"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200</w:t>
            </w:r>
          </w:p>
        </w:tc>
        <w:tc>
          <w:tcPr>
            <w:tcW w:w="617" w:type="pct"/>
            <w:shd w:val="clear" w:color="auto" w:fill="auto"/>
            <w:vAlign w:val="bottom"/>
          </w:tcPr>
          <w:p w14:paraId="60F6130E"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200</w:t>
            </w:r>
          </w:p>
        </w:tc>
        <w:tc>
          <w:tcPr>
            <w:tcW w:w="617" w:type="pct"/>
            <w:vAlign w:val="bottom"/>
          </w:tcPr>
          <w:p w14:paraId="5B45D8F3"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3 708</w:t>
            </w:r>
          </w:p>
        </w:tc>
        <w:tc>
          <w:tcPr>
            <w:tcW w:w="462" w:type="pct"/>
            <w:shd w:val="clear" w:color="auto" w:fill="auto"/>
            <w:vAlign w:val="bottom"/>
          </w:tcPr>
          <w:p w14:paraId="21A0CC7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3 508</w:t>
            </w:r>
          </w:p>
        </w:tc>
        <w:tc>
          <w:tcPr>
            <w:tcW w:w="453" w:type="pct"/>
            <w:shd w:val="clear" w:color="auto" w:fill="auto"/>
            <w:vAlign w:val="bottom"/>
          </w:tcPr>
          <w:p w14:paraId="30D0406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67,9</w:t>
            </w:r>
          </w:p>
        </w:tc>
      </w:tr>
      <w:tr w:rsidR="00711800" w:rsidRPr="003C2E0B" w14:paraId="41684483" w14:textId="77777777" w:rsidTr="00B141AE">
        <w:trPr>
          <w:trHeight w:val="227"/>
        </w:trPr>
        <w:tc>
          <w:tcPr>
            <w:tcW w:w="1694" w:type="pct"/>
            <w:shd w:val="clear" w:color="auto" w:fill="auto"/>
            <w:vAlign w:val="bottom"/>
          </w:tcPr>
          <w:p w14:paraId="54FEA463" w14:textId="77777777" w:rsidR="00711800" w:rsidRPr="003C2E0B" w:rsidRDefault="00711800" w:rsidP="00303737">
            <w:pPr>
              <w:rPr>
                <w:rFonts w:eastAsia="Calibri" w:cs="Arial CE"/>
                <w:sz w:val="20"/>
                <w:szCs w:val="20"/>
              </w:rPr>
            </w:pPr>
            <w:r w:rsidRPr="003C2E0B">
              <w:rPr>
                <w:rFonts w:eastAsia="Calibri" w:cs="Arial CE"/>
                <w:sz w:val="20"/>
                <w:szCs w:val="20"/>
              </w:rPr>
              <w:t xml:space="preserve">Národný bezpečnostný úrad </w:t>
            </w:r>
          </w:p>
        </w:tc>
        <w:tc>
          <w:tcPr>
            <w:tcW w:w="618" w:type="pct"/>
            <w:shd w:val="clear" w:color="auto" w:fill="auto"/>
            <w:vAlign w:val="bottom"/>
          </w:tcPr>
          <w:p w14:paraId="47F55BA2"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32</w:t>
            </w:r>
          </w:p>
        </w:tc>
        <w:tc>
          <w:tcPr>
            <w:tcW w:w="540" w:type="pct"/>
            <w:shd w:val="clear" w:color="auto" w:fill="auto"/>
            <w:vAlign w:val="bottom"/>
          </w:tcPr>
          <w:p w14:paraId="2AC91E62"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22</w:t>
            </w:r>
          </w:p>
        </w:tc>
        <w:tc>
          <w:tcPr>
            <w:tcW w:w="617" w:type="pct"/>
            <w:shd w:val="clear" w:color="auto" w:fill="auto"/>
            <w:vAlign w:val="bottom"/>
          </w:tcPr>
          <w:p w14:paraId="009F68DA"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14</w:t>
            </w:r>
          </w:p>
        </w:tc>
        <w:tc>
          <w:tcPr>
            <w:tcW w:w="617" w:type="pct"/>
            <w:vAlign w:val="bottom"/>
          </w:tcPr>
          <w:p w14:paraId="7E861F1A"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19</w:t>
            </w:r>
          </w:p>
        </w:tc>
        <w:tc>
          <w:tcPr>
            <w:tcW w:w="462" w:type="pct"/>
            <w:shd w:val="clear" w:color="auto" w:fill="auto"/>
            <w:vAlign w:val="bottom"/>
          </w:tcPr>
          <w:p w14:paraId="7A641337"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w:t>
            </w:r>
          </w:p>
        </w:tc>
        <w:tc>
          <w:tcPr>
            <w:tcW w:w="453" w:type="pct"/>
            <w:shd w:val="clear" w:color="auto" w:fill="auto"/>
            <w:vAlign w:val="bottom"/>
          </w:tcPr>
          <w:p w14:paraId="6C422A9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59,4</w:t>
            </w:r>
          </w:p>
        </w:tc>
      </w:tr>
      <w:tr w:rsidR="00711800" w:rsidRPr="003C2E0B" w14:paraId="3D017993" w14:textId="77777777" w:rsidTr="00B141AE">
        <w:trPr>
          <w:trHeight w:val="227"/>
        </w:trPr>
        <w:tc>
          <w:tcPr>
            <w:tcW w:w="1694" w:type="pct"/>
            <w:shd w:val="clear" w:color="auto" w:fill="auto"/>
            <w:vAlign w:val="bottom"/>
          </w:tcPr>
          <w:p w14:paraId="581919D9" w14:textId="77777777" w:rsidR="00711800" w:rsidRPr="003C2E0B" w:rsidRDefault="00711800" w:rsidP="00303737">
            <w:pPr>
              <w:rPr>
                <w:rFonts w:eastAsia="Calibri" w:cs="Arial CE"/>
                <w:sz w:val="20"/>
                <w:szCs w:val="20"/>
              </w:rPr>
            </w:pPr>
            <w:r w:rsidRPr="003C2E0B">
              <w:rPr>
                <w:rFonts w:eastAsia="Calibri" w:cs="Arial CE"/>
                <w:sz w:val="20"/>
                <w:szCs w:val="20"/>
              </w:rPr>
              <w:t>Správa štátnych hmotných rezerv SR</w:t>
            </w:r>
          </w:p>
        </w:tc>
        <w:tc>
          <w:tcPr>
            <w:tcW w:w="618" w:type="pct"/>
            <w:shd w:val="clear" w:color="auto" w:fill="auto"/>
            <w:vAlign w:val="bottom"/>
          </w:tcPr>
          <w:p w14:paraId="560185E1"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3 947</w:t>
            </w:r>
          </w:p>
        </w:tc>
        <w:tc>
          <w:tcPr>
            <w:tcW w:w="540" w:type="pct"/>
            <w:shd w:val="clear" w:color="auto" w:fill="auto"/>
            <w:vAlign w:val="bottom"/>
          </w:tcPr>
          <w:p w14:paraId="1379DFB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600</w:t>
            </w:r>
          </w:p>
        </w:tc>
        <w:tc>
          <w:tcPr>
            <w:tcW w:w="617" w:type="pct"/>
            <w:shd w:val="clear" w:color="auto" w:fill="auto"/>
            <w:vAlign w:val="bottom"/>
          </w:tcPr>
          <w:p w14:paraId="4588DE5A"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603</w:t>
            </w:r>
          </w:p>
        </w:tc>
        <w:tc>
          <w:tcPr>
            <w:tcW w:w="617" w:type="pct"/>
            <w:vAlign w:val="bottom"/>
          </w:tcPr>
          <w:p w14:paraId="2EC6FF3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603</w:t>
            </w:r>
          </w:p>
        </w:tc>
        <w:tc>
          <w:tcPr>
            <w:tcW w:w="462" w:type="pct"/>
            <w:shd w:val="clear" w:color="auto" w:fill="auto"/>
            <w:vAlign w:val="bottom"/>
          </w:tcPr>
          <w:p w14:paraId="233A60C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0</w:t>
            </w:r>
          </w:p>
        </w:tc>
        <w:tc>
          <w:tcPr>
            <w:tcW w:w="453" w:type="pct"/>
            <w:shd w:val="clear" w:color="auto" w:fill="auto"/>
            <w:vAlign w:val="bottom"/>
          </w:tcPr>
          <w:p w14:paraId="119FDD8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15,3</w:t>
            </w:r>
          </w:p>
        </w:tc>
      </w:tr>
      <w:tr w:rsidR="00711800" w:rsidRPr="003C2E0B" w14:paraId="6469E376" w14:textId="77777777" w:rsidTr="00B141AE">
        <w:trPr>
          <w:trHeight w:val="227"/>
        </w:trPr>
        <w:tc>
          <w:tcPr>
            <w:tcW w:w="1694" w:type="pct"/>
            <w:shd w:val="clear" w:color="auto" w:fill="auto"/>
            <w:vAlign w:val="bottom"/>
          </w:tcPr>
          <w:p w14:paraId="7CA1E2D3" w14:textId="77777777" w:rsidR="00711800" w:rsidRPr="003C2E0B" w:rsidRDefault="00711800" w:rsidP="00303737">
            <w:pPr>
              <w:rPr>
                <w:rFonts w:eastAsia="Calibri" w:cs="Arial CE"/>
                <w:sz w:val="20"/>
                <w:szCs w:val="20"/>
              </w:rPr>
            </w:pPr>
            <w:r w:rsidRPr="003C2E0B">
              <w:rPr>
                <w:rFonts w:eastAsia="Calibri" w:cs="Arial CE"/>
                <w:sz w:val="20"/>
                <w:szCs w:val="20"/>
              </w:rPr>
              <w:t xml:space="preserve">Všeobecná pokladničná správa   </w:t>
            </w:r>
          </w:p>
        </w:tc>
        <w:tc>
          <w:tcPr>
            <w:tcW w:w="618" w:type="pct"/>
            <w:shd w:val="clear" w:color="auto" w:fill="auto"/>
            <w:vAlign w:val="bottom"/>
          </w:tcPr>
          <w:p w14:paraId="6987C477"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12 815 983</w:t>
            </w:r>
          </w:p>
        </w:tc>
        <w:tc>
          <w:tcPr>
            <w:tcW w:w="540" w:type="pct"/>
            <w:shd w:val="clear" w:color="auto" w:fill="auto"/>
            <w:vAlign w:val="bottom"/>
          </w:tcPr>
          <w:p w14:paraId="18890756"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13 462 654</w:t>
            </w:r>
          </w:p>
        </w:tc>
        <w:tc>
          <w:tcPr>
            <w:tcW w:w="617" w:type="pct"/>
            <w:shd w:val="clear" w:color="auto" w:fill="auto"/>
            <w:vAlign w:val="bottom"/>
          </w:tcPr>
          <w:p w14:paraId="5BEB3C9E"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13 462 654</w:t>
            </w:r>
          </w:p>
        </w:tc>
        <w:tc>
          <w:tcPr>
            <w:tcW w:w="617" w:type="pct"/>
            <w:vAlign w:val="bottom"/>
          </w:tcPr>
          <w:p w14:paraId="6A815316"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13 306 715</w:t>
            </w:r>
          </w:p>
        </w:tc>
        <w:tc>
          <w:tcPr>
            <w:tcW w:w="462" w:type="pct"/>
            <w:shd w:val="clear" w:color="auto" w:fill="auto"/>
            <w:vAlign w:val="bottom"/>
          </w:tcPr>
          <w:p w14:paraId="7E5D5D1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-155 939</w:t>
            </w:r>
          </w:p>
        </w:tc>
        <w:tc>
          <w:tcPr>
            <w:tcW w:w="453" w:type="pct"/>
            <w:shd w:val="clear" w:color="auto" w:fill="auto"/>
            <w:vAlign w:val="bottom"/>
          </w:tcPr>
          <w:p w14:paraId="5EC91CF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103,8</w:t>
            </w:r>
          </w:p>
        </w:tc>
      </w:tr>
      <w:tr w:rsidR="00711800" w:rsidRPr="003C2E0B" w14:paraId="75343533" w14:textId="77777777" w:rsidTr="00B141AE">
        <w:trPr>
          <w:trHeight w:val="227"/>
        </w:trPr>
        <w:tc>
          <w:tcPr>
            <w:tcW w:w="1694" w:type="pct"/>
            <w:shd w:val="clear" w:color="auto" w:fill="auto"/>
            <w:vAlign w:val="bottom"/>
          </w:tcPr>
          <w:p w14:paraId="4D47FFA1" w14:textId="77777777" w:rsidR="00711800" w:rsidRPr="003C2E0B" w:rsidRDefault="00711800" w:rsidP="00303737">
            <w:pPr>
              <w:rPr>
                <w:rFonts w:eastAsia="Calibri" w:cs="Arial CE"/>
                <w:sz w:val="20"/>
                <w:szCs w:val="20"/>
              </w:rPr>
            </w:pPr>
            <w:r w:rsidRPr="003C2E0B">
              <w:rPr>
                <w:rFonts w:eastAsia="Calibri" w:cs="Arial CE"/>
                <w:sz w:val="20"/>
                <w:szCs w:val="20"/>
              </w:rPr>
              <w:t xml:space="preserve">Slovenská akadémia vied </w:t>
            </w:r>
          </w:p>
        </w:tc>
        <w:tc>
          <w:tcPr>
            <w:tcW w:w="618" w:type="pct"/>
            <w:shd w:val="clear" w:color="auto" w:fill="auto"/>
            <w:vAlign w:val="bottom"/>
          </w:tcPr>
          <w:p w14:paraId="5E26B48E"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2 116</w:t>
            </w:r>
          </w:p>
        </w:tc>
        <w:tc>
          <w:tcPr>
            <w:tcW w:w="540" w:type="pct"/>
            <w:shd w:val="clear" w:color="auto" w:fill="auto"/>
            <w:vAlign w:val="bottom"/>
          </w:tcPr>
          <w:p w14:paraId="0DE9891A"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500</w:t>
            </w:r>
          </w:p>
        </w:tc>
        <w:tc>
          <w:tcPr>
            <w:tcW w:w="617" w:type="pct"/>
            <w:shd w:val="clear" w:color="auto" w:fill="auto"/>
            <w:vAlign w:val="bottom"/>
          </w:tcPr>
          <w:p w14:paraId="533D51EF"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517</w:t>
            </w:r>
          </w:p>
        </w:tc>
        <w:tc>
          <w:tcPr>
            <w:tcW w:w="617" w:type="pct"/>
            <w:vAlign w:val="bottom"/>
          </w:tcPr>
          <w:p w14:paraId="727D0D18"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638</w:t>
            </w:r>
          </w:p>
        </w:tc>
        <w:tc>
          <w:tcPr>
            <w:tcW w:w="462" w:type="pct"/>
            <w:shd w:val="clear" w:color="auto" w:fill="auto"/>
            <w:vAlign w:val="bottom"/>
          </w:tcPr>
          <w:p w14:paraId="426C58A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121</w:t>
            </w:r>
          </w:p>
        </w:tc>
        <w:tc>
          <w:tcPr>
            <w:tcW w:w="453" w:type="pct"/>
            <w:shd w:val="clear" w:color="auto" w:fill="auto"/>
            <w:vAlign w:val="bottom"/>
          </w:tcPr>
          <w:p w14:paraId="519250D7"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30,2</w:t>
            </w:r>
          </w:p>
        </w:tc>
      </w:tr>
      <w:tr w:rsidR="00711800" w:rsidRPr="003C2E0B" w14:paraId="7AF0A320" w14:textId="77777777" w:rsidTr="00B141AE">
        <w:trPr>
          <w:trHeight w:val="227"/>
        </w:trPr>
        <w:tc>
          <w:tcPr>
            <w:tcW w:w="1694" w:type="pct"/>
            <w:shd w:val="clear" w:color="auto" w:fill="auto"/>
            <w:vAlign w:val="bottom"/>
          </w:tcPr>
          <w:p w14:paraId="6EE9D159" w14:textId="77777777" w:rsidR="00711800" w:rsidRPr="003C2E0B" w:rsidRDefault="00711800" w:rsidP="00303737">
            <w:pPr>
              <w:rPr>
                <w:rFonts w:eastAsia="Calibri" w:cs="Arial CE"/>
                <w:sz w:val="20"/>
                <w:szCs w:val="20"/>
              </w:rPr>
            </w:pPr>
            <w:r w:rsidRPr="003C2E0B">
              <w:rPr>
                <w:rFonts w:eastAsia="Calibri" w:cs="Arial CE"/>
                <w:sz w:val="20"/>
                <w:szCs w:val="20"/>
              </w:rPr>
              <w:t>Kancelária súdnej rady SR</w:t>
            </w:r>
          </w:p>
        </w:tc>
        <w:tc>
          <w:tcPr>
            <w:tcW w:w="618" w:type="pct"/>
            <w:shd w:val="clear" w:color="auto" w:fill="auto"/>
            <w:vAlign w:val="bottom"/>
          </w:tcPr>
          <w:p w14:paraId="1B112BD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w:t>
            </w:r>
          </w:p>
        </w:tc>
        <w:tc>
          <w:tcPr>
            <w:tcW w:w="540" w:type="pct"/>
            <w:shd w:val="clear" w:color="auto" w:fill="auto"/>
            <w:vAlign w:val="bottom"/>
          </w:tcPr>
          <w:p w14:paraId="7CCC5961"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0</w:t>
            </w:r>
          </w:p>
        </w:tc>
        <w:tc>
          <w:tcPr>
            <w:tcW w:w="617" w:type="pct"/>
            <w:shd w:val="clear" w:color="auto" w:fill="auto"/>
            <w:vAlign w:val="bottom"/>
          </w:tcPr>
          <w:p w14:paraId="468DE2DC"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0</w:t>
            </w:r>
          </w:p>
        </w:tc>
        <w:tc>
          <w:tcPr>
            <w:tcW w:w="617" w:type="pct"/>
            <w:vAlign w:val="bottom"/>
          </w:tcPr>
          <w:p w14:paraId="4C44FF3E" w14:textId="77777777" w:rsidR="00711800" w:rsidRPr="003C2E0B" w:rsidRDefault="00711800" w:rsidP="00303737">
            <w:pPr>
              <w:jc w:val="right"/>
              <w:rPr>
                <w:rFonts w:eastAsia="Times New Roman" w:cs="Arial CE"/>
                <w:sz w:val="20"/>
                <w:szCs w:val="20"/>
                <w:lang w:eastAsia="sk-SK"/>
              </w:rPr>
            </w:pPr>
            <w:r w:rsidRPr="003C2E0B">
              <w:rPr>
                <w:rFonts w:eastAsia="Times New Roman" w:cs="Arial CE"/>
                <w:sz w:val="20"/>
                <w:szCs w:val="20"/>
                <w:lang w:eastAsia="sk-SK"/>
              </w:rPr>
              <w:t>1</w:t>
            </w:r>
          </w:p>
        </w:tc>
        <w:tc>
          <w:tcPr>
            <w:tcW w:w="462" w:type="pct"/>
            <w:shd w:val="clear" w:color="auto" w:fill="auto"/>
            <w:vAlign w:val="bottom"/>
          </w:tcPr>
          <w:p w14:paraId="0E00C7E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w:t>
            </w:r>
          </w:p>
        </w:tc>
        <w:tc>
          <w:tcPr>
            <w:tcW w:w="453" w:type="pct"/>
            <w:shd w:val="clear" w:color="auto" w:fill="auto"/>
            <w:vAlign w:val="bottom"/>
          </w:tcPr>
          <w:p w14:paraId="4F012B8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100,0</w:t>
            </w:r>
          </w:p>
        </w:tc>
      </w:tr>
    </w:tbl>
    <w:p w14:paraId="3419A2E5" w14:textId="5151DCA2" w:rsidR="008D37F3" w:rsidRPr="003C2E0B" w:rsidRDefault="008D37F3" w:rsidP="008D37F3">
      <w:pPr>
        <w:spacing w:after="120"/>
        <w:rPr>
          <w:rFonts w:eastAsia="Calibri" w:cs="Times New Roman"/>
          <w:i/>
          <w:sz w:val="18"/>
          <w:szCs w:val="18"/>
        </w:rPr>
      </w:pPr>
      <w:r w:rsidRPr="003C2E0B">
        <w:rPr>
          <w:rFonts w:eastAsia="Calibri" w:cs="Times New Roman"/>
          <w:i/>
          <w:sz w:val="18"/>
          <w:szCs w:val="18"/>
        </w:rPr>
        <w:t>Zdroj: MF SR</w:t>
      </w:r>
    </w:p>
    <w:p w14:paraId="568B02A2" w14:textId="40D5AECF" w:rsidR="008D37F3" w:rsidRDefault="008D37F3" w:rsidP="006E6350"/>
    <w:p w14:paraId="60A00500" w14:textId="57989A60" w:rsidR="00F21A98" w:rsidRDefault="00F21A98" w:rsidP="006E6350"/>
    <w:p w14:paraId="146736F6" w14:textId="77777777" w:rsidR="00F21A98" w:rsidRDefault="00F21A98" w:rsidP="006E6350"/>
    <w:p w14:paraId="3D2052B9" w14:textId="23E34187" w:rsidR="007B7098" w:rsidRPr="00220EB0" w:rsidRDefault="007B7098" w:rsidP="003C2E0B">
      <w:pPr>
        <w:spacing w:before="120"/>
        <w:rPr>
          <w:rFonts w:eastAsia="Calibri" w:cs="Times New Roman"/>
          <w:b/>
          <w:i/>
        </w:rPr>
      </w:pPr>
      <w:r w:rsidRPr="00220EB0">
        <w:rPr>
          <w:rFonts w:eastAsia="Calibri" w:cs="Times New Roman"/>
          <w:b/>
          <w:i/>
        </w:rPr>
        <w:lastRenderedPageBreak/>
        <w:t xml:space="preserve">Tabuľka </w:t>
      </w:r>
      <w:r w:rsidR="006314F6" w:rsidRPr="00220EB0">
        <w:rPr>
          <w:rFonts w:eastAsia="Calibri" w:cs="Times New Roman"/>
          <w:b/>
          <w:i/>
        </w:rPr>
        <w:t>8</w:t>
      </w:r>
      <w:r w:rsidR="005B7EA6" w:rsidRPr="00220EB0">
        <w:rPr>
          <w:rFonts w:eastAsia="Calibri" w:cs="Times New Roman"/>
          <w:b/>
          <w:i/>
        </w:rPr>
        <w:t>:</w:t>
      </w:r>
      <w:r w:rsidRPr="00220EB0">
        <w:rPr>
          <w:rFonts w:eastAsia="Calibri" w:cs="Times New Roman"/>
          <w:b/>
          <w:i/>
        </w:rPr>
        <w:t xml:space="preserve"> Výdavky podľa kapitol ŠR na hotovostnej báze za roky 201</w:t>
      </w:r>
      <w:r w:rsidR="00711800" w:rsidRPr="00220EB0">
        <w:rPr>
          <w:rFonts w:eastAsia="Calibri" w:cs="Times New Roman"/>
          <w:b/>
          <w:i/>
        </w:rPr>
        <w:t>8 a 2019</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6"/>
        <w:gridCol w:w="1136"/>
        <w:gridCol w:w="992"/>
        <w:gridCol w:w="1134"/>
        <w:gridCol w:w="1220"/>
        <w:gridCol w:w="877"/>
        <w:gridCol w:w="850"/>
      </w:tblGrid>
      <w:tr w:rsidR="00711800" w:rsidRPr="003C2E0B" w14:paraId="6C6BDE32" w14:textId="77777777" w:rsidTr="0027210C">
        <w:trPr>
          <w:trHeight w:val="57"/>
          <w:tblHeader/>
        </w:trPr>
        <w:tc>
          <w:tcPr>
            <w:tcW w:w="1671" w:type="pct"/>
            <w:vMerge w:val="restart"/>
            <w:shd w:val="clear" w:color="auto" w:fill="0070C0"/>
            <w:vAlign w:val="center"/>
          </w:tcPr>
          <w:p w14:paraId="66389F33" w14:textId="77777777" w:rsidR="00711800" w:rsidRPr="003C2E0B" w:rsidRDefault="00711800" w:rsidP="00303737">
            <w:pPr>
              <w:rPr>
                <w:rFonts w:eastAsia="Calibri" w:cs="Times New Roman"/>
                <w:b/>
                <w:bCs/>
                <w:color w:val="FFFFFF"/>
                <w:sz w:val="20"/>
                <w:szCs w:val="20"/>
              </w:rPr>
            </w:pPr>
            <w:r w:rsidRPr="003C2E0B">
              <w:rPr>
                <w:rFonts w:eastAsia="Calibri" w:cs="Times New Roman"/>
                <w:b/>
                <w:bCs/>
                <w:color w:val="FFFFFF"/>
                <w:sz w:val="20"/>
                <w:szCs w:val="20"/>
              </w:rPr>
              <w:t>Ukazovateľ (v tis. eur)</w:t>
            </w:r>
          </w:p>
        </w:tc>
        <w:tc>
          <w:tcPr>
            <w:tcW w:w="609" w:type="pct"/>
            <w:vMerge w:val="restart"/>
            <w:shd w:val="clear" w:color="auto" w:fill="0070C0"/>
            <w:vAlign w:val="center"/>
          </w:tcPr>
          <w:p w14:paraId="25404AF6"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Skutočnosť 2018</w:t>
            </w:r>
          </w:p>
        </w:tc>
        <w:tc>
          <w:tcPr>
            <w:tcW w:w="1140" w:type="pct"/>
            <w:gridSpan w:val="2"/>
            <w:shd w:val="clear" w:color="auto" w:fill="0070C0"/>
            <w:vAlign w:val="center"/>
          </w:tcPr>
          <w:p w14:paraId="2E887445"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Rozpočet 2019</w:t>
            </w:r>
          </w:p>
        </w:tc>
        <w:tc>
          <w:tcPr>
            <w:tcW w:w="654" w:type="pct"/>
            <w:vMerge w:val="restart"/>
            <w:shd w:val="clear" w:color="auto" w:fill="0070C0"/>
          </w:tcPr>
          <w:p w14:paraId="43E137AF"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Skutočnosť</w:t>
            </w:r>
          </w:p>
          <w:p w14:paraId="32220C64"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2019</w:t>
            </w:r>
          </w:p>
        </w:tc>
        <w:tc>
          <w:tcPr>
            <w:tcW w:w="470" w:type="pct"/>
            <w:vMerge w:val="restart"/>
            <w:shd w:val="clear" w:color="auto" w:fill="0070C0"/>
            <w:vAlign w:val="center"/>
          </w:tcPr>
          <w:p w14:paraId="5F422DAB"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Rozdiel</w:t>
            </w:r>
          </w:p>
        </w:tc>
        <w:tc>
          <w:tcPr>
            <w:tcW w:w="456" w:type="pct"/>
            <w:vMerge w:val="restart"/>
            <w:shd w:val="clear" w:color="auto" w:fill="0070C0"/>
            <w:vAlign w:val="center"/>
          </w:tcPr>
          <w:p w14:paraId="08DEF50E" w14:textId="7479AFAC" w:rsidR="00711800" w:rsidRPr="003C2E0B" w:rsidRDefault="0072153C" w:rsidP="0072153C">
            <w:pPr>
              <w:jc w:val="center"/>
              <w:rPr>
                <w:rFonts w:eastAsia="Calibri" w:cs="Times New Roman"/>
                <w:b/>
                <w:bCs/>
                <w:color w:val="FFFFFF"/>
                <w:sz w:val="20"/>
                <w:szCs w:val="20"/>
              </w:rPr>
            </w:pPr>
            <w:r>
              <w:rPr>
                <w:rFonts w:eastAsia="Calibri" w:cs="Times New Roman"/>
                <w:b/>
                <w:color w:val="FFFFFF"/>
                <w:sz w:val="20"/>
                <w:szCs w:val="20"/>
              </w:rPr>
              <w:t>Index (%)</w:t>
            </w:r>
          </w:p>
        </w:tc>
      </w:tr>
      <w:tr w:rsidR="00711800" w:rsidRPr="003C2E0B" w14:paraId="11088A90" w14:textId="77777777" w:rsidTr="0027210C">
        <w:trPr>
          <w:trHeight w:val="57"/>
          <w:tblHeader/>
        </w:trPr>
        <w:tc>
          <w:tcPr>
            <w:tcW w:w="1671" w:type="pct"/>
            <w:vMerge/>
            <w:shd w:val="clear" w:color="auto" w:fill="D9D9D9"/>
            <w:vAlign w:val="center"/>
          </w:tcPr>
          <w:p w14:paraId="01380247" w14:textId="77777777" w:rsidR="00711800" w:rsidRPr="003C2E0B" w:rsidRDefault="00711800" w:rsidP="00303737">
            <w:pPr>
              <w:rPr>
                <w:rFonts w:eastAsia="Calibri" w:cs="Times New Roman"/>
                <w:b/>
                <w:bCs/>
                <w:sz w:val="20"/>
                <w:szCs w:val="20"/>
              </w:rPr>
            </w:pPr>
          </w:p>
        </w:tc>
        <w:tc>
          <w:tcPr>
            <w:tcW w:w="609" w:type="pct"/>
            <w:vMerge/>
            <w:shd w:val="clear" w:color="auto" w:fill="D9D9D9"/>
            <w:vAlign w:val="center"/>
          </w:tcPr>
          <w:p w14:paraId="5CBC16AA" w14:textId="77777777" w:rsidR="00711800" w:rsidRPr="003C2E0B" w:rsidRDefault="00711800" w:rsidP="00303737">
            <w:pPr>
              <w:rPr>
                <w:rFonts w:eastAsia="Calibri" w:cs="Times New Roman"/>
                <w:sz w:val="20"/>
                <w:szCs w:val="20"/>
              </w:rPr>
            </w:pPr>
          </w:p>
        </w:tc>
        <w:tc>
          <w:tcPr>
            <w:tcW w:w="532" w:type="pct"/>
            <w:shd w:val="clear" w:color="auto" w:fill="0070C0"/>
            <w:vAlign w:val="center"/>
          </w:tcPr>
          <w:p w14:paraId="36BE4C6E"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schválený</w:t>
            </w:r>
          </w:p>
        </w:tc>
        <w:tc>
          <w:tcPr>
            <w:tcW w:w="608" w:type="pct"/>
            <w:shd w:val="clear" w:color="auto" w:fill="0070C0"/>
            <w:vAlign w:val="center"/>
          </w:tcPr>
          <w:p w14:paraId="3D86E0A4" w14:textId="77777777" w:rsidR="00711800" w:rsidRPr="003C2E0B" w:rsidRDefault="00711800" w:rsidP="00303737">
            <w:pPr>
              <w:jc w:val="center"/>
              <w:rPr>
                <w:rFonts w:eastAsia="Calibri" w:cs="Times New Roman"/>
                <w:b/>
                <w:bCs/>
                <w:color w:val="FFFFFF"/>
                <w:sz w:val="20"/>
                <w:szCs w:val="20"/>
              </w:rPr>
            </w:pPr>
            <w:r w:rsidRPr="003C2E0B">
              <w:rPr>
                <w:rFonts w:eastAsia="Calibri" w:cs="Times New Roman"/>
                <w:b/>
                <w:bCs/>
                <w:color w:val="FFFFFF"/>
                <w:sz w:val="20"/>
                <w:szCs w:val="20"/>
              </w:rPr>
              <w:t>upravený</w:t>
            </w:r>
          </w:p>
        </w:tc>
        <w:tc>
          <w:tcPr>
            <w:tcW w:w="654" w:type="pct"/>
            <w:vMerge/>
            <w:shd w:val="clear" w:color="auto" w:fill="D9D9D9"/>
          </w:tcPr>
          <w:p w14:paraId="7A64D4C2" w14:textId="77777777" w:rsidR="00711800" w:rsidRPr="003C2E0B" w:rsidRDefault="00711800" w:rsidP="00303737">
            <w:pPr>
              <w:rPr>
                <w:rFonts w:eastAsia="Calibri" w:cs="Times New Roman"/>
                <w:sz w:val="20"/>
                <w:szCs w:val="20"/>
              </w:rPr>
            </w:pPr>
          </w:p>
        </w:tc>
        <w:tc>
          <w:tcPr>
            <w:tcW w:w="470" w:type="pct"/>
            <w:vMerge/>
            <w:shd w:val="clear" w:color="auto" w:fill="D9D9D9"/>
            <w:vAlign w:val="center"/>
          </w:tcPr>
          <w:p w14:paraId="094306DF" w14:textId="77777777" w:rsidR="00711800" w:rsidRPr="003C2E0B" w:rsidRDefault="00711800" w:rsidP="00303737">
            <w:pPr>
              <w:rPr>
                <w:rFonts w:eastAsia="Calibri" w:cs="Times New Roman"/>
                <w:sz w:val="20"/>
                <w:szCs w:val="20"/>
              </w:rPr>
            </w:pPr>
          </w:p>
        </w:tc>
        <w:tc>
          <w:tcPr>
            <w:tcW w:w="456" w:type="pct"/>
            <w:vMerge/>
            <w:shd w:val="clear" w:color="auto" w:fill="D9D9D9"/>
            <w:vAlign w:val="center"/>
          </w:tcPr>
          <w:p w14:paraId="6B6B5E2B" w14:textId="77777777" w:rsidR="00711800" w:rsidRPr="003C2E0B" w:rsidRDefault="00711800" w:rsidP="00303737">
            <w:pPr>
              <w:rPr>
                <w:rFonts w:eastAsia="Calibri" w:cs="Times New Roman"/>
                <w:sz w:val="20"/>
                <w:szCs w:val="20"/>
              </w:rPr>
            </w:pPr>
          </w:p>
        </w:tc>
      </w:tr>
      <w:tr w:rsidR="00711800" w:rsidRPr="003C2E0B" w14:paraId="77CBBFC0" w14:textId="77777777" w:rsidTr="0027210C">
        <w:trPr>
          <w:trHeight w:val="57"/>
          <w:tblHeader/>
        </w:trPr>
        <w:tc>
          <w:tcPr>
            <w:tcW w:w="1671" w:type="pct"/>
            <w:shd w:val="clear" w:color="auto" w:fill="auto"/>
            <w:vAlign w:val="center"/>
            <w:hideMark/>
          </w:tcPr>
          <w:p w14:paraId="0FB8825E" w14:textId="77777777" w:rsidR="00711800" w:rsidRPr="003C2E0B" w:rsidRDefault="00711800" w:rsidP="00303737">
            <w:pPr>
              <w:jc w:val="center"/>
              <w:rPr>
                <w:rFonts w:eastAsia="Calibri" w:cs="Times New Roman"/>
                <w:bCs/>
                <w:sz w:val="20"/>
                <w:szCs w:val="20"/>
              </w:rPr>
            </w:pPr>
            <w:r w:rsidRPr="003C2E0B">
              <w:rPr>
                <w:rFonts w:eastAsia="Calibri" w:cs="Times New Roman"/>
                <w:bCs/>
                <w:sz w:val="20"/>
                <w:szCs w:val="20"/>
              </w:rPr>
              <w:t>a</w:t>
            </w:r>
          </w:p>
        </w:tc>
        <w:tc>
          <w:tcPr>
            <w:tcW w:w="609" w:type="pct"/>
            <w:shd w:val="clear" w:color="auto" w:fill="auto"/>
            <w:vAlign w:val="center"/>
            <w:hideMark/>
          </w:tcPr>
          <w:p w14:paraId="346E11A3" w14:textId="77777777" w:rsidR="00711800" w:rsidRPr="003C2E0B" w:rsidRDefault="00711800" w:rsidP="00303737">
            <w:pPr>
              <w:jc w:val="center"/>
              <w:rPr>
                <w:rFonts w:eastAsia="Calibri" w:cs="Times New Roman"/>
                <w:sz w:val="20"/>
                <w:szCs w:val="20"/>
              </w:rPr>
            </w:pPr>
            <w:r w:rsidRPr="003C2E0B">
              <w:rPr>
                <w:rFonts w:eastAsia="Calibri" w:cs="Times New Roman"/>
                <w:sz w:val="20"/>
                <w:szCs w:val="20"/>
              </w:rPr>
              <w:t>1</w:t>
            </w:r>
          </w:p>
        </w:tc>
        <w:tc>
          <w:tcPr>
            <w:tcW w:w="532" w:type="pct"/>
            <w:shd w:val="clear" w:color="auto" w:fill="auto"/>
            <w:vAlign w:val="center"/>
            <w:hideMark/>
          </w:tcPr>
          <w:p w14:paraId="7DA76A9C" w14:textId="77777777" w:rsidR="00711800" w:rsidRPr="003C2E0B" w:rsidRDefault="00711800" w:rsidP="00303737">
            <w:pPr>
              <w:jc w:val="center"/>
              <w:rPr>
                <w:rFonts w:eastAsia="Calibri" w:cs="Times New Roman"/>
                <w:sz w:val="20"/>
                <w:szCs w:val="20"/>
              </w:rPr>
            </w:pPr>
            <w:r w:rsidRPr="003C2E0B">
              <w:rPr>
                <w:rFonts w:eastAsia="Calibri" w:cs="Times New Roman"/>
                <w:sz w:val="20"/>
                <w:szCs w:val="20"/>
              </w:rPr>
              <w:t>2</w:t>
            </w:r>
          </w:p>
        </w:tc>
        <w:tc>
          <w:tcPr>
            <w:tcW w:w="608" w:type="pct"/>
            <w:shd w:val="clear" w:color="auto" w:fill="auto"/>
            <w:vAlign w:val="center"/>
            <w:hideMark/>
          </w:tcPr>
          <w:p w14:paraId="1AB1DF0E" w14:textId="77777777" w:rsidR="00711800" w:rsidRPr="003C2E0B" w:rsidRDefault="00711800" w:rsidP="00303737">
            <w:pPr>
              <w:jc w:val="center"/>
              <w:rPr>
                <w:rFonts w:eastAsia="Calibri" w:cs="Times New Roman"/>
                <w:sz w:val="20"/>
                <w:szCs w:val="20"/>
              </w:rPr>
            </w:pPr>
            <w:r w:rsidRPr="003C2E0B">
              <w:rPr>
                <w:rFonts w:eastAsia="Calibri" w:cs="Times New Roman"/>
                <w:sz w:val="20"/>
                <w:szCs w:val="20"/>
              </w:rPr>
              <w:t>3</w:t>
            </w:r>
          </w:p>
        </w:tc>
        <w:tc>
          <w:tcPr>
            <w:tcW w:w="654" w:type="pct"/>
          </w:tcPr>
          <w:p w14:paraId="34C6E3A5" w14:textId="77777777" w:rsidR="00711800" w:rsidRPr="003C2E0B" w:rsidRDefault="00711800" w:rsidP="00303737">
            <w:pPr>
              <w:jc w:val="center"/>
              <w:rPr>
                <w:rFonts w:eastAsia="Calibri" w:cs="Times New Roman"/>
                <w:sz w:val="20"/>
                <w:szCs w:val="20"/>
              </w:rPr>
            </w:pPr>
            <w:r w:rsidRPr="003C2E0B">
              <w:rPr>
                <w:rFonts w:eastAsia="Calibri" w:cs="Times New Roman"/>
                <w:sz w:val="20"/>
                <w:szCs w:val="20"/>
              </w:rPr>
              <w:t>4</w:t>
            </w:r>
          </w:p>
        </w:tc>
        <w:tc>
          <w:tcPr>
            <w:tcW w:w="470" w:type="pct"/>
            <w:shd w:val="clear" w:color="auto" w:fill="auto"/>
            <w:vAlign w:val="center"/>
            <w:hideMark/>
          </w:tcPr>
          <w:p w14:paraId="4D17F653" w14:textId="77777777" w:rsidR="00711800" w:rsidRPr="003C2E0B" w:rsidRDefault="00711800" w:rsidP="00303737">
            <w:pPr>
              <w:jc w:val="center"/>
              <w:rPr>
                <w:rFonts w:eastAsia="Calibri" w:cs="Times New Roman"/>
                <w:sz w:val="20"/>
                <w:szCs w:val="20"/>
              </w:rPr>
            </w:pPr>
            <w:r w:rsidRPr="003C2E0B">
              <w:rPr>
                <w:rFonts w:eastAsia="Calibri" w:cs="Times New Roman"/>
                <w:sz w:val="20"/>
                <w:szCs w:val="20"/>
              </w:rPr>
              <w:t>4-3</w:t>
            </w:r>
          </w:p>
        </w:tc>
        <w:tc>
          <w:tcPr>
            <w:tcW w:w="456" w:type="pct"/>
            <w:shd w:val="clear" w:color="auto" w:fill="auto"/>
            <w:vAlign w:val="center"/>
            <w:hideMark/>
          </w:tcPr>
          <w:p w14:paraId="2B51AFA3" w14:textId="77777777" w:rsidR="00711800" w:rsidRPr="003C2E0B" w:rsidRDefault="00711800" w:rsidP="00303737">
            <w:pPr>
              <w:jc w:val="center"/>
              <w:rPr>
                <w:rFonts w:eastAsia="Calibri" w:cs="Times New Roman"/>
                <w:sz w:val="20"/>
                <w:szCs w:val="20"/>
              </w:rPr>
            </w:pPr>
            <w:r w:rsidRPr="003C2E0B">
              <w:rPr>
                <w:rFonts w:eastAsia="Calibri" w:cs="Times New Roman"/>
                <w:sz w:val="20"/>
                <w:szCs w:val="20"/>
              </w:rPr>
              <w:t>4/1*100</w:t>
            </w:r>
          </w:p>
        </w:tc>
      </w:tr>
      <w:tr w:rsidR="00711800" w:rsidRPr="003C2E0B" w14:paraId="59D14437" w14:textId="77777777" w:rsidTr="0027210C">
        <w:trPr>
          <w:trHeight w:val="57"/>
        </w:trPr>
        <w:tc>
          <w:tcPr>
            <w:tcW w:w="1671" w:type="pct"/>
            <w:shd w:val="clear" w:color="auto" w:fill="D9D9D9"/>
            <w:vAlign w:val="center"/>
            <w:hideMark/>
          </w:tcPr>
          <w:p w14:paraId="5E882A26" w14:textId="77777777" w:rsidR="00711800" w:rsidRPr="003C2E0B" w:rsidRDefault="00711800" w:rsidP="00303737">
            <w:pPr>
              <w:rPr>
                <w:rFonts w:eastAsia="Calibri" w:cs="Times New Roman"/>
                <w:b/>
                <w:bCs/>
                <w:color w:val="000000"/>
                <w:sz w:val="20"/>
                <w:szCs w:val="20"/>
              </w:rPr>
            </w:pPr>
            <w:r w:rsidRPr="003C2E0B">
              <w:rPr>
                <w:rFonts w:eastAsia="Calibri" w:cs="Times New Roman"/>
                <w:b/>
                <w:bCs/>
                <w:color w:val="000000"/>
                <w:sz w:val="20"/>
                <w:szCs w:val="20"/>
              </w:rPr>
              <w:t>Kapitoly ŠR spolu</w:t>
            </w:r>
          </w:p>
        </w:tc>
        <w:tc>
          <w:tcPr>
            <w:tcW w:w="609" w:type="pct"/>
            <w:shd w:val="clear" w:color="auto" w:fill="D9D9D9"/>
            <w:vAlign w:val="bottom"/>
          </w:tcPr>
          <w:p w14:paraId="28C5E852" w14:textId="77777777" w:rsidR="00711800" w:rsidRPr="003C2E0B" w:rsidRDefault="00711800" w:rsidP="00303737">
            <w:pPr>
              <w:jc w:val="right"/>
              <w:rPr>
                <w:rFonts w:eastAsia="Times New Roman" w:cs="Arial"/>
                <w:b/>
                <w:bCs/>
                <w:sz w:val="20"/>
                <w:szCs w:val="20"/>
                <w:lang w:eastAsia="sk-SK"/>
              </w:rPr>
            </w:pPr>
            <w:r w:rsidRPr="003C2E0B">
              <w:rPr>
                <w:rFonts w:eastAsia="Times New Roman" w:cs="Arial"/>
                <w:b/>
                <w:bCs/>
                <w:sz w:val="20"/>
                <w:szCs w:val="20"/>
                <w:lang w:eastAsia="sk-SK"/>
              </w:rPr>
              <w:t>16 563 255</w:t>
            </w:r>
          </w:p>
        </w:tc>
        <w:tc>
          <w:tcPr>
            <w:tcW w:w="532" w:type="pct"/>
            <w:shd w:val="clear" w:color="auto" w:fill="D9D9D9"/>
            <w:vAlign w:val="bottom"/>
          </w:tcPr>
          <w:p w14:paraId="4B6E5693" w14:textId="77777777" w:rsidR="00711800" w:rsidRPr="003C2E0B" w:rsidRDefault="00711800" w:rsidP="00303737">
            <w:pPr>
              <w:jc w:val="right"/>
              <w:rPr>
                <w:rFonts w:eastAsia="Times New Roman" w:cs="Arial"/>
                <w:b/>
                <w:bCs/>
                <w:sz w:val="20"/>
                <w:szCs w:val="20"/>
                <w:lang w:eastAsia="sk-SK"/>
              </w:rPr>
            </w:pPr>
            <w:r w:rsidRPr="003C2E0B">
              <w:rPr>
                <w:rFonts w:eastAsia="Times New Roman" w:cs="Arial"/>
                <w:b/>
                <w:bCs/>
                <w:sz w:val="20"/>
                <w:szCs w:val="20"/>
                <w:lang w:eastAsia="sk-SK"/>
              </w:rPr>
              <w:t>17 538 901</w:t>
            </w:r>
          </w:p>
        </w:tc>
        <w:tc>
          <w:tcPr>
            <w:tcW w:w="608" w:type="pct"/>
            <w:shd w:val="clear" w:color="auto" w:fill="D9D9D9"/>
            <w:vAlign w:val="bottom"/>
          </w:tcPr>
          <w:p w14:paraId="62FC1580" w14:textId="77777777" w:rsidR="00711800" w:rsidRPr="003C2E0B" w:rsidRDefault="00711800" w:rsidP="00303737">
            <w:pPr>
              <w:jc w:val="right"/>
              <w:rPr>
                <w:rFonts w:eastAsia="Times New Roman" w:cs="Arial"/>
                <w:b/>
                <w:bCs/>
                <w:sz w:val="20"/>
                <w:szCs w:val="20"/>
                <w:lang w:eastAsia="sk-SK"/>
              </w:rPr>
            </w:pPr>
            <w:r w:rsidRPr="003C2E0B">
              <w:rPr>
                <w:rFonts w:eastAsia="Times New Roman" w:cs="Arial"/>
                <w:b/>
                <w:bCs/>
                <w:sz w:val="20"/>
                <w:szCs w:val="20"/>
                <w:lang w:eastAsia="sk-SK"/>
              </w:rPr>
              <w:t>18 253 558</w:t>
            </w:r>
          </w:p>
        </w:tc>
        <w:tc>
          <w:tcPr>
            <w:tcW w:w="654" w:type="pct"/>
            <w:shd w:val="clear" w:color="auto" w:fill="D9D9D9"/>
            <w:vAlign w:val="bottom"/>
          </w:tcPr>
          <w:p w14:paraId="7BD1B001" w14:textId="77777777" w:rsidR="00711800" w:rsidRPr="003C2E0B" w:rsidRDefault="00711800" w:rsidP="00303737">
            <w:pPr>
              <w:jc w:val="right"/>
              <w:rPr>
                <w:rFonts w:eastAsia="Times New Roman" w:cs="Arial"/>
                <w:b/>
                <w:bCs/>
                <w:sz w:val="20"/>
                <w:szCs w:val="20"/>
                <w:lang w:eastAsia="sk-SK"/>
              </w:rPr>
            </w:pPr>
            <w:r w:rsidRPr="003C2E0B">
              <w:rPr>
                <w:rFonts w:eastAsia="Times New Roman" w:cs="Arial"/>
                <w:b/>
                <w:bCs/>
                <w:sz w:val="20"/>
                <w:szCs w:val="20"/>
                <w:lang w:eastAsia="sk-SK"/>
              </w:rPr>
              <w:t>18 027 016</w:t>
            </w:r>
          </w:p>
        </w:tc>
        <w:tc>
          <w:tcPr>
            <w:tcW w:w="470" w:type="pct"/>
            <w:shd w:val="clear" w:color="auto" w:fill="D9D9D9"/>
            <w:vAlign w:val="bottom"/>
          </w:tcPr>
          <w:p w14:paraId="365A14C5" w14:textId="77777777" w:rsidR="00711800" w:rsidRPr="003C2E0B" w:rsidRDefault="00711800" w:rsidP="00303737">
            <w:pPr>
              <w:jc w:val="right"/>
              <w:rPr>
                <w:rFonts w:eastAsia="Times New Roman" w:cs="Arial"/>
                <w:b/>
                <w:bCs/>
                <w:sz w:val="20"/>
                <w:szCs w:val="20"/>
                <w:lang w:eastAsia="sk-SK"/>
              </w:rPr>
            </w:pPr>
            <w:r w:rsidRPr="003C2E0B">
              <w:rPr>
                <w:rFonts w:eastAsia="Times New Roman" w:cs="Arial"/>
                <w:b/>
                <w:bCs/>
                <w:sz w:val="20"/>
                <w:szCs w:val="20"/>
                <w:lang w:eastAsia="sk-SK"/>
              </w:rPr>
              <w:t>-226 542</w:t>
            </w:r>
          </w:p>
        </w:tc>
        <w:tc>
          <w:tcPr>
            <w:tcW w:w="456" w:type="pct"/>
            <w:shd w:val="clear" w:color="auto" w:fill="D9D9D9"/>
            <w:vAlign w:val="bottom"/>
          </w:tcPr>
          <w:p w14:paraId="38DB8D87" w14:textId="77777777" w:rsidR="00711800" w:rsidRPr="003C2E0B" w:rsidRDefault="00711800" w:rsidP="00303737">
            <w:pPr>
              <w:jc w:val="right"/>
              <w:rPr>
                <w:rFonts w:eastAsia="Times New Roman" w:cs="Arial"/>
                <w:b/>
                <w:bCs/>
                <w:sz w:val="20"/>
                <w:szCs w:val="20"/>
                <w:lang w:eastAsia="sk-SK"/>
              </w:rPr>
            </w:pPr>
            <w:r w:rsidRPr="003C2E0B">
              <w:rPr>
                <w:rFonts w:eastAsia="Times New Roman" w:cs="Arial"/>
                <w:b/>
                <w:bCs/>
                <w:sz w:val="20"/>
                <w:szCs w:val="20"/>
                <w:lang w:eastAsia="sk-SK"/>
              </w:rPr>
              <w:t>108,8</w:t>
            </w:r>
          </w:p>
        </w:tc>
      </w:tr>
      <w:tr w:rsidR="00711800" w:rsidRPr="003C2E0B" w14:paraId="2F25A3A3" w14:textId="77777777" w:rsidTr="0027210C">
        <w:trPr>
          <w:trHeight w:val="57"/>
        </w:trPr>
        <w:tc>
          <w:tcPr>
            <w:tcW w:w="1671" w:type="pct"/>
            <w:shd w:val="clear" w:color="auto" w:fill="auto"/>
            <w:vAlign w:val="center"/>
            <w:hideMark/>
          </w:tcPr>
          <w:p w14:paraId="4C32D975"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Kancelária NR SR</w:t>
            </w:r>
          </w:p>
        </w:tc>
        <w:tc>
          <w:tcPr>
            <w:tcW w:w="609" w:type="pct"/>
            <w:shd w:val="clear" w:color="auto" w:fill="auto"/>
            <w:vAlign w:val="bottom"/>
          </w:tcPr>
          <w:p w14:paraId="55CD316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32 522</w:t>
            </w:r>
          </w:p>
        </w:tc>
        <w:tc>
          <w:tcPr>
            <w:tcW w:w="532" w:type="pct"/>
            <w:shd w:val="clear" w:color="auto" w:fill="auto"/>
            <w:vAlign w:val="bottom"/>
          </w:tcPr>
          <w:p w14:paraId="3BEDE6D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31 857</w:t>
            </w:r>
          </w:p>
        </w:tc>
        <w:tc>
          <w:tcPr>
            <w:tcW w:w="608" w:type="pct"/>
            <w:shd w:val="clear" w:color="auto" w:fill="auto"/>
            <w:vAlign w:val="bottom"/>
          </w:tcPr>
          <w:p w14:paraId="30BE4B9B"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48 171</w:t>
            </w:r>
          </w:p>
        </w:tc>
        <w:tc>
          <w:tcPr>
            <w:tcW w:w="654" w:type="pct"/>
            <w:vAlign w:val="bottom"/>
          </w:tcPr>
          <w:p w14:paraId="0F67504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48 038</w:t>
            </w:r>
          </w:p>
        </w:tc>
        <w:tc>
          <w:tcPr>
            <w:tcW w:w="470" w:type="pct"/>
            <w:shd w:val="clear" w:color="auto" w:fill="auto"/>
            <w:vAlign w:val="bottom"/>
          </w:tcPr>
          <w:p w14:paraId="09806F6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-133</w:t>
            </w:r>
          </w:p>
        </w:tc>
        <w:tc>
          <w:tcPr>
            <w:tcW w:w="456" w:type="pct"/>
            <w:shd w:val="clear" w:color="auto" w:fill="auto"/>
            <w:vAlign w:val="bottom"/>
          </w:tcPr>
          <w:p w14:paraId="1F3E2BD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147,7</w:t>
            </w:r>
          </w:p>
        </w:tc>
      </w:tr>
      <w:tr w:rsidR="00711800" w:rsidRPr="003C2E0B" w14:paraId="218C8F28" w14:textId="77777777" w:rsidTr="0027210C">
        <w:trPr>
          <w:trHeight w:val="57"/>
        </w:trPr>
        <w:tc>
          <w:tcPr>
            <w:tcW w:w="1671" w:type="pct"/>
            <w:shd w:val="clear" w:color="auto" w:fill="auto"/>
            <w:vAlign w:val="center"/>
            <w:hideMark/>
          </w:tcPr>
          <w:p w14:paraId="520382B3"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Kancelária prezidenta SR</w:t>
            </w:r>
          </w:p>
        </w:tc>
        <w:tc>
          <w:tcPr>
            <w:tcW w:w="609" w:type="pct"/>
            <w:shd w:val="clear" w:color="auto" w:fill="auto"/>
            <w:vAlign w:val="bottom"/>
          </w:tcPr>
          <w:p w14:paraId="6BB9E8B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5 573</w:t>
            </w:r>
          </w:p>
        </w:tc>
        <w:tc>
          <w:tcPr>
            <w:tcW w:w="532" w:type="pct"/>
            <w:shd w:val="clear" w:color="auto" w:fill="auto"/>
            <w:vAlign w:val="bottom"/>
          </w:tcPr>
          <w:p w14:paraId="5622811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4 874</w:t>
            </w:r>
          </w:p>
        </w:tc>
        <w:tc>
          <w:tcPr>
            <w:tcW w:w="608" w:type="pct"/>
            <w:shd w:val="clear" w:color="auto" w:fill="auto"/>
            <w:vAlign w:val="bottom"/>
          </w:tcPr>
          <w:p w14:paraId="04BF0E8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7 645</w:t>
            </w:r>
          </w:p>
        </w:tc>
        <w:tc>
          <w:tcPr>
            <w:tcW w:w="654" w:type="pct"/>
            <w:vAlign w:val="bottom"/>
          </w:tcPr>
          <w:p w14:paraId="309CE2E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7 638</w:t>
            </w:r>
          </w:p>
        </w:tc>
        <w:tc>
          <w:tcPr>
            <w:tcW w:w="470" w:type="pct"/>
            <w:shd w:val="clear" w:color="auto" w:fill="auto"/>
            <w:vAlign w:val="bottom"/>
          </w:tcPr>
          <w:p w14:paraId="0DB88E0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w:t>
            </w:r>
          </w:p>
        </w:tc>
        <w:tc>
          <w:tcPr>
            <w:tcW w:w="456" w:type="pct"/>
            <w:shd w:val="clear" w:color="auto" w:fill="auto"/>
            <w:vAlign w:val="bottom"/>
          </w:tcPr>
          <w:p w14:paraId="7C2E916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137,1</w:t>
            </w:r>
          </w:p>
        </w:tc>
      </w:tr>
      <w:tr w:rsidR="00711800" w:rsidRPr="003C2E0B" w14:paraId="6A2D96C8" w14:textId="77777777" w:rsidTr="0027210C">
        <w:trPr>
          <w:trHeight w:val="57"/>
        </w:trPr>
        <w:tc>
          <w:tcPr>
            <w:tcW w:w="1671" w:type="pct"/>
            <w:shd w:val="clear" w:color="auto" w:fill="auto"/>
            <w:vAlign w:val="center"/>
            <w:hideMark/>
          </w:tcPr>
          <w:p w14:paraId="285CC5AD"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Úrad vlády SR</w:t>
            </w:r>
          </w:p>
        </w:tc>
        <w:tc>
          <w:tcPr>
            <w:tcW w:w="609" w:type="pct"/>
            <w:shd w:val="clear" w:color="auto" w:fill="auto"/>
            <w:vAlign w:val="bottom"/>
          </w:tcPr>
          <w:p w14:paraId="0A18570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78 743</w:t>
            </w:r>
          </w:p>
        </w:tc>
        <w:tc>
          <w:tcPr>
            <w:tcW w:w="532" w:type="pct"/>
            <w:shd w:val="clear" w:color="auto" w:fill="auto"/>
            <w:vAlign w:val="bottom"/>
          </w:tcPr>
          <w:p w14:paraId="62CEEDC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54 043</w:t>
            </w:r>
          </w:p>
        </w:tc>
        <w:tc>
          <w:tcPr>
            <w:tcW w:w="608" w:type="pct"/>
            <w:shd w:val="clear" w:color="auto" w:fill="auto"/>
            <w:vAlign w:val="bottom"/>
          </w:tcPr>
          <w:p w14:paraId="37849D0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46 812</w:t>
            </w:r>
          </w:p>
        </w:tc>
        <w:tc>
          <w:tcPr>
            <w:tcW w:w="654" w:type="pct"/>
            <w:vAlign w:val="bottom"/>
          </w:tcPr>
          <w:p w14:paraId="7589A03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46 810</w:t>
            </w:r>
          </w:p>
        </w:tc>
        <w:tc>
          <w:tcPr>
            <w:tcW w:w="470" w:type="pct"/>
            <w:shd w:val="clear" w:color="auto" w:fill="auto"/>
            <w:vAlign w:val="bottom"/>
          </w:tcPr>
          <w:p w14:paraId="3BD4231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w:t>
            </w:r>
          </w:p>
        </w:tc>
        <w:tc>
          <w:tcPr>
            <w:tcW w:w="456" w:type="pct"/>
            <w:shd w:val="clear" w:color="auto" w:fill="auto"/>
            <w:vAlign w:val="bottom"/>
          </w:tcPr>
          <w:p w14:paraId="545208E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59,4</w:t>
            </w:r>
          </w:p>
        </w:tc>
      </w:tr>
      <w:tr w:rsidR="00711800" w:rsidRPr="003C2E0B" w14:paraId="7782D037" w14:textId="77777777" w:rsidTr="0027210C">
        <w:trPr>
          <w:trHeight w:val="57"/>
        </w:trPr>
        <w:tc>
          <w:tcPr>
            <w:tcW w:w="1671" w:type="pct"/>
            <w:shd w:val="clear" w:color="auto" w:fill="auto"/>
            <w:vAlign w:val="center"/>
            <w:hideMark/>
          </w:tcPr>
          <w:p w14:paraId="71FE6E50"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Úrad podpredsedu vlády pre investície a informatizáciu</w:t>
            </w:r>
          </w:p>
        </w:tc>
        <w:tc>
          <w:tcPr>
            <w:tcW w:w="609" w:type="pct"/>
            <w:shd w:val="clear" w:color="auto" w:fill="auto"/>
            <w:vAlign w:val="bottom"/>
          </w:tcPr>
          <w:p w14:paraId="48DAF65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28 991</w:t>
            </w:r>
          </w:p>
        </w:tc>
        <w:tc>
          <w:tcPr>
            <w:tcW w:w="532" w:type="pct"/>
            <w:shd w:val="clear" w:color="auto" w:fill="auto"/>
            <w:vAlign w:val="bottom"/>
          </w:tcPr>
          <w:p w14:paraId="1329241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10 487</w:t>
            </w:r>
          </w:p>
        </w:tc>
        <w:tc>
          <w:tcPr>
            <w:tcW w:w="608" w:type="pct"/>
            <w:shd w:val="clear" w:color="auto" w:fill="auto"/>
            <w:vAlign w:val="bottom"/>
          </w:tcPr>
          <w:p w14:paraId="2C59B6C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119 462</w:t>
            </w:r>
          </w:p>
        </w:tc>
        <w:tc>
          <w:tcPr>
            <w:tcW w:w="654" w:type="pct"/>
            <w:vAlign w:val="bottom"/>
          </w:tcPr>
          <w:p w14:paraId="08C5F43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119 303</w:t>
            </w:r>
          </w:p>
        </w:tc>
        <w:tc>
          <w:tcPr>
            <w:tcW w:w="470" w:type="pct"/>
            <w:shd w:val="clear" w:color="auto" w:fill="auto"/>
            <w:vAlign w:val="bottom"/>
          </w:tcPr>
          <w:p w14:paraId="2D37C35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-159</w:t>
            </w:r>
          </w:p>
        </w:tc>
        <w:tc>
          <w:tcPr>
            <w:tcW w:w="456" w:type="pct"/>
            <w:shd w:val="clear" w:color="auto" w:fill="auto"/>
            <w:vAlign w:val="bottom"/>
          </w:tcPr>
          <w:p w14:paraId="4F4DD21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411,5</w:t>
            </w:r>
          </w:p>
        </w:tc>
      </w:tr>
      <w:tr w:rsidR="00711800" w:rsidRPr="003C2E0B" w14:paraId="4EF777A1" w14:textId="77777777" w:rsidTr="0027210C">
        <w:trPr>
          <w:trHeight w:val="57"/>
        </w:trPr>
        <w:tc>
          <w:tcPr>
            <w:tcW w:w="1671" w:type="pct"/>
            <w:shd w:val="clear" w:color="auto" w:fill="auto"/>
            <w:vAlign w:val="center"/>
            <w:hideMark/>
          </w:tcPr>
          <w:p w14:paraId="707ACFD4"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Kancelária Ústavného súdu SR</w:t>
            </w:r>
          </w:p>
        </w:tc>
        <w:tc>
          <w:tcPr>
            <w:tcW w:w="609" w:type="pct"/>
            <w:shd w:val="clear" w:color="auto" w:fill="auto"/>
            <w:vAlign w:val="bottom"/>
          </w:tcPr>
          <w:p w14:paraId="3283EFF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7 460</w:t>
            </w:r>
          </w:p>
        </w:tc>
        <w:tc>
          <w:tcPr>
            <w:tcW w:w="532" w:type="pct"/>
            <w:shd w:val="clear" w:color="auto" w:fill="auto"/>
            <w:vAlign w:val="bottom"/>
          </w:tcPr>
          <w:p w14:paraId="0A9A1C5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5 677</w:t>
            </w:r>
          </w:p>
        </w:tc>
        <w:tc>
          <w:tcPr>
            <w:tcW w:w="608" w:type="pct"/>
            <w:shd w:val="clear" w:color="auto" w:fill="auto"/>
            <w:vAlign w:val="bottom"/>
          </w:tcPr>
          <w:p w14:paraId="553D28B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6 159</w:t>
            </w:r>
          </w:p>
        </w:tc>
        <w:tc>
          <w:tcPr>
            <w:tcW w:w="654" w:type="pct"/>
            <w:vAlign w:val="bottom"/>
          </w:tcPr>
          <w:p w14:paraId="2650C84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6 048</w:t>
            </w:r>
          </w:p>
        </w:tc>
        <w:tc>
          <w:tcPr>
            <w:tcW w:w="470" w:type="pct"/>
            <w:shd w:val="clear" w:color="auto" w:fill="auto"/>
            <w:vAlign w:val="bottom"/>
          </w:tcPr>
          <w:p w14:paraId="0420420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-111</w:t>
            </w:r>
          </w:p>
        </w:tc>
        <w:tc>
          <w:tcPr>
            <w:tcW w:w="456" w:type="pct"/>
            <w:shd w:val="clear" w:color="auto" w:fill="auto"/>
            <w:vAlign w:val="bottom"/>
          </w:tcPr>
          <w:p w14:paraId="6491F88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81,1</w:t>
            </w:r>
          </w:p>
        </w:tc>
      </w:tr>
      <w:tr w:rsidR="00711800" w:rsidRPr="003C2E0B" w14:paraId="4763FCD9" w14:textId="77777777" w:rsidTr="0027210C">
        <w:trPr>
          <w:trHeight w:val="57"/>
        </w:trPr>
        <w:tc>
          <w:tcPr>
            <w:tcW w:w="1671" w:type="pct"/>
            <w:shd w:val="clear" w:color="auto" w:fill="auto"/>
            <w:vAlign w:val="center"/>
            <w:hideMark/>
          </w:tcPr>
          <w:p w14:paraId="06B5449E" w14:textId="77777777" w:rsidR="00711800" w:rsidRPr="003C2E0B" w:rsidRDefault="00711800" w:rsidP="00303737">
            <w:pPr>
              <w:rPr>
                <w:rFonts w:eastAsia="Calibri" w:cs="Times New Roman"/>
                <w:color w:val="000000"/>
                <w:sz w:val="20"/>
                <w:szCs w:val="20"/>
              </w:rPr>
            </w:pPr>
            <w:r w:rsidRPr="003C2E0B">
              <w:rPr>
                <w:rFonts w:eastAsia="Calibri" w:cs="Arial CE"/>
                <w:sz w:val="20"/>
                <w:szCs w:val="20"/>
              </w:rPr>
              <w:t>Kancelária Najvyššieho súdu SR</w:t>
            </w:r>
          </w:p>
        </w:tc>
        <w:tc>
          <w:tcPr>
            <w:tcW w:w="609" w:type="pct"/>
            <w:shd w:val="clear" w:color="auto" w:fill="auto"/>
            <w:vAlign w:val="bottom"/>
          </w:tcPr>
          <w:p w14:paraId="73160EC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13 646</w:t>
            </w:r>
          </w:p>
        </w:tc>
        <w:tc>
          <w:tcPr>
            <w:tcW w:w="532" w:type="pct"/>
            <w:shd w:val="clear" w:color="auto" w:fill="auto"/>
            <w:vAlign w:val="bottom"/>
          </w:tcPr>
          <w:p w14:paraId="3042D18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19 023</w:t>
            </w:r>
          </w:p>
        </w:tc>
        <w:tc>
          <w:tcPr>
            <w:tcW w:w="608" w:type="pct"/>
            <w:shd w:val="clear" w:color="auto" w:fill="auto"/>
            <w:vAlign w:val="bottom"/>
          </w:tcPr>
          <w:p w14:paraId="0E6CCFA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17 852</w:t>
            </w:r>
          </w:p>
        </w:tc>
        <w:tc>
          <w:tcPr>
            <w:tcW w:w="654" w:type="pct"/>
            <w:vAlign w:val="bottom"/>
          </w:tcPr>
          <w:p w14:paraId="7F68236B"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17 852</w:t>
            </w:r>
          </w:p>
        </w:tc>
        <w:tc>
          <w:tcPr>
            <w:tcW w:w="470" w:type="pct"/>
            <w:shd w:val="clear" w:color="auto" w:fill="auto"/>
            <w:vAlign w:val="bottom"/>
          </w:tcPr>
          <w:p w14:paraId="5923BE9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0</w:t>
            </w:r>
          </w:p>
        </w:tc>
        <w:tc>
          <w:tcPr>
            <w:tcW w:w="456" w:type="pct"/>
            <w:shd w:val="clear" w:color="auto" w:fill="auto"/>
            <w:vAlign w:val="bottom"/>
          </w:tcPr>
          <w:p w14:paraId="4B52ED3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130,8</w:t>
            </w:r>
          </w:p>
        </w:tc>
      </w:tr>
      <w:tr w:rsidR="00711800" w:rsidRPr="003C2E0B" w14:paraId="0FBFF3FC" w14:textId="77777777" w:rsidTr="0027210C">
        <w:trPr>
          <w:trHeight w:val="57"/>
        </w:trPr>
        <w:tc>
          <w:tcPr>
            <w:tcW w:w="1671" w:type="pct"/>
            <w:shd w:val="clear" w:color="auto" w:fill="auto"/>
            <w:vAlign w:val="center"/>
            <w:hideMark/>
          </w:tcPr>
          <w:p w14:paraId="61E7F9CE"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Generálna prokuratúra SR</w:t>
            </w:r>
          </w:p>
        </w:tc>
        <w:tc>
          <w:tcPr>
            <w:tcW w:w="609" w:type="pct"/>
            <w:shd w:val="clear" w:color="auto" w:fill="auto"/>
            <w:vAlign w:val="bottom"/>
          </w:tcPr>
          <w:p w14:paraId="1B67400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99 805</w:t>
            </w:r>
          </w:p>
        </w:tc>
        <w:tc>
          <w:tcPr>
            <w:tcW w:w="532" w:type="pct"/>
            <w:shd w:val="clear" w:color="auto" w:fill="auto"/>
            <w:vAlign w:val="bottom"/>
          </w:tcPr>
          <w:p w14:paraId="631057D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106 705</w:t>
            </w:r>
          </w:p>
        </w:tc>
        <w:tc>
          <w:tcPr>
            <w:tcW w:w="608" w:type="pct"/>
            <w:shd w:val="clear" w:color="auto" w:fill="auto"/>
            <w:vAlign w:val="bottom"/>
          </w:tcPr>
          <w:p w14:paraId="050679E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115 723</w:t>
            </w:r>
          </w:p>
        </w:tc>
        <w:tc>
          <w:tcPr>
            <w:tcW w:w="654" w:type="pct"/>
            <w:vAlign w:val="bottom"/>
          </w:tcPr>
          <w:p w14:paraId="648009A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112 713</w:t>
            </w:r>
          </w:p>
        </w:tc>
        <w:tc>
          <w:tcPr>
            <w:tcW w:w="470" w:type="pct"/>
            <w:shd w:val="clear" w:color="auto" w:fill="auto"/>
            <w:vAlign w:val="bottom"/>
          </w:tcPr>
          <w:p w14:paraId="1EFF515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-3 010</w:t>
            </w:r>
          </w:p>
        </w:tc>
        <w:tc>
          <w:tcPr>
            <w:tcW w:w="456" w:type="pct"/>
            <w:shd w:val="clear" w:color="auto" w:fill="auto"/>
            <w:vAlign w:val="bottom"/>
          </w:tcPr>
          <w:p w14:paraId="43E0523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112,9</w:t>
            </w:r>
          </w:p>
        </w:tc>
      </w:tr>
      <w:tr w:rsidR="00711800" w:rsidRPr="003C2E0B" w14:paraId="0B6A77C1" w14:textId="77777777" w:rsidTr="0027210C">
        <w:trPr>
          <w:trHeight w:val="57"/>
        </w:trPr>
        <w:tc>
          <w:tcPr>
            <w:tcW w:w="1671" w:type="pct"/>
            <w:shd w:val="clear" w:color="auto" w:fill="auto"/>
            <w:vAlign w:val="center"/>
            <w:hideMark/>
          </w:tcPr>
          <w:p w14:paraId="51FFCDC2"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Najvyšší kontrolný úrad SR</w:t>
            </w:r>
          </w:p>
        </w:tc>
        <w:tc>
          <w:tcPr>
            <w:tcW w:w="609" w:type="pct"/>
            <w:shd w:val="clear" w:color="auto" w:fill="auto"/>
            <w:vAlign w:val="bottom"/>
          </w:tcPr>
          <w:p w14:paraId="5D8562B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11 003</w:t>
            </w:r>
          </w:p>
        </w:tc>
        <w:tc>
          <w:tcPr>
            <w:tcW w:w="532" w:type="pct"/>
            <w:shd w:val="clear" w:color="auto" w:fill="auto"/>
            <w:vAlign w:val="bottom"/>
          </w:tcPr>
          <w:p w14:paraId="61280A9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10 911</w:t>
            </w:r>
          </w:p>
        </w:tc>
        <w:tc>
          <w:tcPr>
            <w:tcW w:w="608" w:type="pct"/>
            <w:shd w:val="clear" w:color="auto" w:fill="auto"/>
            <w:vAlign w:val="bottom"/>
          </w:tcPr>
          <w:p w14:paraId="582C6C4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12 697</w:t>
            </w:r>
          </w:p>
        </w:tc>
        <w:tc>
          <w:tcPr>
            <w:tcW w:w="654" w:type="pct"/>
            <w:vAlign w:val="bottom"/>
          </w:tcPr>
          <w:p w14:paraId="3B43871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12 697</w:t>
            </w:r>
          </w:p>
        </w:tc>
        <w:tc>
          <w:tcPr>
            <w:tcW w:w="470" w:type="pct"/>
            <w:shd w:val="clear" w:color="auto" w:fill="auto"/>
            <w:vAlign w:val="bottom"/>
          </w:tcPr>
          <w:p w14:paraId="28A22AE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0</w:t>
            </w:r>
          </w:p>
        </w:tc>
        <w:tc>
          <w:tcPr>
            <w:tcW w:w="456" w:type="pct"/>
            <w:shd w:val="clear" w:color="auto" w:fill="auto"/>
            <w:vAlign w:val="bottom"/>
          </w:tcPr>
          <w:p w14:paraId="7055174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115,4</w:t>
            </w:r>
          </w:p>
        </w:tc>
      </w:tr>
      <w:tr w:rsidR="00711800" w:rsidRPr="003C2E0B" w14:paraId="40E33AEE" w14:textId="77777777" w:rsidTr="0027210C">
        <w:trPr>
          <w:trHeight w:val="57"/>
        </w:trPr>
        <w:tc>
          <w:tcPr>
            <w:tcW w:w="1671" w:type="pct"/>
            <w:shd w:val="clear" w:color="auto" w:fill="auto"/>
            <w:vAlign w:val="center"/>
            <w:hideMark/>
          </w:tcPr>
          <w:p w14:paraId="0E80D7E5"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Slovenská informačná služba</w:t>
            </w:r>
          </w:p>
        </w:tc>
        <w:tc>
          <w:tcPr>
            <w:tcW w:w="609" w:type="pct"/>
            <w:shd w:val="clear" w:color="auto" w:fill="auto"/>
            <w:vAlign w:val="bottom"/>
          </w:tcPr>
          <w:p w14:paraId="7FE7292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66 471</w:t>
            </w:r>
          </w:p>
        </w:tc>
        <w:tc>
          <w:tcPr>
            <w:tcW w:w="532" w:type="pct"/>
            <w:shd w:val="clear" w:color="auto" w:fill="auto"/>
            <w:vAlign w:val="bottom"/>
          </w:tcPr>
          <w:p w14:paraId="6223C45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54 854</w:t>
            </w:r>
          </w:p>
        </w:tc>
        <w:tc>
          <w:tcPr>
            <w:tcW w:w="608" w:type="pct"/>
            <w:shd w:val="clear" w:color="auto" w:fill="auto"/>
            <w:vAlign w:val="bottom"/>
          </w:tcPr>
          <w:p w14:paraId="1131315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71 340</w:t>
            </w:r>
          </w:p>
        </w:tc>
        <w:tc>
          <w:tcPr>
            <w:tcW w:w="654" w:type="pct"/>
            <w:vAlign w:val="bottom"/>
          </w:tcPr>
          <w:p w14:paraId="273E1B90"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71 340</w:t>
            </w:r>
          </w:p>
        </w:tc>
        <w:tc>
          <w:tcPr>
            <w:tcW w:w="470" w:type="pct"/>
            <w:shd w:val="clear" w:color="auto" w:fill="auto"/>
            <w:vAlign w:val="bottom"/>
          </w:tcPr>
          <w:p w14:paraId="14B4380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0</w:t>
            </w:r>
          </w:p>
        </w:tc>
        <w:tc>
          <w:tcPr>
            <w:tcW w:w="456" w:type="pct"/>
            <w:shd w:val="clear" w:color="auto" w:fill="auto"/>
            <w:vAlign w:val="bottom"/>
          </w:tcPr>
          <w:p w14:paraId="60D75BA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107,3</w:t>
            </w:r>
          </w:p>
        </w:tc>
      </w:tr>
      <w:tr w:rsidR="00711800" w:rsidRPr="003C2E0B" w14:paraId="3720C06A" w14:textId="77777777" w:rsidTr="0027210C">
        <w:trPr>
          <w:trHeight w:val="57"/>
        </w:trPr>
        <w:tc>
          <w:tcPr>
            <w:tcW w:w="1671" w:type="pct"/>
            <w:shd w:val="clear" w:color="auto" w:fill="auto"/>
            <w:vAlign w:val="center"/>
            <w:hideMark/>
          </w:tcPr>
          <w:p w14:paraId="68589792"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zahraničných vecí a európskych záležitostí SR</w:t>
            </w:r>
          </w:p>
        </w:tc>
        <w:tc>
          <w:tcPr>
            <w:tcW w:w="609" w:type="pct"/>
            <w:shd w:val="clear" w:color="auto" w:fill="auto"/>
            <w:vAlign w:val="bottom"/>
          </w:tcPr>
          <w:p w14:paraId="29BBB77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165 322</w:t>
            </w:r>
          </w:p>
        </w:tc>
        <w:tc>
          <w:tcPr>
            <w:tcW w:w="532" w:type="pct"/>
            <w:shd w:val="clear" w:color="auto" w:fill="auto"/>
            <w:vAlign w:val="bottom"/>
          </w:tcPr>
          <w:p w14:paraId="2179707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136 438</w:t>
            </w:r>
          </w:p>
        </w:tc>
        <w:tc>
          <w:tcPr>
            <w:tcW w:w="608" w:type="pct"/>
            <w:shd w:val="clear" w:color="auto" w:fill="auto"/>
            <w:vAlign w:val="bottom"/>
          </w:tcPr>
          <w:p w14:paraId="4ADCA68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197 897</w:t>
            </w:r>
          </w:p>
        </w:tc>
        <w:tc>
          <w:tcPr>
            <w:tcW w:w="654" w:type="pct"/>
            <w:vAlign w:val="bottom"/>
          </w:tcPr>
          <w:p w14:paraId="0DEE4BD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197 804</w:t>
            </w:r>
          </w:p>
        </w:tc>
        <w:tc>
          <w:tcPr>
            <w:tcW w:w="470" w:type="pct"/>
            <w:shd w:val="clear" w:color="auto" w:fill="auto"/>
            <w:vAlign w:val="bottom"/>
          </w:tcPr>
          <w:p w14:paraId="09E017B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-93</w:t>
            </w:r>
          </w:p>
        </w:tc>
        <w:tc>
          <w:tcPr>
            <w:tcW w:w="456" w:type="pct"/>
            <w:shd w:val="clear" w:color="auto" w:fill="auto"/>
            <w:vAlign w:val="bottom"/>
          </w:tcPr>
          <w:p w14:paraId="74FA086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119,6</w:t>
            </w:r>
          </w:p>
        </w:tc>
      </w:tr>
      <w:tr w:rsidR="00711800" w:rsidRPr="003C2E0B" w14:paraId="1529EB7A" w14:textId="77777777" w:rsidTr="0027210C">
        <w:trPr>
          <w:trHeight w:val="57"/>
        </w:trPr>
        <w:tc>
          <w:tcPr>
            <w:tcW w:w="1671" w:type="pct"/>
            <w:shd w:val="clear" w:color="auto" w:fill="auto"/>
            <w:vAlign w:val="center"/>
            <w:hideMark/>
          </w:tcPr>
          <w:p w14:paraId="7E82857C"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obrany SR</w:t>
            </w:r>
          </w:p>
        </w:tc>
        <w:tc>
          <w:tcPr>
            <w:tcW w:w="609" w:type="pct"/>
            <w:shd w:val="clear" w:color="auto" w:fill="auto"/>
            <w:vAlign w:val="bottom"/>
          </w:tcPr>
          <w:p w14:paraId="7047E43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1 095 429</w:t>
            </w:r>
          </w:p>
        </w:tc>
        <w:tc>
          <w:tcPr>
            <w:tcW w:w="532" w:type="pct"/>
            <w:shd w:val="clear" w:color="auto" w:fill="auto"/>
            <w:vAlign w:val="bottom"/>
          </w:tcPr>
          <w:p w14:paraId="110B5A6B"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1 662 684</w:t>
            </w:r>
          </w:p>
        </w:tc>
        <w:tc>
          <w:tcPr>
            <w:tcW w:w="608" w:type="pct"/>
            <w:shd w:val="clear" w:color="auto" w:fill="auto"/>
            <w:vAlign w:val="bottom"/>
          </w:tcPr>
          <w:p w14:paraId="7B986A2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1 606 423</w:t>
            </w:r>
          </w:p>
        </w:tc>
        <w:tc>
          <w:tcPr>
            <w:tcW w:w="654" w:type="pct"/>
            <w:vAlign w:val="bottom"/>
          </w:tcPr>
          <w:p w14:paraId="212D2540"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1 606 316</w:t>
            </w:r>
          </w:p>
        </w:tc>
        <w:tc>
          <w:tcPr>
            <w:tcW w:w="470" w:type="pct"/>
            <w:shd w:val="clear" w:color="auto" w:fill="auto"/>
            <w:vAlign w:val="bottom"/>
          </w:tcPr>
          <w:p w14:paraId="5BFABC0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-107</w:t>
            </w:r>
          </w:p>
        </w:tc>
        <w:tc>
          <w:tcPr>
            <w:tcW w:w="456" w:type="pct"/>
            <w:shd w:val="clear" w:color="auto" w:fill="auto"/>
            <w:vAlign w:val="bottom"/>
          </w:tcPr>
          <w:p w14:paraId="3D0C1FB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146,6</w:t>
            </w:r>
          </w:p>
        </w:tc>
      </w:tr>
      <w:tr w:rsidR="00711800" w:rsidRPr="003C2E0B" w14:paraId="2D2AEAE4" w14:textId="77777777" w:rsidTr="0027210C">
        <w:trPr>
          <w:trHeight w:val="57"/>
        </w:trPr>
        <w:tc>
          <w:tcPr>
            <w:tcW w:w="1671" w:type="pct"/>
            <w:shd w:val="clear" w:color="auto" w:fill="auto"/>
            <w:vAlign w:val="center"/>
            <w:hideMark/>
          </w:tcPr>
          <w:p w14:paraId="043B770C"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vnútra SR</w:t>
            </w:r>
          </w:p>
        </w:tc>
        <w:tc>
          <w:tcPr>
            <w:tcW w:w="609" w:type="pct"/>
            <w:shd w:val="clear" w:color="auto" w:fill="auto"/>
            <w:vAlign w:val="bottom"/>
          </w:tcPr>
          <w:p w14:paraId="7852C50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2 723 917</w:t>
            </w:r>
          </w:p>
        </w:tc>
        <w:tc>
          <w:tcPr>
            <w:tcW w:w="532" w:type="pct"/>
            <w:shd w:val="clear" w:color="auto" w:fill="auto"/>
            <w:vAlign w:val="bottom"/>
          </w:tcPr>
          <w:p w14:paraId="1A5D63D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2 464 409</w:t>
            </w:r>
          </w:p>
        </w:tc>
        <w:tc>
          <w:tcPr>
            <w:tcW w:w="608" w:type="pct"/>
            <w:shd w:val="clear" w:color="auto" w:fill="auto"/>
            <w:vAlign w:val="bottom"/>
          </w:tcPr>
          <w:p w14:paraId="0BCB7E2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2 978 818</w:t>
            </w:r>
          </w:p>
        </w:tc>
        <w:tc>
          <w:tcPr>
            <w:tcW w:w="654" w:type="pct"/>
            <w:vAlign w:val="bottom"/>
          </w:tcPr>
          <w:p w14:paraId="18B46D1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2 978 726</w:t>
            </w:r>
          </w:p>
        </w:tc>
        <w:tc>
          <w:tcPr>
            <w:tcW w:w="470" w:type="pct"/>
            <w:shd w:val="clear" w:color="auto" w:fill="auto"/>
            <w:vAlign w:val="bottom"/>
          </w:tcPr>
          <w:p w14:paraId="5CCA2F5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-92</w:t>
            </w:r>
          </w:p>
        </w:tc>
        <w:tc>
          <w:tcPr>
            <w:tcW w:w="456" w:type="pct"/>
            <w:shd w:val="clear" w:color="auto" w:fill="auto"/>
            <w:vAlign w:val="bottom"/>
          </w:tcPr>
          <w:p w14:paraId="538840C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109,4</w:t>
            </w:r>
          </w:p>
        </w:tc>
      </w:tr>
      <w:tr w:rsidR="00711800" w:rsidRPr="003C2E0B" w14:paraId="7F8F46A0" w14:textId="77777777" w:rsidTr="0027210C">
        <w:trPr>
          <w:trHeight w:val="57"/>
        </w:trPr>
        <w:tc>
          <w:tcPr>
            <w:tcW w:w="1671" w:type="pct"/>
            <w:shd w:val="clear" w:color="auto" w:fill="auto"/>
            <w:vAlign w:val="center"/>
            <w:hideMark/>
          </w:tcPr>
          <w:p w14:paraId="6281EE50"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spravodlivosti SR</w:t>
            </w:r>
          </w:p>
        </w:tc>
        <w:tc>
          <w:tcPr>
            <w:tcW w:w="609" w:type="pct"/>
            <w:shd w:val="clear" w:color="auto" w:fill="auto"/>
            <w:vAlign w:val="bottom"/>
          </w:tcPr>
          <w:p w14:paraId="2DA069D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451 312</w:t>
            </w:r>
          </w:p>
        </w:tc>
        <w:tc>
          <w:tcPr>
            <w:tcW w:w="532" w:type="pct"/>
            <w:shd w:val="clear" w:color="auto" w:fill="auto"/>
            <w:vAlign w:val="bottom"/>
          </w:tcPr>
          <w:p w14:paraId="7E0899AB"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439 506</w:t>
            </w:r>
          </w:p>
        </w:tc>
        <w:tc>
          <w:tcPr>
            <w:tcW w:w="608" w:type="pct"/>
            <w:shd w:val="clear" w:color="auto" w:fill="auto"/>
            <w:vAlign w:val="bottom"/>
          </w:tcPr>
          <w:p w14:paraId="2AFC230B"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484 621</w:t>
            </w:r>
          </w:p>
        </w:tc>
        <w:tc>
          <w:tcPr>
            <w:tcW w:w="654" w:type="pct"/>
            <w:vAlign w:val="bottom"/>
          </w:tcPr>
          <w:p w14:paraId="25D9227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484 616</w:t>
            </w:r>
          </w:p>
        </w:tc>
        <w:tc>
          <w:tcPr>
            <w:tcW w:w="470" w:type="pct"/>
            <w:shd w:val="clear" w:color="auto" w:fill="auto"/>
            <w:vAlign w:val="bottom"/>
          </w:tcPr>
          <w:p w14:paraId="160BA49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w:t>
            </w:r>
          </w:p>
        </w:tc>
        <w:tc>
          <w:tcPr>
            <w:tcW w:w="456" w:type="pct"/>
            <w:shd w:val="clear" w:color="auto" w:fill="auto"/>
            <w:vAlign w:val="bottom"/>
          </w:tcPr>
          <w:p w14:paraId="57B616A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107,4</w:t>
            </w:r>
          </w:p>
        </w:tc>
      </w:tr>
      <w:tr w:rsidR="00711800" w:rsidRPr="003C2E0B" w14:paraId="37FA9C23" w14:textId="77777777" w:rsidTr="0027210C">
        <w:trPr>
          <w:trHeight w:val="57"/>
        </w:trPr>
        <w:tc>
          <w:tcPr>
            <w:tcW w:w="1671" w:type="pct"/>
            <w:shd w:val="clear" w:color="auto" w:fill="auto"/>
            <w:vAlign w:val="center"/>
            <w:hideMark/>
          </w:tcPr>
          <w:p w14:paraId="3695590B"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financií SR</w:t>
            </w:r>
          </w:p>
        </w:tc>
        <w:tc>
          <w:tcPr>
            <w:tcW w:w="609" w:type="pct"/>
            <w:shd w:val="clear" w:color="auto" w:fill="auto"/>
            <w:vAlign w:val="bottom"/>
          </w:tcPr>
          <w:p w14:paraId="1A85CAA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496 043</w:t>
            </w:r>
          </w:p>
        </w:tc>
        <w:tc>
          <w:tcPr>
            <w:tcW w:w="532" w:type="pct"/>
            <w:shd w:val="clear" w:color="auto" w:fill="auto"/>
            <w:vAlign w:val="bottom"/>
          </w:tcPr>
          <w:p w14:paraId="19BBF90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420 186</w:t>
            </w:r>
          </w:p>
        </w:tc>
        <w:tc>
          <w:tcPr>
            <w:tcW w:w="608" w:type="pct"/>
            <w:shd w:val="clear" w:color="auto" w:fill="auto"/>
            <w:vAlign w:val="bottom"/>
          </w:tcPr>
          <w:p w14:paraId="5B4C65C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579 295</w:t>
            </w:r>
          </w:p>
        </w:tc>
        <w:tc>
          <w:tcPr>
            <w:tcW w:w="654" w:type="pct"/>
            <w:vAlign w:val="bottom"/>
          </w:tcPr>
          <w:p w14:paraId="1CE8F83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578 873</w:t>
            </w:r>
          </w:p>
        </w:tc>
        <w:tc>
          <w:tcPr>
            <w:tcW w:w="470" w:type="pct"/>
            <w:shd w:val="clear" w:color="auto" w:fill="auto"/>
            <w:vAlign w:val="bottom"/>
          </w:tcPr>
          <w:p w14:paraId="3086C13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-422</w:t>
            </w:r>
          </w:p>
        </w:tc>
        <w:tc>
          <w:tcPr>
            <w:tcW w:w="456" w:type="pct"/>
            <w:shd w:val="clear" w:color="auto" w:fill="auto"/>
            <w:vAlign w:val="bottom"/>
          </w:tcPr>
          <w:p w14:paraId="3CAF9BD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116,7</w:t>
            </w:r>
          </w:p>
        </w:tc>
      </w:tr>
      <w:tr w:rsidR="00711800" w:rsidRPr="003C2E0B" w14:paraId="25AB0FEC" w14:textId="77777777" w:rsidTr="0027210C">
        <w:trPr>
          <w:trHeight w:val="57"/>
        </w:trPr>
        <w:tc>
          <w:tcPr>
            <w:tcW w:w="1671" w:type="pct"/>
            <w:shd w:val="clear" w:color="auto" w:fill="auto"/>
            <w:vAlign w:val="center"/>
            <w:hideMark/>
          </w:tcPr>
          <w:p w14:paraId="2444CF6C"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životného prostredia SR</w:t>
            </w:r>
          </w:p>
        </w:tc>
        <w:tc>
          <w:tcPr>
            <w:tcW w:w="609" w:type="pct"/>
            <w:shd w:val="clear" w:color="auto" w:fill="auto"/>
            <w:vAlign w:val="bottom"/>
          </w:tcPr>
          <w:p w14:paraId="7ED61A8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449 594</w:t>
            </w:r>
          </w:p>
        </w:tc>
        <w:tc>
          <w:tcPr>
            <w:tcW w:w="532" w:type="pct"/>
            <w:shd w:val="clear" w:color="auto" w:fill="auto"/>
            <w:vAlign w:val="bottom"/>
          </w:tcPr>
          <w:p w14:paraId="76C3B08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540 617</w:t>
            </w:r>
          </w:p>
        </w:tc>
        <w:tc>
          <w:tcPr>
            <w:tcW w:w="608" w:type="pct"/>
            <w:shd w:val="clear" w:color="auto" w:fill="auto"/>
            <w:vAlign w:val="bottom"/>
          </w:tcPr>
          <w:p w14:paraId="4C576FE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484 115</w:t>
            </w:r>
          </w:p>
        </w:tc>
        <w:tc>
          <w:tcPr>
            <w:tcW w:w="654" w:type="pct"/>
            <w:vAlign w:val="bottom"/>
          </w:tcPr>
          <w:p w14:paraId="516DA4F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484 111</w:t>
            </w:r>
          </w:p>
        </w:tc>
        <w:tc>
          <w:tcPr>
            <w:tcW w:w="470" w:type="pct"/>
            <w:shd w:val="clear" w:color="auto" w:fill="auto"/>
            <w:vAlign w:val="bottom"/>
          </w:tcPr>
          <w:p w14:paraId="765DCD8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w:t>
            </w:r>
          </w:p>
        </w:tc>
        <w:tc>
          <w:tcPr>
            <w:tcW w:w="456" w:type="pct"/>
            <w:shd w:val="clear" w:color="auto" w:fill="auto"/>
            <w:vAlign w:val="bottom"/>
          </w:tcPr>
          <w:p w14:paraId="07A37AC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107,7</w:t>
            </w:r>
          </w:p>
        </w:tc>
      </w:tr>
      <w:tr w:rsidR="00711800" w:rsidRPr="003C2E0B" w14:paraId="009B4583" w14:textId="77777777" w:rsidTr="0027210C">
        <w:trPr>
          <w:trHeight w:val="57"/>
        </w:trPr>
        <w:tc>
          <w:tcPr>
            <w:tcW w:w="1671" w:type="pct"/>
            <w:shd w:val="clear" w:color="auto" w:fill="auto"/>
            <w:vAlign w:val="center"/>
            <w:hideMark/>
          </w:tcPr>
          <w:p w14:paraId="2E8E9778"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školstva, vedy, výskumu a športu SR</w:t>
            </w:r>
          </w:p>
        </w:tc>
        <w:tc>
          <w:tcPr>
            <w:tcW w:w="609" w:type="pct"/>
            <w:shd w:val="clear" w:color="auto" w:fill="auto"/>
            <w:vAlign w:val="bottom"/>
          </w:tcPr>
          <w:p w14:paraId="2F559C0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1 265 895</w:t>
            </w:r>
          </w:p>
        </w:tc>
        <w:tc>
          <w:tcPr>
            <w:tcW w:w="532" w:type="pct"/>
            <w:shd w:val="clear" w:color="auto" w:fill="auto"/>
            <w:vAlign w:val="bottom"/>
          </w:tcPr>
          <w:p w14:paraId="0250872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1 361 103</w:t>
            </w:r>
          </w:p>
        </w:tc>
        <w:tc>
          <w:tcPr>
            <w:tcW w:w="608" w:type="pct"/>
            <w:shd w:val="clear" w:color="auto" w:fill="auto"/>
            <w:vAlign w:val="bottom"/>
          </w:tcPr>
          <w:p w14:paraId="665E84C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1 391 064</w:t>
            </w:r>
          </w:p>
        </w:tc>
        <w:tc>
          <w:tcPr>
            <w:tcW w:w="654" w:type="pct"/>
            <w:vAlign w:val="bottom"/>
          </w:tcPr>
          <w:p w14:paraId="53182E9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1 388 736</w:t>
            </w:r>
          </w:p>
        </w:tc>
        <w:tc>
          <w:tcPr>
            <w:tcW w:w="470" w:type="pct"/>
            <w:shd w:val="clear" w:color="auto" w:fill="auto"/>
            <w:vAlign w:val="bottom"/>
          </w:tcPr>
          <w:p w14:paraId="61C144F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-2 328</w:t>
            </w:r>
          </w:p>
        </w:tc>
        <w:tc>
          <w:tcPr>
            <w:tcW w:w="456" w:type="pct"/>
            <w:shd w:val="clear" w:color="auto" w:fill="auto"/>
            <w:vAlign w:val="bottom"/>
          </w:tcPr>
          <w:p w14:paraId="4E7F318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109,7</w:t>
            </w:r>
          </w:p>
        </w:tc>
      </w:tr>
      <w:tr w:rsidR="00711800" w:rsidRPr="003C2E0B" w14:paraId="6407FC0B" w14:textId="77777777" w:rsidTr="0027210C">
        <w:trPr>
          <w:trHeight w:val="57"/>
        </w:trPr>
        <w:tc>
          <w:tcPr>
            <w:tcW w:w="1671" w:type="pct"/>
            <w:shd w:val="clear" w:color="auto" w:fill="auto"/>
            <w:vAlign w:val="center"/>
            <w:hideMark/>
          </w:tcPr>
          <w:p w14:paraId="5FC65AAD"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zdravotníctva SR</w:t>
            </w:r>
          </w:p>
        </w:tc>
        <w:tc>
          <w:tcPr>
            <w:tcW w:w="609" w:type="pct"/>
            <w:shd w:val="clear" w:color="auto" w:fill="auto"/>
            <w:vAlign w:val="bottom"/>
          </w:tcPr>
          <w:p w14:paraId="57917F8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1 371 498</w:t>
            </w:r>
          </w:p>
        </w:tc>
        <w:tc>
          <w:tcPr>
            <w:tcW w:w="532" w:type="pct"/>
            <w:shd w:val="clear" w:color="auto" w:fill="auto"/>
            <w:vAlign w:val="bottom"/>
          </w:tcPr>
          <w:p w14:paraId="03D5694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1 230 946</w:t>
            </w:r>
          </w:p>
        </w:tc>
        <w:tc>
          <w:tcPr>
            <w:tcW w:w="608" w:type="pct"/>
            <w:shd w:val="clear" w:color="auto" w:fill="auto"/>
            <w:vAlign w:val="bottom"/>
          </w:tcPr>
          <w:p w14:paraId="2D35AF5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1 480 374</w:t>
            </w:r>
          </w:p>
        </w:tc>
        <w:tc>
          <w:tcPr>
            <w:tcW w:w="654" w:type="pct"/>
            <w:vAlign w:val="bottom"/>
          </w:tcPr>
          <w:p w14:paraId="7F93E2C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1 480 069</w:t>
            </w:r>
          </w:p>
        </w:tc>
        <w:tc>
          <w:tcPr>
            <w:tcW w:w="470" w:type="pct"/>
            <w:shd w:val="clear" w:color="auto" w:fill="auto"/>
            <w:vAlign w:val="bottom"/>
          </w:tcPr>
          <w:p w14:paraId="676F23F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-305</w:t>
            </w:r>
          </w:p>
        </w:tc>
        <w:tc>
          <w:tcPr>
            <w:tcW w:w="456" w:type="pct"/>
            <w:shd w:val="clear" w:color="auto" w:fill="auto"/>
            <w:vAlign w:val="bottom"/>
          </w:tcPr>
          <w:p w14:paraId="2DC46FF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107,9</w:t>
            </w:r>
          </w:p>
        </w:tc>
      </w:tr>
      <w:tr w:rsidR="00711800" w:rsidRPr="003C2E0B" w14:paraId="08D3A9DC" w14:textId="77777777" w:rsidTr="0027210C">
        <w:trPr>
          <w:trHeight w:val="57"/>
        </w:trPr>
        <w:tc>
          <w:tcPr>
            <w:tcW w:w="1671" w:type="pct"/>
            <w:shd w:val="clear" w:color="auto" w:fill="auto"/>
            <w:vAlign w:val="center"/>
            <w:hideMark/>
          </w:tcPr>
          <w:p w14:paraId="215D1D5F"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práce, sociálnych vecí a rodiny SR</w:t>
            </w:r>
          </w:p>
        </w:tc>
        <w:tc>
          <w:tcPr>
            <w:tcW w:w="609" w:type="pct"/>
            <w:shd w:val="clear" w:color="auto" w:fill="auto"/>
            <w:vAlign w:val="bottom"/>
          </w:tcPr>
          <w:p w14:paraId="0C3C842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2 331 679</w:t>
            </w:r>
          </w:p>
        </w:tc>
        <w:tc>
          <w:tcPr>
            <w:tcW w:w="532" w:type="pct"/>
            <w:shd w:val="clear" w:color="auto" w:fill="auto"/>
            <w:vAlign w:val="bottom"/>
          </w:tcPr>
          <w:p w14:paraId="08A6A05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2 300 898</w:t>
            </w:r>
          </w:p>
        </w:tc>
        <w:tc>
          <w:tcPr>
            <w:tcW w:w="608" w:type="pct"/>
            <w:shd w:val="clear" w:color="auto" w:fill="auto"/>
            <w:vAlign w:val="bottom"/>
          </w:tcPr>
          <w:p w14:paraId="7B60F63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2 653 816</w:t>
            </w:r>
          </w:p>
        </w:tc>
        <w:tc>
          <w:tcPr>
            <w:tcW w:w="654" w:type="pct"/>
            <w:vAlign w:val="bottom"/>
          </w:tcPr>
          <w:p w14:paraId="51D2EEC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2 652 945</w:t>
            </w:r>
          </w:p>
        </w:tc>
        <w:tc>
          <w:tcPr>
            <w:tcW w:w="470" w:type="pct"/>
            <w:shd w:val="clear" w:color="auto" w:fill="auto"/>
            <w:vAlign w:val="bottom"/>
          </w:tcPr>
          <w:p w14:paraId="241E3A4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-871</w:t>
            </w:r>
          </w:p>
        </w:tc>
        <w:tc>
          <w:tcPr>
            <w:tcW w:w="456" w:type="pct"/>
            <w:shd w:val="clear" w:color="auto" w:fill="auto"/>
            <w:vAlign w:val="bottom"/>
          </w:tcPr>
          <w:p w14:paraId="36AF942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113,8</w:t>
            </w:r>
          </w:p>
        </w:tc>
      </w:tr>
      <w:tr w:rsidR="00711800" w:rsidRPr="003C2E0B" w14:paraId="09B52810" w14:textId="77777777" w:rsidTr="0027210C">
        <w:trPr>
          <w:trHeight w:val="57"/>
        </w:trPr>
        <w:tc>
          <w:tcPr>
            <w:tcW w:w="1671" w:type="pct"/>
            <w:shd w:val="clear" w:color="auto" w:fill="auto"/>
            <w:vAlign w:val="center"/>
            <w:hideMark/>
          </w:tcPr>
          <w:p w14:paraId="3B2822E8"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kultúry SR</w:t>
            </w:r>
          </w:p>
        </w:tc>
        <w:tc>
          <w:tcPr>
            <w:tcW w:w="609" w:type="pct"/>
            <w:shd w:val="clear" w:color="auto" w:fill="auto"/>
            <w:vAlign w:val="bottom"/>
          </w:tcPr>
          <w:p w14:paraId="0DCFEAC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284 037</w:t>
            </w:r>
          </w:p>
        </w:tc>
        <w:tc>
          <w:tcPr>
            <w:tcW w:w="532" w:type="pct"/>
            <w:shd w:val="clear" w:color="auto" w:fill="auto"/>
            <w:vAlign w:val="bottom"/>
          </w:tcPr>
          <w:p w14:paraId="7C6EE5F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255 194</w:t>
            </w:r>
          </w:p>
        </w:tc>
        <w:tc>
          <w:tcPr>
            <w:tcW w:w="608" w:type="pct"/>
            <w:shd w:val="clear" w:color="auto" w:fill="auto"/>
            <w:vAlign w:val="bottom"/>
          </w:tcPr>
          <w:p w14:paraId="45789FA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330 919</w:t>
            </w:r>
          </w:p>
        </w:tc>
        <w:tc>
          <w:tcPr>
            <w:tcW w:w="654" w:type="pct"/>
            <w:vAlign w:val="bottom"/>
          </w:tcPr>
          <w:p w14:paraId="3F928830"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330 774</w:t>
            </w:r>
          </w:p>
        </w:tc>
        <w:tc>
          <w:tcPr>
            <w:tcW w:w="470" w:type="pct"/>
            <w:shd w:val="clear" w:color="auto" w:fill="auto"/>
            <w:vAlign w:val="bottom"/>
          </w:tcPr>
          <w:p w14:paraId="737F793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-145</w:t>
            </w:r>
          </w:p>
        </w:tc>
        <w:tc>
          <w:tcPr>
            <w:tcW w:w="456" w:type="pct"/>
            <w:shd w:val="clear" w:color="auto" w:fill="auto"/>
            <w:vAlign w:val="bottom"/>
          </w:tcPr>
          <w:p w14:paraId="7C59523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116,5</w:t>
            </w:r>
          </w:p>
        </w:tc>
      </w:tr>
      <w:tr w:rsidR="00711800" w:rsidRPr="003C2E0B" w14:paraId="54096C0E" w14:textId="77777777" w:rsidTr="0027210C">
        <w:trPr>
          <w:trHeight w:val="57"/>
        </w:trPr>
        <w:tc>
          <w:tcPr>
            <w:tcW w:w="1671" w:type="pct"/>
            <w:shd w:val="clear" w:color="auto" w:fill="auto"/>
            <w:vAlign w:val="center"/>
            <w:hideMark/>
          </w:tcPr>
          <w:p w14:paraId="05CE93F4"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hospodárstva SR</w:t>
            </w:r>
          </w:p>
        </w:tc>
        <w:tc>
          <w:tcPr>
            <w:tcW w:w="609" w:type="pct"/>
            <w:shd w:val="clear" w:color="auto" w:fill="auto"/>
            <w:vAlign w:val="bottom"/>
          </w:tcPr>
          <w:p w14:paraId="610EBC9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280 620</w:t>
            </w:r>
          </w:p>
        </w:tc>
        <w:tc>
          <w:tcPr>
            <w:tcW w:w="532" w:type="pct"/>
            <w:shd w:val="clear" w:color="auto" w:fill="auto"/>
            <w:vAlign w:val="bottom"/>
          </w:tcPr>
          <w:p w14:paraId="0D65317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428 178</w:t>
            </w:r>
          </w:p>
        </w:tc>
        <w:tc>
          <w:tcPr>
            <w:tcW w:w="608" w:type="pct"/>
            <w:shd w:val="clear" w:color="auto" w:fill="auto"/>
            <w:vAlign w:val="bottom"/>
          </w:tcPr>
          <w:p w14:paraId="7E266DF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359 432</w:t>
            </w:r>
          </w:p>
        </w:tc>
        <w:tc>
          <w:tcPr>
            <w:tcW w:w="654" w:type="pct"/>
            <w:vAlign w:val="bottom"/>
          </w:tcPr>
          <w:p w14:paraId="2355026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359 227</w:t>
            </w:r>
          </w:p>
        </w:tc>
        <w:tc>
          <w:tcPr>
            <w:tcW w:w="470" w:type="pct"/>
            <w:shd w:val="clear" w:color="auto" w:fill="auto"/>
            <w:vAlign w:val="bottom"/>
          </w:tcPr>
          <w:p w14:paraId="0F4B193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-205</w:t>
            </w:r>
          </w:p>
        </w:tc>
        <w:tc>
          <w:tcPr>
            <w:tcW w:w="456" w:type="pct"/>
            <w:shd w:val="clear" w:color="auto" w:fill="auto"/>
            <w:vAlign w:val="bottom"/>
          </w:tcPr>
          <w:p w14:paraId="4F142CD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128,0</w:t>
            </w:r>
          </w:p>
        </w:tc>
      </w:tr>
      <w:tr w:rsidR="00711800" w:rsidRPr="003C2E0B" w14:paraId="1A6D0B91" w14:textId="77777777" w:rsidTr="0027210C">
        <w:trPr>
          <w:trHeight w:val="57"/>
        </w:trPr>
        <w:tc>
          <w:tcPr>
            <w:tcW w:w="1671" w:type="pct"/>
            <w:shd w:val="clear" w:color="auto" w:fill="auto"/>
            <w:vAlign w:val="center"/>
            <w:hideMark/>
          </w:tcPr>
          <w:p w14:paraId="08832C28"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pôdohospodárstva a rozvoja vidieka SR</w:t>
            </w:r>
          </w:p>
        </w:tc>
        <w:tc>
          <w:tcPr>
            <w:tcW w:w="609" w:type="pct"/>
            <w:shd w:val="clear" w:color="auto" w:fill="auto"/>
            <w:vAlign w:val="bottom"/>
          </w:tcPr>
          <w:p w14:paraId="2B41B08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1 049 296</w:t>
            </w:r>
          </w:p>
        </w:tc>
        <w:tc>
          <w:tcPr>
            <w:tcW w:w="532" w:type="pct"/>
            <w:shd w:val="clear" w:color="auto" w:fill="auto"/>
            <w:vAlign w:val="bottom"/>
          </w:tcPr>
          <w:p w14:paraId="121F100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1 193 459</w:t>
            </w:r>
          </w:p>
        </w:tc>
        <w:tc>
          <w:tcPr>
            <w:tcW w:w="608" w:type="pct"/>
            <w:shd w:val="clear" w:color="auto" w:fill="auto"/>
            <w:vAlign w:val="bottom"/>
          </w:tcPr>
          <w:p w14:paraId="4CB5B6B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1 202 522</w:t>
            </w:r>
          </w:p>
        </w:tc>
        <w:tc>
          <w:tcPr>
            <w:tcW w:w="654" w:type="pct"/>
            <w:vAlign w:val="bottom"/>
          </w:tcPr>
          <w:p w14:paraId="722FD88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1 202 506</w:t>
            </w:r>
          </w:p>
        </w:tc>
        <w:tc>
          <w:tcPr>
            <w:tcW w:w="470" w:type="pct"/>
            <w:shd w:val="clear" w:color="auto" w:fill="auto"/>
            <w:vAlign w:val="bottom"/>
          </w:tcPr>
          <w:p w14:paraId="3092C6E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-16</w:t>
            </w:r>
          </w:p>
        </w:tc>
        <w:tc>
          <w:tcPr>
            <w:tcW w:w="456" w:type="pct"/>
            <w:shd w:val="clear" w:color="auto" w:fill="auto"/>
            <w:vAlign w:val="bottom"/>
          </w:tcPr>
          <w:p w14:paraId="09E467C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114,6</w:t>
            </w:r>
          </w:p>
        </w:tc>
      </w:tr>
      <w:tr w:rsidR="00711800" w:rsidRPr="003C2E0B" w14:paraId="41C480D6" w14:textId="77777777" w:rsidTr="0027210C">
        <w:trPr>
          <w:trHeight w:val="57"/>
        </w:trPr>
        <w:tc>
          <w:tcPr>
            <w:tcW w:w="1671" w:type="pct"/>
            <w:shd w:val="clear" w:color="auto" w:fill="auto"/>
            <w:vAlign w:val="center"/>
            <w:hideMark/>
          </w:tcPr>
          <w:p w14:paraId="646172D8"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Ministerstvo dopravy a výstavby SR</w:t>
            </w:r>
          </w:p>
        </w:tc>
        <w:tc>
          <w:tcPr>
            <w:tcW w:w="609" w:type="pct"/>
            <w:shd w:val="clear" w:color="auto" w:fill="auto"/>
            <w:vAlign w:val="bottom"/>
          </w:tcPr>
          <w:p w14:paraId="097FB90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1 966 783</w:t>
            </w:r>
          </w:p>
        </w:tc>
        <w:tc>
          <w:tcPr>
            <w:tcW w:w="532" w:type="pct"/>
            <w:shd w:val="clear" w:color="auto" w:fill="auto"/>
            <w:vAlign w:val="bottom"/>
          </w:tcPr>
          <w:p w14:paraId="03E97B30"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1 153 930</w:t>
            </w:r>
          </w:p>
        </w:tc>
        <w:tc>
          <w:tcPr>
            <w:tcW w:w="608" w:type="pct"/>
            <w:shd w:val="clear" w:color="auto" w:fill="auto"/>
            <w:vAlign w:val="bottom"/>
          </w:tcPr>
          <w:p w14:paraId="2F27A4C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1 668 106</w:t>
            </w:r>
          </w:p>
        </w:tc>
        <w:tc>
          <w:tcPr>
            <w:tcW w:w="654" w:type="pct"/>
            <w:vAlign w:val="bottom"/>
          </w:tcPr>
          <w:p w14:paraId="1EE90C9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1 668 077</w:t>
            </w:r>
          </w:p>
        </w:tc>
        <w:tc>
          <w:tcPr>
            <w:tcW w:w="470" w:type="pct"/>
            <w:shd w:val="clear" w:color="auto" w:fill="auto"/>
            <w:vAlign w:val="bottom"/>
          </w:tcPr>
          <w:p w14:paraId="6D9482F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-29</w:t>
            </w:r>
          </w:p>
        </w:tc>
        <w:tc>
          <w:tcPr>
            <w:tcW w:w="456" w:type="pct"/>
            <w:shd w:val="clear" w:color="auto" w:fill="auto"/>
            <w:vAlign w:val="bottom"/>
          </w:tcPr>
          <w:p w14:paraId="75726CC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84,8</w:t>
            </w:r>
          </w:p>
        </w:tc>
      </w:tr>
      <w:tr w:rsidR="00711800" w:rsidRPr="003C2E0B" w14:paraId="268B86B5" w14:textId="77777777" w:rsidTr="0027210C">
        <w:trPr>
          <w:trHeight w:val="57"/>
        </w:trPr>
        <w:tc>
          <w:tcPr>
            <w:tcW w:w="1671" w:type="pct"/>
            <w:shd w:val="clear" w:color="auto" w:fill="auto"/>
            <w:vAlign w:val="center"/>
            <w:hideMark/>
          </w:tcPr>
          <w:p w14:paraId="2A8F6A89"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Úrad geodézie, kartografie a katastra SR</w:t>
            </w:r>
          </w:p>
        </w:tc>
        <w:tc>
          <w:tcPr>
            <w:tcW w:w="609" w:type="pct"/>
            <w:shd w:val="clear" w:color="auto" w:fill="auto"/>
            <w:vAlign w:val="bottom"/>
          </w:tcPr>
          <w:p w14:paraId="5AF6C69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18 868</w:t>
            </w:r>
          </w:p>
        </w:tc>
        <w:tc>
          <w:tcPr>
            <w:tcW w:w="532" w:type="pct"/>
            <w:shd w:val="clear" w:color="auto" w:fill="auto"/>
            <w:vAlign w:val="bottom"/>
          </w:tcPr>
          <w:p w14:paraId="482E3B6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22 282</w:t>
            </w:r>
          </w:p>
        </w:tc>
        <w:tc>
          <w:tcPr>
            <w:tcW w:w="608" w:type="pct"/>
            <w:shd w:val="clear" w:color="auto" w:fill="auto"/>
            <w:vAlign w:val="bottom"/>
          </w:tcPr>
          <w:p w14:paraId="30A95AA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19 418</w:t>
            </w:r>
          </w:p>
        </w:tc>
        <w:tc>
          <w:tcPr>
            <w:tcW w:w="654" w:type="pct"/>
            <w:vAlign w:val="bottom"/>
          </w:tcPr>
          <w:p w14:paraId="6C084F2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19 305</w:t>
            </w:r>
          </w:p>
        </w:tc>
        <w:tc>
          <w:tcPr>
            <w:tcW w:w="470" w:type="pct"/>
            <w:shd w:val="clear" w:color="auto" w:fill="auto"/>
            <w:vAlign w:val="bottom"/>
          </w:tcPr>
          <w:p w14:paraId="15D2514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-113</w:t>
            </w:r>
          </w:p>
        </w:tc>
        <w:tc>
          <w:tcPr>
            <w:tcW w:w="456" w:type="pct"/>
            <w:shd w:val="clear" w:color="auto" w:fill="auto"/>
            <w:vAlign w:val="bottom"/>
          </w:tcPr>
          <w:p w14:paraId="408417A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102,3</w:t>
            </w:r>
          </w:p>
        </w:tc>
      </w:tr>
      <w:tr w:rsidR="00711800" w:rsidRPr="003C2E0B" w14:paraId="374844EA" w14:textId="77777777" w:rsidTr="0027210C">
        <w:trPr>
          <w:trHeight w:val="57"/>
        </w:trPr>
        <w:tc>
          <w:tcPr>
            <w:tcW w:w="1671" w:type="pct"/>
            <w:shd w:val="clear" w:color="auto" w:fill="auto"/>
            <w:vAlign w:val="center"/>
            <w:hideMark/>
          </w:tcPr>
          <w:p w14:paraId="51BB93F6"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Štatistický úrad SR</w:t>
            </w:r>
          </w:p>
        </w:tc>
        <w:tc>
          <w:tcPr>
            <w:tcW w:w="609" w:type="pct"/>
            <w:shd w:val="clear" w:color="auto" w:fill="auto"/>
            <w:vAlign w:val="bottom"/>
          </w:tcPr>
          <w:p w14:paraId="242825C7"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25 527</w:t>
            </w:r>
          </w:p>
        </w:tc>
        <w:tc>
          <w:tcPr>
            <w:tcW w:w="532" w:type="pct"/>
            <w:shd w:val="clear" w:color="auto" w:fill="auto"/>
            <w:vAlign w:val="bottom"/>
          </w:tcPr>
          <w:p w14:paraId="333DFBD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32 932</w:t>
            </w:r>
          </w:p>
        </w:tc>
        <w:tc>
          <w:tcPr>
            <w:tcW w:w="608" w:type="pct"/>
            <w:shd w:val="clear" w:color="auto" w:fill="auto"/>
            <w:vAlign w:val="bottom"/>
          </w:tcPr>
          <w:p w14:paraId="6BF42C7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32 779</w:t>
            </w:r>
          </w:p>
        </w:tc>
        <w:tc>
          <w:tcPr>
            <w:tcW w:w="654" w:type="pct"/>
            <w:vAlign w:val="bottom"/>
          </w:tcPr>
          <w:p w14:paraId="1159DF1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32 722</w:t>
            </w:r>
          </w:p>
        </w:tc>
        <w:tc>
          <w:tcPr>
            <w:tcW w:w="470" w:type="pct"/>
            <w:shd w:val="clear" w:color="auto" w:fill="auto"/>
            <w:vAlign w:val="bottom"/>
          </w:tcPr>
          <w:p w14:paraId="3FD14350"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-57</w:t>
            </w:r>
          </w:p>
        </w:tc>
        <w:tc>
          <w:tcPr>
            <w:tcW w:w="456" w:type="pct"/>
            <w:shd w:val="clear" w:color="auto" w:fill="auto"/>
            <w:vAlign w:val="bottom"/>
          </w:tcPr>
          <w:p w14:paraId="5A101D7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128,2</w:t>
            </w:r>
          </w:p>
        </w:tc>
      </w:tr>
      <w:tr w:rsidR="00711800" w:rsidRPr="003C2E0B" w14:paraId="6B6AFA5A" w14:textId="77777777" w:rsidTr="0027210C">
        <w:trPr>
          <w:trHeight w:val="57"/>
        </w:trPr>
        <w:tc>
          <w:tcPr>
            <w:tcW w:w="1671" w:type="pct"/>
            <w:shd w:val="clear" w:color="auto" w:fill="auto"/>
            <w:vAlign w:val="center"/>
            <w:hideMark/>
          </w:tcPr>
          <w:p w14:paraId="6A888C30"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Úrad pre verejné obstarávanie</w:t>
            </w:r>
          </w:p>
        </w:tc>
        <w:tc>
          <w:tcPr>
            <w:tcW w:w="609" w:type="pct"/>
            <w:shd w:val="clear" w:color="auto" w:fill="auto"/>
            <w:vAlign w:val="bottom"/>
          </w:tcPr>
          <w:p w14:paraId="1376FCB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9 150</w:t>
            </w:r>
          </w:p>
        </w:tc>
        <w:tc>
          <w:tcPr>
            <w:tcW w:w="532" w:type="pct"/>
            <w:shd w:val="clear" w:color="auto" w:fill="auto"/>
            <w:vAlign w:val="bottom"/>
          </w:tcPr>
          <w:p w14:paraId="56C97B7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9 307</w:t>
            </w:r>
          </w:p>
        </w:tc>
        <w:tc>
          <w:tcPr>
            <w:tcW w:w="608" w:type="pct"/>
            <w:shd w:val="clear" w:color="auto" w:fill="auto"/>
            <w:vAlign w:val="bottom"/>
          </w:tcPr>
          <w:p w14:paraId="0A92DB5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10 936</w:t>
            </w:r>
          </w:p>
        </w:tc>
        <w:tc>
          <w:tcPr>
            <w:tcW w:w="654" w:type="pct"/>
            <w:vAlign w:val="bottom"/>
          </w:tcPr>
          <w:p w14:paraId="3EF5D1F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10 931</w:t>
            </w:r>
          </w:p>
        </w:tc>
        <w:tc>
          <w:tcPr>
            <w:tcW w:w="470" w:type="pct"/>
            <w:shd w:val="clear" w:color="auto" w:fill="auto"/>
            <w:vAlign w:val="bottom"/>
          </w:tcPr>
          <w:p w14:paraId="77854C3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w:t>
            </w:r>
          </w:p>
        </w:tc>
        <w:tc>
          <w:tcPr>
            <w:tcW w:w="456" w:type="pct"/>
            <w:shd w:val="clear" w:color="auto" w:fill="auto"/>
            <w:vAlign w:val="bottom"/>
          </w:tcPr>
          <w:p w14:paraId="4FC8F4F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119,5</w:t>
            </w:r>
          </w:p>
        </w:tc>
      </w:tr>
      <w:tr w:rsidR="00711800" w:rsidRPr="003C2E0B" w14:paraId="5364A3D3" w14:textId="77777777" w:rsidTr="0027210C">
        <w:trPr>
          <w:trHeight w:val="57"/>
        </w:trPr>
        <w:tc>
          <w:tcPr>
            <w:tcW w:w="1671" w:type="pct"/>
            <w:shd w:val="clear" w:color="auto" w:fill="auto"/>
            <w:vAlign w:val="center"/>
            <w:hideMark/>
          </w:tcPr>
          <w:p w14:paraId="02133F3E"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Úrad pre reguláciu sieťových odvetví</w:t>
            </w:r>
          </w:p>
        </w:tc>
        <w:tc>
          <w:tcPr>
            <w:tcW w:w="609" w:type="pct"/>
            <w:shd w:val="clear" w:color="auto" w:fill="auto"/>
            <w:vAlign w:val="bottom"/>
          </w:tcPr>
          <w:p w14:paraId="376DDA6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4 646</w:t>
            </w:r>
          </w:p>
        </w:tc>
        <w:tc>
          <w:tcPr>
            <w:tcW w:w="532" w:type="pct"/>
            <w:shd w:val="clear" w:color="auto" w:fill="auto"/>
            <w:vAlign w:val="bottom"/>
          </w:tcPr>
          <w:p w14:paraId="0C609A0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4 472</w:t>
            </w:r>
          </w:p>
        </w:tc>
        <w:tc>
          <w:tcPr>
            <w:tcW w:w="608" w:type="pct"/>
            <w:shd w:val="clear" w:color="auto" w:fill="auto"/>
            <w:vAlign w:val="bottom"/>
          </w:tcPr>
          <w:p w14:paraId="7102E67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5 026</w:t>
            </w:r>
          </w:p>
        </w:tc>
        <w:tc>
          <w:tcPr>
            <w:tcW w:w="654" w:type="pct"/>
            <w:vAlign w:val="bottom"/>
          </w:tcPr>
          <w:p w14:paraId="1751870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5 025</w:t>
            </w:r>
          </w:p>
        </w:tc>
        <w:tc>
          <w:tcPr>
            <w:tcW w:w="470" w:type="pct"/>
            <w:shd w:val="clear" w:color="auto" w:fill="auto"/>
            <w:vAlign w:val="bottom"/>
          </w:tcPr>
          <w:p w14:paraId="2DB6F3B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w:t>
            </w:r>
          </w:p>
        </w:tc>
        <w:tc>
          <w:tcPr>
            <w:tcW w:w="456" w:type="pct"/>
            <w:shd w:val="clear" w:color="auto" w:fill="auto"/>
            <w:vAlign w:val="bottom"/>
          </w:tcPr>
          <w:p w14:paraId="5EB1505B"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108,2</w:t>
            </w:r>
          </w:p>
        </w:tc>
      </w:tr>
      <w:tr w:rsidR="00711800" w:rsidRPr="003C2E0B" w14:paraId="396BCDF2" w14:textId="77777777" w:rsidTr="0027210C">
        <w:trPr>
          <w:trHeight w:val="57"/>
        </w:trPr>
        <w:tc>
          <w:tcPr>
            <w:tcW w:w="1671" w:type="pct"/>
            <w:shd w:val="clear" w:color="auto" w:fill="auto"/>
            <w:vAlign w:val="center"/>
            <w:hideMark/>
          </w:tcPr>
          <w:p w14:paraId="56EDBDA7"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Úrad jadrového dozoru SR</w:t>
            </w:r>
          </w:p>
        </w:tc>
        <w:tc>
          <w:tcPr>
            <w:tcW w:w="609" w:type="pct"/>
            <w:shd w:val="clear" w:color="auto" w:fill="auto"/>
            <w:vAlign w:val="bottom"/>
          </w:tcPr>
          <w:p w14:paraId="79918E00"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8 702</w:t>
            </w:r>
          </w:p>
        </w:tc>
        <w:tc>
          <w:tcPr>
            <w:tcW w:w="532" w:type="pct"/>
            <w:shd w:val="clear" w:color="auto" w:fill="auto"/>
            <w:vAlign w:val="bottom"/>
          </w:tcPr>
          <w:p w14:paraId="60018A2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9 560</w:t>
            </w:r>
          </w:p>
        </w:tc>
        <w:tc>
          <w:tcPr>
            <w:tcW w:w="608" w:type="pct"/>
            <w:shd w:val="clear" w:color="auto" w:fill="auto"/>
            <w:vAlign w:val="bottom"/>
          </w:tcPr>
          <w:p w14:paraId="361D4F8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9 873</w:t>
            </w:r>
          </w:p>
        </w:tc>
        <w:tc>
          <w:tcPr>
            <w:tcW w:w="654" w:type="pct"/>
            <w:vAlign w:val="bottom"/>
          </w:tcPr>
          <w:p w14:paraId="1D81070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9 187</w:t>
            </w:r>
          </w:p>
        </w:tc>
        <w:tc>
          <w:tcPr>
            <w:tcW w:w="470" w:type="pct"/>
            <w:shd w:val="clear" w:color="auto" w:fill="auto"/>
            <w:vAlign w:val="bottom"/>
          </w:tcPr>
          <w:p w14:paraId="79F82DC0"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-686</w:t>
            </w:r>
          </w:p>
        </w:tc>
        <w:tc>
          <w:tcPr>
            <w:tcW w:w="456" w:type="pct"/>
            <w:shd w:val="clear" w:color="auto" w:fill="auto"/>
            <w:vAlign w:val="bottom"/>
          </w:tcPr>
          <w:p w14:paraId="4100092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105,6</w:t>
            </w:r>
          </w:p>
        </w:tc>
      </w:tr>
      <w:tr w:rsidR="00711800" w:rsidRPr="003C2E0B" w14:paraId="62972674" w14:textId="77777777" w:rsidTr="0027210C">
        <w:trPr>
          <w:trHeight w:val="57"/>
        </w:trPr>
        <w:tc>
          <w:tcPr>
            <w:tcW w:w="1671" w:type="pct"/>
            <w:shd w:val="clear" w:color="auto" w:fill="auto"/>
            <w:vAlign w:val="center"/>
            <w:hideMark/>
          </w:tcPr>
          <w:p w14:paraId="77C8A044"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Úrad priemyselného vlastníctva SR</w:t>
            </w:r>
          </w:p>
        </w:tc>
        <w:tc>
          <w:tcPr>
            <w:tcW w:w="609" w:type="pct"/>
            <w:shd w:val="clear" w:color="auto" w:fill="auto"/>
            <w:vAlign w:val="bottom"/>
          </w:tcPr>
          <w:p w14:paraId="66B94B5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3 828</w:t>
            </w:r>
          </w:p>
        </w:tc>
        <w:tc>
          <w:tcPr>
            <w:tcW w:w="532" w:type="pct"/>
            <w:shd w:val="clear" w:color="auto" w:fill="auto"/>
            <w:vAlign w:val="bottom"/>
          </w:tcPr>
          <w:p w14:paraId="6D8CEF9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3 582</w:t>
            </w:r>
          </w:p>
        </w:tc>
        <w:tc>
          <w:tcPr>
            <w:tcW w:w="608" w:type="pct"/>
            <w:shd w:val="clear" w:color="auto" w:fill="auto"/>
            <w:vAlign w:val="bottom"/>
          </w:tcPr>
          <w:p w14:paraId="52D09EF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5 204</w:t>
            </w:r>
          </w:p>
        </w:tc>
        <w:tc>
          <w:tcPr>
            <w:tcW w:w="654" w:type="pct"/>
            <w:vAlign w:val="bottom"/>
          </w:tcPr>
          <w:p w14:paraId="28704B0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5 204</w:t>
            </w:r>
          </w:p>
        </w:tc>
        <w:tc>
          <w:tcPr>
            <w:tcW w:w="470" w:type="pct"/>
            <w:shd w:val="clear" w:color="auto" w:fill="auto"/>
            <w:vAlign w:val="bottom"/>
          </w:tcPr>
          <w:p w14:paraId="76FAC300"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0</w:t>
            </w:r>
          </w:p>
        </w:tc>
        <w:tc>
          <w:tcPr>
            <w:tcW w:w="456" w:type="pct"/>
            <w:shd w:val="clear" w:color="auto" w:fill="auto"/>
            <w:vAlign w:val="bottom"/>
          </w:tcPr>
          <w:p w14:paraId="0D17BC1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135,9</w:t>
            </w:r>
          </w:p>
        </w:tc>
      </w:tr>
      <w:tr w:rsidR="00711800" w:rsidRPr="003C2E0B" w14:paraId="5B9F5AF8" w14:textId="77777777" w:rsidTr="0027210C">
        <w:trPr>
          <w:trHeight w:val="57"/>
        </w:trPr>
        <w:tc>
          <w:tcPr>
            <w:tcW w:w="1671" w:type="pct"/>
            <w:shd w:val="clear" w:color="auto" w:fill="auto"/>
            <w:vAlign w:val="center"/>
            <w:hideMark/>
          </w:tcPr>
          <w:p w14:paraId="5BAB0C27"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 xml:space="preserve">Úrad pre normalizáciu, metrológiu a skúšobníctvo </w:t>
            </w:r>
          </w:p>
        </w:tc>
        <w:tc>
          <w:tcPr>
            <w:tcW w:w="609" w:type="pct"/>
            <w:shd w:val="clear" w:color="auto" w:fill="auto"/>
            <w:vAlign w:val="bottom"/>
          </w:tcPr>
          <w:p w14:paraId="4BFE101B"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5 237</w:t>
            </w:r>
          </w:p>
        </w:tc>
        <w:tc>
          <w:tcPr>
            <w:tcW w:w="532" w:type="pct"/>
            <w:shd w:val="clear" w:color="auto" w:fill="auto"/>
            <w:vAlign w:val="bottom"/>
          </w:tcPr>
          <w:p w14:paraId="6CBCB0C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6 160</w:t>
            </w:r>
          </w:p>
        </w:tc>
        <w:tc>
          <w:tcPr>
            <w:tcW w:w="608" w:type="pct"/>
            <w:shd w:val="clear" w:color="auto" w:fill="auto"/>
            <w:vAlign w:val="bottom"/>
          </w:tcPr>
          <w:p w14:paraId="1DD69B6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6 844</w:t>
            </w:r>
          </w:p>
        </w:tc>
        <w:tc>
          <w:tcPr>
            <w:tcW w:w="654" w:type="pct"/>
            <w:vAlign w:val="bottom"/>
          </w:tcPr>
          <w:p w14:paraId="4D13D76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6 843</w:t>
            </w:r>
          </w:p>
        </w:tc>
        <w:tc>
          <w:tcPr>
            <w:tcW w:w="470" w:type="pct"/>
            <w:shd w:val="clear" w:color="auto" w:fill="auto"/>
            <w:vAlign w:val="bottom"/>
          </w:tcPr>
          <w:p w14:paraId="0D3AFA8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w:t>
            </w:r>
          </w:p>
        </w:tc>
        <w:tc>
          <w:tcPr>
            <w:tcW w:w="456" w:type="pct"/>
            <w:shd w:val="clear" w:color="auto" w:fill="auto"/>
            <w:vAlign w:val="bottom"/>
          </w:tcPr>
          <w:p w14:paraId="2AAA202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130,7</w:t>
            </w:r>
          </w:p>
        </w:tc>
      </w:tr>
      <w:tr w:rsidR="00711800" w:rsidRPr="003C2E0B" w14:paraId="52C8F4B0" w14:textId="77777777" w:rsidTr="0027210C">
        <w:trPr>
          <w:trHeight w:val="57"/>
        </w:trPr>
        <w:tc>
          <w:tcPr>
            <w:tcW w:w="1671" w:type="pct"/>
            <w:shd w:val="clear" w:color="auto" w:fill="auto"/>
            <w:vAlign w:val="center"/>
            <w:hideMark/>
          </w:tcPr>
          <w:p w14:paraId="0B71B2CA"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Protimonopolný úrad SR</w:t>
            </w:r>
          </w:p>
        </w:tc>
        <w:tc>
          <w:tcPr>
            <w:tcW w:w="609" w:type="pct"/>
            <w:shd w:val="clear" w:color="auto" w:fill="auto"/>
            <w:vAlign w:val="bottom"/>
          </w:tcPr>
          <w:p w14:paraId="23E4A8E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3 043</w:t>
            </w:r>
          </w:p>
        </w:tc>
        <w:tc>
          <w:tcPr>
            <w:tcW w:w="532" w:type="pct"/>
            <w:shd w:val="clear" w:color="auto" w:fill="auto"/>
            <w:vAlign w:val="bottom"/>
          </w:tcPr>
          <w:p w14:paraId="1631791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2 877</w:t>
            </w:r>
          </w:p>
        </w:tc>
        <w:tc>
          <w:tcPr>
            <w:tcW w:w="608" w:type="pct"/>
            <w:shd w:val="clear" w:color="auto" w:fill="auto"/>
            <w:vAlign w:val="bottom"/>
          </w:tcPr>
          <w:p w14:paraId="030058C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4 180</w:t>
            </w:r>
          </w:p>
        </w:tc>
        <w:tc>
          <w:tcPr>
            <w:tcW w:w="654" w:type="pct"/>
            <w:vAlign w:val="bottom"/>
          </w:tcPr>
          <w:p w14:paraId="3F59AA5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4 180</w:t>
            </w:r>
          </w:p>
        </w:tc>
        <w:tc>
          <w:tcPr>
            <w:tcW w:w="470" w:type="pct"/>
            <w:shd w:val="clear" w:color="auto" w:fill="auto"/>
            <w:vAlign w:val="bottom"/>
          </w:tcPr>
          <w:p w14:paraId="6DE7ED3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0</w:t>
            </w:r>
          </w:p>
        </w:tc>
        <w:tc>
          <w:tcPr>
            <w:tcW w:w="456" w:type="pct"/>
            <w:shd w:val="clear" w:color="auto" w:fill="auto"/>
            <w:vAlign w:val="bottom"/>
          </w:tcPr>
          <w:p w14:paraId="75838D1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137,4</w:t>
            </w:r>
          </w:p>
        </w:tc>
      </w:tr>
      <w:tr w:rsidR="00711800" w:rsidRPr="003C2E0B" w14:paraId="64D45F3E" w14:textId="77777777" w:rsidTr="0027210C">
        <w:trPr>
          <w:trHeight w:val="57"/>
        </w:trPr>
        <w:tc>
          <w:tcPr>
            <w:tcW w:w="1671" w:type="pct"/>
            <w:shd w:val="clear" w:color="auto" w:fill="auto"/>
            <w:vAlign w:val="center"/>
            <w:hideMark/>
          </w:tcPr>
          <w:p w14:paraId="025FE07A"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Národný bezpečnostný úrad SR</w:t>
            </w:r>
          </w:p>
        </w:tc>
        <w:tc>
          <w:tcPr>
            <w:tcW w:w="609" w:type="pct"/>
            <w:shd w:val="clear" w:color="auto" w:fill="auto"/>
            <w:vAlign w:val="bottom"/>
          </w:tcPr>
          <w:p w14:paraId="3333684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11 698</w:t>
            </w:r>
          </w:p>
        </w:tc>
        <w:tc>
          <w:tcPr>
            <w:tcW w:w="532" w:type="pct"/>
            <w:shd w:val="clear" w:color="auto" w:fill="auto"/>
            <w:vAlign w:val="bottom"/>
          </w:tcPr>
          <w:p w14:paraId="56357D2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10 120</w:t>
            </w:r>
          </w:p>
        </w:tc>
        <w:tc>
          <w:tcPr>
            <w:tcW w:w="608" w:type="pct"/>
            <w:shd w:val="clear" w:color="auto" w:fill="auto"/>
            <w:vAlign w:val="bottom"/>
          </w:tcPr>
          <w:p w14:paraId="5D1066C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21 317</w:t>
            </w:r>
          </w:p>
        </w:tc>
        <w:tc>
          <w:tcPr>
            <w:tcW w:w="654" w:type="pct"/>
            <w:vAlign w:val="bottom"/>
          </w:tcPr>
          <w:p w14:paraId="594430B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20 908</w:t>
            </w:r>
          </w:p>
        </w:tc>
        <w:tc>
          <w:tcPr>
            <w:tcW w:w="470" w:type="pct"/>
            <w:shd w:val="clear" w:color="auto" w:fill="auto"/>
            <w:vAlign w:val="bottom"/>
          </w:tcPr>
          <w:p w14:paraId="280ECF4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-409</w:t>
            </w:r>
          </w:p>
        </w:tc>
        <w:tc>
          <w:tcPr>
            <w:tcW w:w="456" w:type="pct"/>
            <w:shd w:val="clear" w:color="auto" w:fill="auto"/>
            <w:vAlign w:val="bottom"/>
          </w:tcPr>
          <w:p w14:paraId="5B33947D"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178,7</w:t>
            </w:r>
          </w:p>
        </w:tc>
      </w:tr>
      <w:tr w:rsidR="00711800" w:rsidRPr="003C2E0B" w14:paraId="672CB580" w14:textId="77777777" w:rsidTr="0027210C">
        <w:trPr>
          <w:trHeight w:val="57"/>
        </w:trPr>
        <w:tc>
          <w:tcPr>
            <w:tcW w:w="1671" w:type="pct"/>
            <w:shd w:val="clear" w:color="auto" w:fill="auto"/>
            <w:vAlign w:val="center"/>
            <w:hideMark/>
          </w:tcPr>
          <w:p w14:paraId="4256B393"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Správa štátnych hmotných rezerv SR</w:t>
            </w:r>
          </w:p>
        </w:tc>
        <w:tc>
          <w:tcPr>
            <w:tcW w:w="609" w:type="pct"/>
            <w:shd w:val="clear" w:color="auto" w:fill="auto"/>
            <w:vAlign w:val="bottom"/>
          </w:tcPr>
          <w:p w14:paraId="1333F761"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13 261</w:t>
            </w:r>
          </w:p>
        </w:tc>
        <w:tc>
          <w:tcPr>
            <w:tcW w:w="532" w:type="pct"/>
            <w:shd w:val="clear" w:color="auto" w:fill="auto"/>
            <w:vAlign w:val="bottom"/>
          </w:tcPr>
          <w:p w14:paraId="4BA60A1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9 957</w:t>
            </w:r>
          </w:p>
        </w:tc>
        <w:tc>
          <w:tcPr>
            <w:tcW w:w="608" w:type="pct"/>
            <w:shd w:val="clear" w:color="auto" w:fill="auto"/>
            <w:vAlign w:val="bottom"/>
          </w:tcPr>
          <w:p w14:paraId="3BDD397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15 136</w:t>
            </w:r>
          </w:p>
        </w:tc>
        <w:tc>
          <w:tcPr>
            <w:tcW w:w="654" w:type="pct"/>
            <w:vAlign w:val="bottom"/>
          </w:tcPr>
          <w:p w14:paraId="30F27DC5"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15 135</w:t>
            </w:r>
          </w:p>
        </w:tc>
        <w:tc>
          <w:tcPr>
            <w:tcW w:w="470" w:type="pct"/>
            <w:shd w:val="clear" w:color="auto" w:fill="auto"/>
            <w:vAlign w:val="bottom"/>
          </w:tcPr>
          <w:p w14:paraId="61CFCBD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w:t>
            </w:r>
          </w:p>
        </w:tc>
        <w:tc>
          <w:tcPr>
            <w:tcW w:w="456" w:type="pct"/>
            <w:shd w:val="clear" w:color="auto" w:fill="auto"/>
            <w:vAlign w:val="bottom"/>
          </w:tcPr>
          <w:p w14:paraId="7BCC4980"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114,1</w:t>
            </w:r>
          </w:p>
        </w:tc>
      </w:tr>
      <w:tr w:rsidR="00711800" w:rsidRPr="003C2E0B" w14:paraId="6220E0B2" w14:textId="77777777" w:rsidTr="0027210C">
        <w:trPr>
          <w:trHeight w:val="57"/>
        </w:trPr>
        <w:tc>
          <w:tcPr>
            <w:tcW w:w="1671" w:type="pct"/>
            <w:shd w:val="clear" w:color="auto" w:fill="auto"/>
            <w:vAlign w:val="center"/>
            <w:hideMark/>
          </w:tcPr>
          <w:p w14:paraId="393BCF09"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Všeobecná pokladničná správa</w:t>
            </w:r>
          </w:p>
        </w:tc>
        <w:tc>
          <w:tcPr>
            <w:tcW w:w="609" w:type="pct"/>
            <w:shd w:val="clear" w:color="auto" w:fill="auto"/>
            <w:vAlign w:val="bottom"/>
          </w:tcPr>
          <w:p w14:paraId="46825673"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2 112 288</w:t>
            </w:r>
          </w:p>
        </w:tc>
        <w:tc>
          <w:tcPr>
            <w:tcW w:w="532" w:type="pct"/>
            <w:shd w:val="clear" w:color="auto" w:fill="auto"/>
            <w:vAlign w:val="bottom"/>
          </w:tcPr>
          <w:p w14:paraId="113B4CE0"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3 471 300</w:t>
            </w:r>
          </w:p>
        </w:tc>
        <w:tc>
          <w:tcPr>
            <w:tcW w:w="608" w:type="pct"/>
            <w:shd w:val="clear" w:color="auto" w:fill="auto"/>
            <w:vAlign w:val="bottom"/>
          </w:tcPr>
          <w:p w14:paraId="2B00F1B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2 176 833</w:t>
            </w:r>
          </w:p>
        </w:tc>
        <w:tc>
          <w:tcPr>
            <w:tcW w:w="654" w:type="pct"/>
            <w:vAlign w:val="bottom"/>
          </w:tcPr>
          <w:p w14:paraId="5E459FC4"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1 959 608</w:t>
            </w:r>
          </w:p>
        </w:tc>
        <w:tc>
          <w:tcPr>
            <w:tcW w:w="470" w:type="pct"/>
            <w:shd w:val="clear" w:color="auto" w:fill="auto"/>
            <w:vAlign w:val="bottom"/>
          </w:tcPr>
          <w:p w14:paraId="300F1B70"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-217 225</w:t>
            </w:r>
          </w:p>
        </w:tc>
        <w:tc>
          <w:tcPr>
            <w:tcW w:w="456" w:type="pct"/>
            <w:shd w:val="clear" w:color="auto" w:fill="auto"/>
            <w:vAlign w:val="bottom"/>
          </w:tcPr>
          <w:p w14:paraId="4E9C6D7B"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92,8</w:t>
            </w:r>
          </w:p>
        </w:tc>
      </w:tr>
      <w:tr w:rsidR="00711800" w:rsidRPr="003C2E0B" w14:paraId="7899C9EB" w14:textId="77777777" w:rsidTr="0027210C">
        <w:trPr>
          <w:trHeight w:val="57"/>
        </w:trPr>
        <w:tc>
          <w:tcPr>
            <w:tcW w:w="1671" w:type="pct"/>
            <w:shd w:val="clear" w:color="auto" w:fill="auto"/>
            <w:vAlign w:val="center"/>
            <w:hideMark/>
          </w:tcPr>
          <w:p w14:paraId="225904C7"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Slovenská akadémia vied</w:t>
            </w:r>
          </w:p>
        </w:tc>
        <w:tc>
          <w:tcPr>
            <w:tcW w:w="609" w:type="pct"/>
            <w:shd w:val="clear" w:color="auto" w:fill="auto"/>
            <w:vAlign w:val="bottom"/>
          </w:tcPr>
          <w:p w14:paraId="4C19004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70 375</w:t>
            </w:r>
          </w:p>
        </w:tc>
        <w:tc>
          <w:tcPr>
            <w:tcW w:w="532" w:type="pct"/>
            <w:shd w:val="clear" w:color="auto" w:fill="auto"/>
            <w:vAlign w:val="bottom"/>
          </w:tcPr>
          <w:p w14:paraId="762CE0FC"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69 414</w:t>
            </w:r>
          </w:p>
        </w:tc>
        <w:tc>
          <w:tcPr>
            <w:tcW w:w="608" w:type="pct"/>
            <w:shd w:val="clear" w:color="auto" w:fill="auto"/>
            <w:vAlign w:val="bottom"/>
          </w:tcPr>
          <w:p w14:paraId="32C0160A"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81 540</w:t>
            </w:r>
          </w:p>
        </w:tc>
        <w:tc>
          <w:tcPr>
            <w:tcW w:w="654" w:type="pct"/>
            <w:vAlign w:val="bottom"/>
          </w:tcPr>
          <w:p w14:paraId="0E1A4618"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81 539</w:t>
            </w:r>
          </w:p>
        </w:tc>
        <w:tc>
          <w:tcPr>
            <w:tcW w:w="470" w:type="pct"/>
            <w:shd w:val="clear" w:color="auto" w:fill="auto"/>
            <w:vAlign w:val="bottom"/>
          </w:tcPr>
          <w:p w14:paraId="20FFACA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w:t>
            </w:r>
          </w:p>
        </w:tc>
        <w:tc>
          <w:tcPr>
            <w:tcW w:w="456" w:type="pct"/>
            <w:shd w:val="clear" w:color="auto" w:fill="auto"/>
            <w:vAlign w:val="bottom"/>
          </w:tcPr>
          <w:p w14:paraId="0B8E993F"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115,9</w:t>
            </w:r>
          </w:p>
        </w:tc>
      </w:tr>
      <w:tr w:rsidR="00711800" w:rsidRPr="003C2E0B" w14:paraId="32BAF163" w14:textId="77777777" w:rsidTr="0027210C">
        <w:trPr>
          <w:trHeight w:val="57"/>
        </w:trPr>
        <w:tc>
          <w:tcPr>
            <w:tcW w:w="1671" w:type="pct"/>
            <w:shd w:val="clear" w:color="auto" w:fill="auto"/>
            <w:vAlign w:val="center"/>
            <w:hideMark/>
          </w:tcPr>
          <w:p w14:paraId="3EE439E0" w14:textId="77777777" w:rsidR="00711800" w:rsidRPr="003C2E0B" w:rsidRDefault="00711800" w:rsidP="00303737">
            <w:pPr>
              <w:rPr>
                <w:rFonts w:eastAsia="Calibri" w:cs="Times New Roman"/>
                <w:color w:val="000000"/>
                <w:sz w:val="20"/>
                <w:szCs w:val="20"/>
              </w:rPr>
            </w:pPr>
            <w:r w:rsidRPr="003C2E0B">
              <w:rPr>
                <w:rFonts w:eastAsia="Calibri" w:cs="Times New Roman"/>
                <w:color w:val="000000"/>
                <w:sz w:val="20"/>
                <w:szCs w:val="20"/>
              </w:rPr>
              <w:t>Kancelária súdnej rady SR</w:t>
            </w:r>
          </w:p>
        </w:tc>
        <w:tc>
          <w:tcPr>
            <w:tcW w:w="609" w:type="pct"/>
            <w:shd w:val="clear" w:color="auto" w:fill="auto"/>
            <w:vAlign w:val="bottom"/>
          </w:tcPr>
          <w:p w14:paraId="548D29CE"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993</w:t>
            </w:r>
          </w:p>
        </w:tc>
        <w:tc>
          <w:tcPr>
            <w:tcW w:w="532" w:type="pct"/>
            <w:shd w:val="clear" w:color="auto" w:fill="auto"/>
            <w:vAlign w:val="bottom"/>
          </w:tcPr>
          <w:p w14:paraId="46899F19"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959</w:t>
            </w:r>
          </w:p>
        </w:tc>
        <w:tc>
          <w:tcPr>
            <w:tcW w:w="608" w:type="pct"/>
            <w:shd w:val="clear" w:color="auto" w:fill="auto"/>
            <w:vAlign w:val="bottom"/>
          </w:tcPr>
          <w:p w14:paraId="28A96510"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1 209</w:t>
            </w:r>
          </w:p>
        </w:tc>
        <w:tc>
          <w:tcPr>
            <w:tcW w:w="654" w:type="pct"/>
            <w:vAlign w:val="bottom"/>
          </w:tcPr>
          <w:p w14:paraId="0596EEA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1 210</w:t>
            </w:r>
          </w:p>
        </w:tc>
        <w:tc>
          <w:tcPr>
            <w:tcW w:w="470" w:type="pct"/>
            <w:shd w:val="clear" w:color="auto" w:fill="auto"/>
            <w:vAlign w:val="bottom"/>
          </w:tcPr>
          <w:p w14:paraId="0A4D6BD6"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w:t>
            </w:r>
          </w:p>
        </w:tc>
        <w:tc>
          <w:tcPr>
            <w:tcW w:w="456" w:type="pct"/>
            <w:shd w:val="clear" w:color="auto" w:fill="auto"/>
            <w:vAlign w:val="bottom"/>
          </w:tcPr>
          <w:p w14:paraId="572E9FF2" w14:textId="77777777" w:rsidR="00711800" w:rsidRPr="003C2E0B" w:rsidRDefault="00711800" w:rsidP="00303737">
            <w:pPr>
              <w:jc w:val="right"/>
              <w:rPr>
                <w:rFonts w:eastAsia="Times New Roman" w:cs="Arial"/>
                <w:sz w:val="20"/>
                <w:szCs w:val="20"/>
                <w:lang w:eastAsia="sk-SK"/>
              </w:rPr>
            </w:pPr>
            <w:r w:rsidRPr="003C2E0B">
              <w:rPr>
                <w:rFonts w:eastAsia="Times New Roman" w:cs="Arial"/>
                <w:sz w:val="20"/>
                <w:szCs w:val="20"/>
                <w:lang w:eastAsia="sk-SK"/>
              </w:rPr>
              <w:t>121,9</w:t>
            </w:r>
          </w:p>
        </w:tc>
      </w:tr>
    </w:tbl>
    <w:p w14:paraId="35365B88" w14:textId="7BB301D5" w:rsidR="007B7098" w:rsidRDefault="007B7098" w:rsidP="006E6350">
      <w:pPr>
        <w:rPr>
          <w:rFonts w:eastAsia="Calibri" w:cs="Times New Roman"/>
          <w:i/>
          <w:sz w:val="18"/>
          <w:szCs w:val="20"/>
        </w:rPr>
      </w:pPr>
      <w:r w:rsidRPr="003C2E0B">
        <w:rPr>
          <w:rFonts w:eastAsia="Calibri" w:cs="Times New Roman"/>
          <w:i/>
          <w:sz w:val="18"/>
          <w:szCs w:val="20"/>
        </w:rPr>
        <w:t>Zdroj: MF SR</w:t>
      </w:r>
    </w:p>
    <w:p w14:paraId="34BE9562" w14:textId="77777777" w:rsidR="00D9070A" w:rsidRDefault="00D9070A" w:rsidP="003C2E0B">
      <w:pPr>
        <w:spacing w:before="120"/>
        <w:rPr>
          <w:rFonts w:eastAsia="Calibri" w:cs="Times New Roman"/>
          <w:b/>
        </w:rPr>
      </w:pPr>
    </w:p>
    <w:p w14:paraId="01ABFFD7" w14:textId="77777777" w:rsidR="00D9070A" w:rsidRDefault="00D9070A" w:rsidP="003C2E0B">
      <w:pPr>
        <w:spacing w:before="120"/>
        <w:rPr>
          <w:rFonts w:eastAsia="Calibri" w:cs="Times New Roman"/>
          <w:b/>
        </w:rPr>
      </w:pPr>
    </w:p>
    <w:p w14:paraId="2AD83D80" w14:textId="77777777" w:rsidR="00D9070A" w:rsidRDefault="00D9070A" w:rsidP="003C2E0B">
      <w:pPr>
        <w:spacing w:before="120"/>
        <w:rPr>
          <w:rFonts w:eastAsia="Calibri" w:cs="Times New Roman"/>
          <w:b/>
        </w:rPr>
      </w:pPr>
    </w:p>
    <w:p w14:paraId="008E32B5" w14:textId="77777777" w:rsidR="00D9070A" w:rsidRDefault="00D9070A" w:rsidP="003C2E0B">
      <w:pPr>
        <w:spacing w:before="120"/>
        <w:rPr>
          <w:rFonts w:eastAsia="Calibri" w:cs="Times New Roman"/>
          <w:b/>
        </w:rPr>
      </w:pPr>
    </w:p>
    <w:p w14:paraId="45DD9A5C" w14:textId="77777777" w:rsidR="00D9070A" w:rsidRDefault="00D9070A" w:rsidP="003C2E0B">
      <w:pPr>
        <w:spacing w:before="120"/>
        <w:rPr>
          <w:rFonts w:eastAsia="Calibri" w:cs="Times New Roman"/>
          <w:b/>
        </w:rPr>
      </w:pPr>
    </w:p>
    <w:p w14:paraId="1B4D48A4" w14:textId="77777777" w:rsidR="00D9070A" w:rsidRDefault="00D9070A" w:rsidP="003C2E0B">
      <w:pPr>
        <w:spacing w:before="120"/>
        <w:rPr>
          <w:rFonts w:eastAsia="Calibri" w:cs="Times New Roman"/>
          <w:b/>
        </w:rPr>
      </w:pPr>
    </w:p>
    <w:p w14:paraId="727DC5C2" w14:textId="77777777" w:rsidR="00D9070A" w:rsidRDefault="00D9070A" w:rsidP="003C2E0B">
      <w:pPr>
        <w:spacing w:before="120"/>
        <w:rPr>
          <w:rFonts w:eastAsia="Calibri" w:cs="Times New Roman"/>
          <w:b/>
        </w:rPr>
      </w:pPr>
    </w:p>
    <w:p w14:paraId="37B7E7FE" w14:textId="69EC3C2C" w:rsidR="00711800" w:rsidRPr="00220EB0" w:rsidRDefault="006314F6" w:rsidP="003C2E0B">
      <w:pPr>
        <w:spacing w:before="120"/>
        <w:rPr>
          <w:rFonts w:eastAsia="Calibri" w:cs="Times New Roman"/>
          <w:b/>
          <w:i/>
        </w:rPr>
      </w:pPr>
      <w:r w:rsidRPr="00220EB0">
        <w:rPr>
          <w:rFonts w:eastAsia="Calibri" w:cs="Times New Roman"/>
          <w:b/>
          <w:i/>
        </w:rPr>
        <w:lastRenderedPageBreak/>
        <w:t>T</w:t>
      </w:r>
      <w:r w:rsidR="00711800" w:rsidRPr="00220EB0">
        <w:rPr>
          <w:rFonts w:eastAsia="Calibri" w:cs="Times New Roman"/>
          <w:b/>
          <w:i/>
        </w:rPr>
        <w:t xml:space="preserve">abuľka </w:t>
      </w:r>
      <w:r w:rsidRPr="00220EB0">
        <w:rPr>
          <w:rFonts w:eastAsia="Calibri" w:cs="Times New Roman"/>
          <w:b/>
          <w:i/>
        </w:rPr>
        <w:t>9</w:t>
      </w:r>
      <w:r w:rsidR="00E750AA">
        <w:rPr>
          <w:rFonts w:eastAsia="Calibri" w:cs="Times New Roman"/>
          <w:b/>
          <w:i/>
        </w:rPr>
        <w:t>:</w:t>
      </w:r>
      <w:r w:rsidR="00711800" w:rsidRPr="00220EB0">
        <w:rPr>
          <w:rFonts w:eastAsia="Calibri" w:cs="Times New Roman"/>
          <w:b/>
          <w:i/>
        </w:rPr>
        <w:t xml:space="preserve"> Vybrané ukazovatele programovej štruktúry kapitoly M</w:t>
      </w:r>
      <w:r w:rsidR="003C2E0B" w:rsidRPr="00220EB0">
        <w:rPr>
          <w:rFonts w:eastAsia="Calibri" w:cs="Times New Roman"/>
          <w:b/>
          <w:i/>
        </w:rPr>
        <w:t>DV SR a ich plnenie v roku 2019</w:t>
      </w:r>
    </w:p>
    <w:tbl>
      <w:tblPr>
        <w:tblStyle w:val="Mriekatabuky"/>
        <w:tblW w:w="0" w:type="auto"/>
        <w:tblLook w:val="04A0" w:firstRow="1" w:lastRow="0" w:firstColumn="1" w:lastColumn="0" w:noHBand="0" w:noVBand="1"/>
      </w:tblPr>
      <w:tblGrid>
        <w:gridCol w:w="4560"/>
        <w:gridCol w:w="627"/>
        <w:gridCol w:w="555"/>
        <w:gridCol w:w="556"/>
        <w:gridCol w:w="556"/>
        <w:gridCol w:w="600"/>
        <w:gridCol w:w="536"/>
        <w:gridCol w:w="536"/>
        <w:gridCol w:w="536"/>
      </w:tblGrid>
      <w:tr w:rsidR="00711800" w:rsidRPr="002B7CCC" w14:paraId="437778EA" w14:textId="77777777" w:rsidTr="0027210C">
        <w:trPr>
          <w:tblHeader/>
        </w:trPr>
        <w:tc>
          <w:tcPr>
            <w:tcW w:w="4560" w:type="dxa"/>
            <w:vMerge w:val="restart"/>
            <w:shd w:val="clear" w:color="auto" w:fill="0070C0"/>
            <w:vAlign w:val="center"/>
          </w:tcPr>
          <w:p w14:paraId="254BC90D" w14:textId="77777777" w:rsidR="00711800" w:rsidRPr="002B7CCC" w:rsidRDefault="00711800" w:rsidP="00303737">
            <w:pPr>
              <w:rPr>
                <w:b/>
                <w:color w:val="FFFFFF" w:themeColor="background1"/>
                <w:sz w:val="20"/>
                <w:szCs w:val="20"/>
              </w:rPr>
            </w:pPr>
            <w:r w:rsidRPr="002B7CCC">
              <w:rPr>
                <w:b/>
                <w:color w:val="FFFFFF" w:themeColor="background1"/>
                <w:sz w:val="20"/>
                <w:szCs w:val="20"/>
              </w:rPr>
              <w:t>Ukazovateľ</w:t>
            </w:r>
          </w:p>
        </w:tc>
        <w:tc>
          <w:tcPr>
            <w:tcW w:w="1182" w:type="dxa"/>
            <w:gridSpan w:val="2"/>
            <w:shd w:val="clear" w:color="auto" w:fill="0070C0"/>
          </w:tcPr>
          <w:p w14:paraId="676CC007" w14:textId="77777777" w:rsidR="00711800" w:rsidRPr="002B7CCC" w:rsidRDefault="00711800" w:rsidP="00303737">
            <w:pPr>
              <w:jc w:val="center"/>
              <w:rPr>
                <w:b/>
                <w:color w:val="FFFFFF" w:themeColor="background1"/>
                <w:sz w:val="20"/>
                <w:szCs w:val="20"/>
              </w:rPr>
            </w:pPr>
            <w:r w:rsidRPr="002B7CCC">
              <w:rPr>
                <w:b/>
                <w:color w:val="FFFFFF" w:themeColor="background1"/>
                <w:sz w:val="20"/>
                <w:szCs w:val="20"/>
              </w:rPr>
              <w:t>2016</w:t>
            </w:r>
          </w:p>
        </w:tc>
        <w:tc>
          <w:tcPr>
            <w:tcW w:w="1112" w:type="dxa"/>
            <w:gridSpan w:val="2"/>
            <w:shd w:val="clear" w:color="auto" w:fill="0070C0"/>
          </w:tcPr>
          <w:p w14:paraId="520FB13F" w14:textId="77777777" w:rsidR="00711800" w:rsidRPr="002B7CCC" w:rsidRDefault="00711800" w:rsidP="00303737">
            <w:pPr>
              <w:jc w:val="center"/>
              <w:rPr>
                <w:b/>
                <w:color w:val="FFFFFF" w:themeColor="background1"/>
                <w:sz w:val="20"/>
                <w:szCs w:val="20"/>
              </w:rPr>
            </w:pPr>
            <w:r w:rsidRPr="002B7CCC">
              <w:rPr>
                <w:b/>
                <w:color w:val="FFFFFF" w:themeColor="background1"/>
                <w:sz w:val="20"/>
                <w:szCs w:val="20"/>
              </w:rPr>
              <w:t>2017</w:t>
            </w:r>
          </w:p>
        </w:tc>
        <w:tc>
          <w:tcPr>
            <w:tcW w:w="1136" w:type="dxa"/>
            <w:gridSpan w:val="2"/>
            <w:shd w:val="clear" w:color="auto" w:fill="0070C0"/>
          </w:tcPr>
          <w:p w14:paraId="3F0F9C86" w14:textId="77777777" w:rsidR="00711800" w:rsidRPr="002B7CCC" w:rsidRDefault="00711800" w:rsidP="00303737">
            <w:pPr>
              <w:jc w:val="center"/>
              <w:rPr>
                <w:b/>
                <w:color w:val="FFFFFF" w:themeColor="background1"/>
                <w:sz w:val="20"/>
                <w:szCs w:val="20"/>
              </w:rPr>
            </w:pPr>
            <w:r w:rsidRPr="002B7CCC">
              <w:rPr>
                <w:b/>
                <w:color w:val="FFFFFF" w:themeColor="background1"/>
                <w:sz w:val="20"/>
                <w:szCs w:val="20"/>
              </w:rPr>
              <w:t>2018</w:t>
            </w:r>
          </w:p>
        </w:tc>
        <w:tc>
          <w:tcPr>
            <w:tcW w:w="1072" w:type="dxa"/>
            <w:gridSpan w:val="2"/>
            <w:shd w:val="clear" w:color="auto" w:fill="0070C0"/>
          </w:tcPr>
          <w:p w14:paraId="54F483F7" w14:textId="77777777" w:rsidR="00711800" w:rsidRPr="002B7CCC" w:rsidRDefault="00711800" w:rsidP="00303737">
            <w:pPr>
              <w:jc w:val="center"/>
              <w:rPr>
                <w:b/>
                <w:color w:val="FFFFFF" w:themeColor="background1"/>
                <w:sz w:val="20"/>
                <w:szCs w:val="20"/>
              </w:rPr>
            </w:pPr>
            <w:r w:rsidRPr="002B7CCC">
              <w:rPr>
                <w:b/>
                <w:color w:val="FFFFFF" w:themeColor="background1"/>
                <w:sz w:val="20"/>
                <w:szCs w:val="20"/>
              </w:rPr>
              <w:t>2019</w:t>
            </w:r>
          </w:p>
        </w:tc>
      </w:tr>
      <w:tr w:rsidR="00711800" w:rsidRPr="002B7CCC" w14:paraId="629DBAF2" w14:textId="77777777" w:rsidTr="0027210C">
        <w:trPr>
          <w:tblHeader/>
        </w:trPr>
        <w:tc>
          <w:tcPr>
            <w:tcW w:w="4560" w:type="dxa"/>
            <w:vMerge/>
            <w:shd w:val="clear" w:color="auto" w:fill="0070C0"/>
          </w:tcPr>
          <w:p w14:paraId="59668F35" w14:textId="77777777" w:rsidR="00711800" w:rsidRPr="002B7CCC" w:rsidRDefault="00711800" w:rsidP="00303737">
            <w:pPr>
              <w:rPr>
                <w:sz w:val="20"/>
                <w:szCs w:val="20"/>
              </w:rPr>
            </w:pPr>
          </w:p>
        </w:tc>
        <w:tc>
          <w:tcPr>
            <w:tcW w:w="627" w:type="dxa"/>
            <w:shd w:val="clear" w:color="auto" w:fill="0070C0"/>
          </w:tcPr>
          <w:p w14:paraId="4E90DB2A" w14:textId="77777777" w:rsidR="00711800" w:rsidRPr="002B7CCC" w:rsidRDefault="00711800" w:rsidP="00303737">
            <w:pPr>
              <w:jc w:val="center"/>
              <w:rPr>
                <w:b/>
                <w:color w:val="FFFFFF" w:themeColor="background1"/>
                <w:sz w:val="20"/>
                <w:szCs w:val="20"/>
              </w:rPr>
            </w:pPr>
            <w:r w:rsidRPr="002B7CCC">
              <w:rPr>
                <w:b/>
                <w:color w:val="FFFFFF" w:themeColor="background1"/>
                <w:sz w:val="20"/>
                <w:szCs w:val="20"/>
              </w:rPr>
              <w:t>P</w:t>
            </w:r>
          </w:p>
        </w:tc>
        <w:tc>
          <w:tcPr>
            <w:tcW w:w="555" w:type="dxa"/>
            <w:shd w:val="clear" w:color="auto" w:fill="0070C0"/>
          </w:tcPr>
          <w:p w14:paraId="2634BE37" w14:textId="77777777" w:rsidR="00711800" w:rsidRPr="002B7CCC" w:rsidRDefault="00711800" w:rsidP="00303737">
            <w:pPr>
              <w:jc w:val="center"/>
              <w:rPr>
                <w:b/>
                <w:color w:val="FFFFFF" w:themeColor="background1"/>
                <w:sz w:val="20"/>
                <w:szCs w:val="20"/>
              </w:rPr>
            </w:pPr>
            <w:r w:rsidRPr="002B7CCC">
              <w:rPr>
                <w:b/>
                <w:color w:val="FFFFFF" w:themeColor="background1"/>
                <w:sz w:val="20"/>
                <w:szCs w:val="20"/>
              </w:rPr>
              <w:t>S</w:t>
            </w:r>
          </w:p>
        </w:tc>
        <w:tc>
          <w:tcPr>
            <w:tcW w:w="556" w:type="dxa"/>
            <w:shd w:val="clear" w:color="auto" w:fill="0070C0"/>
          </w:tcPr>
          <w:p w14:paraId="5072034B" w14:textId="77777777" w:rsidR="00711800" w:rsidRPr="002B7CCC" w:rsidRDefault="00711800" w:rsidP="00303737">
            <w:pPr>
              <w:jc w:val="center"/>
              <w:rPr>
                <w:b/>
                <w:color w:val="FFFFFF" w:themeColor="background1"/>
                <w:sz w:val="20"/>
                <w:szCs w:val="20"/>
              </w:rPr>
            </w:pPr>
            <w:r w:rsidRPr="002B7CCC">
              <w:rPr>
                <w:b/>
                <w:color w:val="FFFFFF" w:themeColor="background1"/>
                <w:sz w:val="20"/>
                <w:szCs w:val="20"/>
              </w:rPr>
              <w:t>P</w:t>
            </w:r>
          </w:p>
        </w:tc>
        <w:tc>
          <w:tcPr>
            <w:tcW w:w="556" w:type="dxa"/>
            <w:shd w:val="clear" w:color="auto" w:fill="0070C0"/>
          </w:tcPr>
          <w:p w14:paraId="40F540BE" w14:textId="77777777" w:rsidR="00711800" w:rsidRPr="002B7CCC" w:rsidRDefault="00711800" w:rsidP="00303737">
            <w:pPr>
              <w:jc w:val="center"/>
              <w:rPr>
                <w:b/>
                <w:color w:val="FFFFFF" w:themeColor="background1"/>
                <w:sz w:val="20"/>
                <w:szCs w:val="20"/>
              </w:rPr>
            </w:pPr>
            <w:r w:rsidRPr="002B7CCC">
              <w:rPr>
                <w:b/>
                <w:color w:val="FFFFFF" w:themeColor="background1"/>
                <w:sz w:val="20"/>
                <w:szCs w:val="20"/>
              </w:rPr>
              <w:t>S</w:t>
            </w:r>
          </w:p>
        </w:tc>
        <w:tc>
          <w:tcPr>
            <w:tcW w:w="600" w:type="dxa"/>
            <w:shd w:val="clear" w:color="auto" w:fill="0070C0"/>
          </w:tcPr>
          <w:p w14:paraId="1BC19377" w14:textId="77777777" w:rsidR="00711800" w:rsidRPr="002B7CCC" w:rsidRDefault="00711800" w:rsidP="00303737">
            <w:pPr>
              <w:jc w:val="center"/>
              <w:rPr>
                <w:b/>
                <w:color w:val="FFFFFF" w:themeColor="background1"/>
                <w:sz w:val="20"/>
                <w:szCs w:val="20"/>
              </w:rPr>
            </w:pPr>
            <w:r w:rsidRPr="002B7CCC">
              <w:rPr>
                <w:b/>
                <w:color w:val="FFFFFF" w:themeColor="background1"/>
                <w:sz w:val="20"/>
                <w:szCs w:val="20"/>
              </w:rPr>
              <w:t>P</w:t>
            </w:r>
          </w:p>
        </w:tc>
        <w:tc>
          <w:tcPr>
            <w:tcW w:w="536" w:type="dxa"/>
            <w:shd w:val="clear" w:color="auto" w:fill="0070C0"/>
          </w:tcPr>
          <w:p w14:paraId="6C42F8EC" w14:textId="77777777" w:rsidR="00711800" w:rsidRPr="002B7CCC" w:rsidRDefault="00711800" w:rsidP="00303737">
            <w:pPr>
              <w:jc w:val="center"/>
              <w:rPr>
                <w:b/>
                <w:color w:val="FFFFFF" w:themeColor="background1"/>
                <w:sz w:val="20"/>
                <w:szCs w:val="20"/>
              </w:rPr>
            </w:pPr>
            <w:r w:rsidRPr="002B7CCC">
              <w:rPr>
                <w:b/>
                <w:color w:val="FFFFFF" w:themeColor="background1"/>
                <w:sz w:val="20"/>
                <w:szCs w:val="20"/>
              </w:rPr>
              <w:t>S</w:t>
            </w:r>
          </w:p>
        </w:tc>
        <w:tc>
          <w:tcPr>
            <w:tcW w:w="536" w:type="dxa"/>
            <w:shd w:val="clear" w:color="auto" w:fill="0070C0"/>
          </w:tcPr>
          <w:p w14:paraId="60545484" w14:textId="77777777" w:rsidR="00711800" w:rsidRPr="002B7CCC" w:rsidRDefault="00711800" w:rsidP="00303737">
            <w:pPr>
              <w:jc w:val="center"/>
              <w:rPr>
                <w:b/>
                <w:color w:val="FFFFFF" w:themeColor="background1"/>
                <w:sz w:val="20"/>
                <w:szCs w:val="20"/>
              </w:rPr>
            </w:pPr>
            <w:r w:rsidRPr="002B7CCC">
              <w:rPr>
                <w:b/>
                <w:color w:val="FFFFFF" w:themeColor="background1"/>
                <w:sz w:val="20"/>
                <w:szCs w:val="20"/>
              </w:rPr>
              <w:t>P</w:t>
            </w:r>
          </w:p>
        </w:tc>
        <w:tc>
          <w:tcPr>
            <w:tcW w:w="536" w:type="dxa"/>
            <w:shd w:val="clear" w:color="auto" w:fill="0070C0"/>
          </w:tcPr>
          <w:p w14:paraId="1E3B439E" w14:textId="77777777" w:rsidR="00711800" w:rsidRPr="002B7CCC" w:rsidRDefault="00711800" w:rsidP="00303737">
            <w:pPr>
              <w:jc w:val="center"/>
              <w:rPr>
                <w:b/>
                <w:color w:val="FFFFFF" w:themeColor="background1"/>
                <w:sz w:val="20"/>
                <w:szCs w:val="20"/>
              </w:rPr>
            </w:pPr>
            <w:r w:rsidRPr="002B7CCC">
              <w:rPr>
                <w:b/>
                <w:color w:val="FFFFFF" w:themeColor="background1"/>
                <w:sz w:val="20"/>
                <w:szCs w:val="20"/>
              </w:rPr>
              <w:t>S</w:t>
            </w:r>
          </w:p>
        </w:tc>
      </w:tr>
      <w:tr w:rsidR="00711800" w:rsidRPr="002B7CCC" w14:paraId="6DD14143" w14:textId="77777777" w:rsidTr="0027210C">
        <w:tc>
          <w:tcPr>
            <w:tcW w:w="9062" w:type="dxa"/>
            <w:gridSpan w:val="9"/>
          </w:tcPr>
          <w:p w14:paraId="5819B8BE" w14:textId="77777777" w:rsidR="00711800" w:rsidRPr="00F1186B" w:rsidRDefault="00711800" w:rsidP="00303737">
            <w:pPr>
              <w:rPr>
                <w:b/>
                <w:sz w:val="20"/>
                <w:szCs w:val="20"/>
              </w:rPr>
            </w:pPr>
            <w:r w:rsidRPr="00F1186B">
              <w:rPr>
                <w:b/>
                <w:sz w:val="20"/>
                <w:szCs w:val="20"/>
              </w:rPr>
              <w:t>Výstavba D a RC</w:t>
            </w:r>
          </w:p>
        </w:tc>
      </w:tr>
      <w:tr w:rsidR="00711800" w:rsidRPr="002B7CCC" w14:paraId="1363A094" w14:textId="77777777" w:rsidTr="0027210C">
        <w:tc>
          <w:tcPr>
            <w:tcW w:w="4560" w:type="dxa"/>
          </w:tcPr>
          <w:p w14:paraId="0FC1AB4B" w14:textId="77777777" w:rsidR="00711800" w:rsidRPr="002B7CCC" w:rsidRDefault="00711800" w:rsidP="00303737">
            <w:pPr>
              <w:rPr>
                <w:sz w:val="20"/>
                <w:szCs w:val="20"/>
              </w:rPr>
            </w:pPr>
            <w:r w:rsidRPr="002B7CCC">
              <w:rPr>
                <w:sz w:val="20"/>
                <w:szCs w:val="20"/>
              </w:rPr>
              <w:t>Dĺžka začatej výstavby v km (ŠR)</w:t>
            </w:r>
          </w:p>
        </w:tc>
        <w:tc>
          <w:tcPr>
            <w:tcW w:w="627" w:type="dxa"/>
            <w:vAlign w:val="center"/>
          </w:tcPr>
          <w:p w14:paraId="13D50AC8" w14:textId="77777777" w:rsidR="00711800" w:rsidRPr="002B7CCC" w:rsidRDefault="00711800" w:rsidP="00303737">
            <w:pPr>
              <w:jc w:val="right"/>
              <w:rPr>
                <w:sz w:val="20"/>
                <w:szCs w:val="20"/>
              </w:rPr>
            </w:pPr>
            <w:r w:rsidRPr="002B7CCC">
              <w:rPr>
                <w:sz w:val="20"/>
                <w:szCs w:val="20"/>
              </w:rPr>
              <w:t>202,7</w:t>
            </w:r>
          </w:p>
        </w:tc>
        <w:tc>
          <w:tcPr>
            <w:tcW w:w="555" w:type="dxa"/>
            <w:vAlign w:val="center"/>
          </w:tcPr>
          <w:p w14:paraId="6F0B4669" w14:textId="77777777" w:rsidR="00711800" w:rsidRPr="002B7CCC" w:rsidRDefault="00711800" w:rsidP="00303737">
            <w:pPr>
              <w:jc w:val="right"/>
              <w:rPr>
                <w:sz w:val="20"/>
                <w:szCs w:val="20"/>
              </w:rPr>
            </w:pPr>
            <w:r w:rsidRPr="002B7CCC">
              <w:rPr>
                <w:sz w:val="20"/>
                <w:szCs w:val="20"/>
              </w:rPr>
              <w:t>20,1</w:t>
            </w:r>
          </w:p>
        </w:tc>
        <w:tc>
          <w:tcPr>
            <w:tcW w:w="556" w:type="dxa"/>
            <w:shd w:val="clear" w:color="auto" w:fill="FFFFFF" w:themeFill="background1"/>
            <w:vAlign w:val="center"/>
          </w:tcPr>
          <w:p w14:paraId="1E992D59" w14:textId="77777777" w:rsidR="00711800" w:rsidRPr="002B7CCC" w:rsidRDefault="00711800" w:rsidP="00303737">
            <w:pPr>
              <w:jc w:val="right"/>
              <w:rPr>
                <w:sz w:val="20"/>
                <w:szCs w:val="20"/>
              </w:rPr>
            </w:pPr>
            <w:r w:rsidRPr="002B7CCC">
              <w:rPr>
                <w:sz w:val="20"/>
                <w:szCs w:val="20"/>
              </w:rPr>
              <w:t>22,6</w:t>
            </w:r>
          </w:p>
        </w:tc>
        <w:tc>
          <w:tcPr>
            <w:tcW w:w="556" w:type="dxa"/>
            <w:shd w:val="clear" w:color="auto" w:fill="FFFFFF" w:themeFill="background1"/>
            <w:vAlign w:val="center"/>
          </w:tcPr>
          <w:p w14:paraId="756D64E7" w14:textId="77777777" w:rsidR="00711800" w:rsidRPr="002B7CCC" w:rsidRDefault="00711800" w:rsidP="00303737">
            <w:pPr>
              <w:jc w:val="right"/>
              <w:rPr>
                <w:sz w:val="20"/>
                <w:szCs w:val="20"/>
              </w:rPr>
            </w:pPr>
            <w:r w:rsidRPr="002B7CCC">
              <w:rPr>
                <w:sz w:val="20"/>
                <w:szCs w:val="20"/>
              </w:rPr>
              <w:t>10,5</w:t>
            </w:r>
          </w:p>
        </w:tc>
        <w:tc>
          <w:tcPr>
            <w:tcW w:w="600" w:type="dxa"/>
            <w:shd w:val="clear" w:color="auto" w:fill="FFFFFF" w:themeFill="background1"/>
            <w:vAlign w:val="center"/>
          </w:tcPr>
          <w:p w14:paraId="00C4ED41" w14:textId="77777777" w:rsidR="00711800" w:rsidRPr="002B7CCC" w:rsidRDefault="00711800" w:rsidP="00303737">
            <w:pPr>
              <w:jc w:val="right"/>
              <w:rPr>
                <w:sz w:val="20"/>
                <w:szCs w:val="20"/>
              </w:rPr>
            </w:pPr>
            <w:r w:rsidRPr="002B7CCC">
              <w:rPr>
                <w:sz w:val="20"/>
                <w:szCs w:val="20"/>
              </w:rPr>
              <w:t>21,3</w:t>
            </w:r>
          </w:p>
        </w:tc>
        <w:tc>
          <w:tcPr>
            <w:tcW w:w="536" w:type="dxa"/>
            <w:shd w:val="clear" w:color="auto" w:fill="FFFFFF" w:themeFill="background1"/>
            <w:vAlign w:val="center"/>
          </w:tcPr>
          <w:p w14:paraId="1DCE897E" w14:textId="77777777" w:rsidR="00711800" w:rsidRPr="002B7CCC" w:rsidRDefault="00711800" w:rsidP="00303737">
            <w:pPr>
              <w:jc w:val="right"/>
              <w:rPr>
                <w:sz w:val="20"/>
                <w:szCs w:val="20"/>
              </w:rPr>
            </w:pPr>
            <w:r w:rsidRPr="002B7CCC">
              <w:rPr>
                <w:sz w:val="20"/>
                <w:szCs w:val="20"/>
              </w:rPr>
              <w:t>0</w:t>
            </w:r>
          </w:p>
        </w:tc>
        <w:tc>
          <w:tcPr>
            <w:tcW w:w="536" w:type="dxa"/>
            <w:shd w:val="clear" w:color="auto" w:fill="auto"/>
          </w:tcPr>
          <w:p w14:paraId="177D6711" w14:textId="77777777" w:rsidR="00711800" w:rsidRPr="002B7CCC" w:rsidRDefault="00711800" w:rsidP="00303737">
            <w:pPr>
              <w:jc w:val="right"/>
              <w:rPr>
                <w:sz w:val="20"/>
                <w:szCs w:val="20"/>
              </w:rPr>
            </w:pPr>
            <w:r w:rsidRPr="002B7CCC">
              <w:rPr>
                <w:sz w:val="20"/>
                <w:szCs w:val="20"/>
              </w:rPr>
              <w:t>14,1</w:t>
            </w:r>
          </w:p>
        </w:tc>
        <w:tc>
          <w:tcPr>
            <w:tcW w:w="536" w:type="dxa"/>
            <w:shd w:val="clear" w:color="auto" w:fill="auto"/>
          </w:tcPr>
          <w:p w14:paraId="40E7B04F" w14:textId="77777777" w:rsidR="00711800" w:rsidRPr="002B7CCC" w:rsidRDefault="00711800" w:rsidP="00303737">
            <w:pPr>
              <w:jc w:val="right"/>
              <w:rPr>
                <w:sz w:val="20"/>
                <w:szCs w:val="20"/>
              </w:rPr>
            </w:pPr>
            <w:r w:rsidRPr="002B7CCC">
              <w:rPr>
                <w:sz w:val="20"/>
                <w:szCs w:val="20"/>
              </w:rPr>
              <w:t>17,8</w:t>
            </w:r>
          </w:p>
        </w:tc>
      </w:tr>
      <w:tr w:rsidR="00711800" w:rsidRPr="002B7CCC" w14:paraId="54D4FE84" w14:textId="77777777" w:rsidTr="0027210C">
        <w:tc>
          <w:tcPr>
            <w:tcW w:w="4560" w:type="dxa"/>
          </w:tcPr>
          <w:p w14:paraId="70140FB3" w14:textId="77777777" w:rsidR="00711800" w:rsidRPr="002B7CCC" w:rsidRDefault="00711800" w:rsidP="00303737">
            <w:pPr>
              <w:rPr>
                <w:sz w:val="20"/>
                <w:szCs w:val="20"/>
              </w:rPr>
            </w:pPr>
            <w:r w:rsidRPr="002B7CCC">
              <w:rPr>
                <w:sz w:val="20"/>
                <w:szCs w:val="20"/>
              </w:rPr>
              <w:t>Dĺžka odovzdaných km do užívania (ŠR)</w:t>
            </w:r>
          </w:p>
        </w:tc>
        <w:tc>
          <w:tcPr>
            <w:tcW w:w="627" w:type="dxa"/>
            <w:vAlign w:val="center"/>
          </w:tcPr>
          <w:p w14:paraId="4CAB403C" w14:textId="77777777" w:rsidR="00711800" w:rsidRPr="002B7CCC" w:rsidRDefault="00711800" w:rsidP="00303737">
            <w:pPr>
              <w:jc w:val="right"/>
              <w:rPr>
                <w:sz w:val="20"/>
                <w:szCs w:val="20"/>
              </w:rPr>
            </w:pPr>
            <w:r w:rsidRPr="002B7CCC">
              <w:rPr>
                <w:sz w:val="20"/>
                <w:szCs w:val="20"/>
              </w:rPr>
              <w:t>32,8</w:t>
            </w:r>
          </w:p>
        </w:tc>
        <w:tc>
          <w:tcPr>
            <w:tcW w:w="555" w:type="dxa"/>
            <w:vAlign w:val="center"/>
          </w:tcPr>
          <w:p w14:paraId="60CC2186" w14:textId="77777777" w:rsidR="00711800" w:rsidRPr="002B7CCC" w:rsidRDefault="00711800" w:rsidP="00303737">
            <w:pPr>
              <w:jc w:val="right"/>
              <w:rPr>
                <w:sz w:val="20"/>
                <w:szCs w:val="20"/>
              </w:rPr>
            </w:pPr>
            <w:r w:rsidRPr="002B7CCC">
              <w:rPr>
                <w:sz w:val="20"/>
                <w:szCs w:val="20"/>
              </w:rPr>
              <w:t>9,6</w:t>
            </w:r>
          </w:p>
        </w:tc>
        <w:tc>
          <w:tcPr>
            <w:tcW w:w="556" w:type="dxa"/>
            <w:shd w:val="clear" w:color="auto" w:fill="FFFFFF" w:themeFill="background1"/>
            <w:vAlign w:val="center"/>
          </w:tcPr>
          <w:p w14:paraId="122F08D2" w14:textId="77777777" w:rsidR="00711800" w:rsidRPr="002B7CCC" w:rsidRDefault="00711800" w:rsidP="00303737">
            <w:pPr>
              <w:jc w:val="right"/>
              <w:rPr>
                <w:sz w:val="20"/>
                <w:szCs w:val="20"/>
              </w:rPr>
            </w:pPr>
            <w:r w:rsidRPr="002B7CCC">
              <w:rPr>
                <w:sz w:val="20"/>
                <w:szCs w:val="20"/>
              </w:rPr>
              <w:t>1,5</w:t>
            </w:r>
          </w:p>
        </w:tc>
        <w:tc>
          <w:tcPr>
            <w:tcW w:w="556" w:type="dxa"/>
            <w:shd w:val="clear" w:color="auto" w:fill="FFFFFF" w:themeFill="background1"/>
            <w:vAlign w:val="center"/>
          </w:tcPr>
          <w:p w14:paraId="31720C6C" w14:textId="77777777" w:rsidR="00711800" w:rsidRPr="002B7CCC" w:rsidRDefault="00711800" w:rsidP="00303737">
            <w:pPr>
              <w:jc w:val="right"/>
              <w:rPr>
                <w:sz w:val="20"/>
                <w:szCs w:val="20"/>
              </w:rPr>
            </w:pPr>
            <w:r w:rsidRPr="002B7CCC">
              <w:rPr>
                <w:sz w:val="20"/>
                <w:szCs w:val="20"/>
              </w:rPr>
              <w:t>1,43</w:t>
            </w:r>
          </w:p>
        </w:tc>
        <w:tc>
          <w:tcPr>
            <w:tcW w:w="600" w:type="dxa"/>
            <w:shd w:val="clear" w:color="auto" w:fill="FFFFFF" w:themeFill="background1"/>
            <w:vAlign w:val="center"/>
          </w:tcPr>
          <w:p w14:paraId="7F53648C" w14:textId="77777777" w:rsidR="00711800" w:rsidRPr="002B7CCC" w:rsidRDefault="00711800" w:rsidP="00303737">
            <w:pPr>
              <w:jc w:val="right"/>
              <w:rPr>
                <w:sz w:val="20"/>
                <w:szCs w:val="20"/>
              </w:rPr>
            </w:pPr>
            <w:r w:rsidRPr="002B7CCC">
              <w:rPr>
                <w:sz w:val="20"/>
                <w:szCs w:val="20"/>
              </w:rPr>
              <w:t>11,3</w:t>
            </w:r>
          </w:p>
        </w:tc>
        <w:tc>
          <w:tcPr>
            <w:tcW w:w="536" w:type="dxa"/>
            <w:shd w:val="clear" w:color="auto" w:fill="FFFFFF" w:themeFill="background1"/>
            <w:vAlign w:val="center"/>
          </w:tcPr>
          <w:p w14:paraId="3D453C7B" w14:textId="77777777" w:rsidR="00711800" w:rsidRPr="002B7CCC" w:rsidRDefault="00711800" w:rsidP="00303737">
            <w:pPr>
              <w:jc w:val="right"/>
              <w:rPr>
                <w:sz w:val="20"/>
                <w:szCs w:val="20"/>
              </w:rPr>
            </w:pPr>
            <w:r w:rsidRPr="002B7CCC">
              <w:rPr>
                <w:sz w:val="20"/>
                <w:szCs w:val="20"/>
              </w:rPr>
              <w:t>0</w:t>
            </w:r>
          </w:p>
        </w:tc>
        <w:tc>
          <w:tcPr>
            <w:tcW w:w="536" w:type="dxa"/>
            <w:shd w:val="clear" w:color="auto" w:fill="auto"/>
          </w:tcPr>
          <w:p w14:paraId="242E0AA2" w14:textId="77777777" w:rsidR="00711800" w:rsidRPr="002B7CCC" w:rsidRDefault="00711800" w:rsidP="00303737">
            <w:pPr>
              <w:jc w:val="right"/>
              <w:rPr>
                <w:sz w:val="20"/>
                <w:szCs w:val="20"/>
              </w:rPr>
            </w:pPr>
            <w:r w:rsidRPr="002B7CCC">
              <w:rPr>
                <w:sz w:val="20"/>
                <w:szCs w:val="20"/>
              </w:rPr>
              <w:t>28,7</w:t>
            </w:r>
          </w:p>
        </w:tc>
        <w:tc>
          <w:tcPr>
            <w:tcW w:w="536" w:type="dxa"/>
            <w:shd w:val="clear" w:color="auto" w:fill="auto"/>
          </w:tcPr>
          <w:p w14:paraId="155ABB6D" w14:textId="77777777" w:rsidR="00711800" w:rsidRPr="002B7CCC" w:rsidRDefault="00711800" w:rsidP="00303737">
            <w:pPr>
              <w:jc w:val="right"/>
              <w:rPr>
                <w:sz w:val="20"/>
                <w:szCs w:val="20"/>
              </w:rPr>
            </w:pPr>
            <w:r w:rsidRPr="002B7CCC">
              <w:rPr>
                <w:sz w:val="20"/>
                <w:szCs w:val="20"/>
              </w:rPr>
              <w:t>0</w:t>
            </w:r>
          </w:p>
        </w:tc>
      </w:tr>
      <w:tr w:rsidR="00711800" w:rsidRPr="002B7CCC" w14:paraId="5AFEFA28" w14:textId="77777777" w:rsidTr="0027210C">
        <w:tc>
          <w:tcPr>
            <w:tcW w:w="4560" w:type="dxa"/>
          </w:tcPr>
          <w:p w14:paraId="0A34F775" w14:textId="77777777" w:rsidR="00711800" w:rsidRPr="002B7CCC" w:rsidRDefault="00711800" w:rsidP="00303737">
            <w:pPr>
              <w:rPr>
                <w:sz w:val="20"/>
                <w:szCs w:val="20"/>
              </w:rPr>
            </w:pPr>
            <w:r w:rsidRPr="002B7CCC">
              <w:rPr>
                <w:sz w:val="20"/>
                <w:szCs w:val="20"/>
              </w:rPr>
              <w:t>Celková dĺžka novovybudovaných ciest v km (EÚ – PO 2)</w:t>
            </w:r>
          </w:p>
        </w:tc>
        <w:tc>
          <w:tcPr>
            <w:tcW w:w="627" w:type="dxa"/>
            <w:vAlign w:val="center"/>
          </w:tcPr>
          <w:p w14:paraId="2D05ED64" w14:textId="77777777" w:rsidR="00711800" w:rsidRPr="002B7CCC" w:rsidRDefault="00711800" w:rsidP="00303737">
            <w:pPr>
              <w:jc w:val="right"/>
              <w:rPr>
                <w:sz w:val="20"/>
                <w:szCs w:val="20"/>
              </w:rPr>
            </w:pPr>
            <w:r w:rsidRPr="002B7CCC">
              <w:rPr>
                <w:sz w:val="20"/>
                <w:szCs w:val="20"/>
              </w:rPr>
              <w:t>-</w:t>
            </w:r>
          </w:p>
        </w:tc>
        <w:tc>
          <w:tcPr>
            <w:tcW w:w="555" w:type="dxa"/>
            <w:vAlign w:val="center"/>
          </w:tcPr>
          <w:p w14:paraId="5770DD68" w14:textId="77777777" w:rsidR="00711800" w:rsidRPr="002B7CCC" w:rsidRDefault="00711800" w:rsidP="00303737">
            <w:pPr>
              <w:jc w:val="right"/>
              <w:rPr>
                <w:sz w:val="20"/>
                <w:szCs w:val="20"/>
              </w:rPr>
            </w:pPr>
            <w:r w:rsidRPr="002B7CCC">
              <w:rPr>
                <w:sz w:val="20"/>
                <w:szCs w:val="20"/>
              </w:rPr>
              <w:t>0</w:t>
            </w:r>
          </w:p>
        </w:tc>
        <w:tc>
          <w:tcPr>
            <w:tcW w:w="556" w:type="dxa"/>
            <w:shd w:val="clear" w:color="auto" w:fill="FFFFFF" w:themeFill="background1"/>
            <w:vAlign w:val="center"/>
          </w:tcPr>
          <w:p w14:paraId="1FEAD4F2" w14:textId="77777777" w:rsidR="00711800" w:rsidRPr="002B7CCC" w:rsidRDefault="00711800" w:rsidP="00303737">
            <w:pPr>
              <w:jc w:val="right"/>
              <w:rPr>
                <w:sz w:val="20"/>
                <w:szCs w:val="20"/>
              </w:rPr>
            </w:pPr>
            <w:r w:rsidRPr="002B7CCC">
              <w:rPr>
                <w:sz w:val="20"/>
                <w:szCs w:val="20"/>
              </w:rPr>
              <w:t>-</w:t>
            </w:r>
          </w:p>
        </w:tc>
        <w:tc>
          <w:tcPr>
            <w:tcW w:w="556" w:type="dxa"/>
            <w:shd w:val="clear" w:color="auto" w:fill="FFFFFF" w:themeFill="background1"/>
            <w:vAlign w:val="center"/>
          </w:tcPr>
          <w:p w14:paraId="0EF80C8D" w14:textId="77777777" w:rsidR="00711800" w:rsidRPr="002B7CCC" w:rsidRDefault="00711800" w:rsidP="00303737">
            <w:pPr>
              <w:jc w:val="right"/>
              <w:rPr>
                <w:sz w:val="20"/>
                <w:szCs w:val="20"/>
              </w:rPr>
            </w:pPr>
            <w:r w:rsidRPr="002B7CCC">
              <w:rPr>
                <w:sz w:val="20"/>
                <w:szCs w:val="20"/>
              </w:rPr>
              <w:t>0</w:t>
            </w:r>
          </w:p>
        </w:tc>
        <w:tc>
          <w:tcPr>
            <w:tcW w:w="600" w:type="dxa"/>
            <w:shd w:val="clear" w:color="auto" w:fill="FFFFFF" w:themeFill="background1"/>
            <w:vAlign w:val="center"/>
          </w:tcPr>
          <w:p w14:paraId="5D063F62" w14:textId="77777777" w:rsidR="00711800" w:rsidRPr="002B7CCC" w:rsidRDefault="00711800" w:rsidP="00303737">
            <w:pPr>
              <w:jc w:val="right"/>
              <w:rPr>
                <w:sz w:val="20"/>
                <w:szCs w:val="20"/>
              </w:rPr>
            </w:pPr>
            <w:r w:rsidRPr="002B7CCC">
              <w:rPr>
                <w:sz w:val="20"/>
                <w:szCs w:val="20"/>
              </w:rPr>
              <w:t>65,9*</w:t>
            </w:r>
          </w:p>
        </w:tc>
        <w:tc>
          <w:tcPr>
            <w:tcW w:w="536" w:type="dxa"/>
            <w:shd w:val="clear" w:color="auto" w:fill="FFFFFF" w:themeFill="background1"/>
            <w:vAlign w:val="center"/>
          </w:tcPr>
          <w:p w14:paraId="53BA7B5A" w14:textId="77777777" w:rsidR="00711800" w:rsidRPr="002B7CCC" w:rsidRDefault="00711800" w:rsidP="00303737">
            <w:pPr>
              <w:jc w:val="right"/>
              <w:rPr>
                <w:sz w:val="20"/>
                <w:szCs w:val="20"/>
              </w:rPr>
            </w:pPr>
            <w:r w:rsidRPr="002B7CCC">
              <w:rPr>
                <w:sz w:val="20"/>
                <w:szCs w:val="20"/>
              </w:rPr>
              <w:t>0</w:t>
            </w:r>
          </w:p>
        </w:tc>
        <w:tc>
          <w:tcPr>
            <w:tcW w:w="536" w:type="dxa"/>
            <w:shd w:val="clear" w:color="auto" w:fill="auto"/>
          </w:tcPr>
          <w:p w14:paraId="341B02FD" w14:textId="77777777" w:rsidR="00711800" w:rsidRPr="002B7CCC" w:rsidRDefault="00711800" w:rsidP="00303737">
            <w:pPr>
              <w:jc w:val="right"/>
              <w:rPr>
                <w:sz w:val="20"/>
                <w:szCs w:val="20"/>
              </w:rPr>
            </w:pPr>
            <w:r w:rsidRPr="002B7CCC">
              <w:rPr>
                <w:sz w:val="20"/>
                <w:szCs w:val="20"/>
              </w:rPr>
              <w:t>-</w:t>
            </w:r>
          </w:p>
        </w:tc>
        <w:tc>
          <w:tcPr>
            <w:tcW w:w="536" w:type="dxa"/>
            <w:shd w:val="clear" w:color="auto" w:fill="auto"/>
          </w:tcPr>
          <w:p w14:paraId="0B4E6ED8" w14:textId="77777777" w:rsidR="00711800" w:rsidRPr="002B7CCC" w:rsidRDefault="00711800" w:rsidP="00303737">
            <w:pPr>
              <w:jc w:val="right"/>
              <w:rPr>
                <w:sz w:val="20"/>
                <w:szCs w:val="20"/>
              </w:rPr>
            </w:pPr>
            <w:r w:rsidRPr="002B7CCC">
              <w:rPr>
                <w:sz w:val="20"/>
                <w:szCs w:val="20"/>
              </w:rPr>
              <w:t>14,4</w:t>
            </w:r>
          </w:p>
        </w:tc>
      </w:tr>
      <w:tr w:rsidR="00711800" w:rsidRPr="002B7CCC" w14:paraId="75E157FF" w14:textId="77777777" w:rsidTr="00303737">
        <w:tc>
          <w:tcPr>
            <w:tcW w:w="9062" w:type="dxa"/>
            <w:gridSpan w:val="9"/>
          </w:tcPr>
          <w:p w14:paraId="02CFB863" w14:textId="77777777" w:rsidR="00711800" w:rsidRPr="00F1186B" w:rsidRDefault="00711800" w:rsidP="00303737">
            <w:pPr>
              <w:rPr>
                <w:b/>
                <w:sz w:val="20"/>
                <w:szCs w:val="20"/>
              </w:rPr>
            </w:pPr>
            <w:r w:rsidRPr="00F1186B">
              <w:rPr>
                <w:b/>
                <w:sz w:val="20"/>
                <w:szCs w:val="20"/>
              </w:rPr>
              <w:t>Výstavba ciest I. triedy</w:t>
            </w:r>
          </w:p>
        </w:tc>
      </w:tr>
      <w:tr w:rsidR="00711800" w:rsidRPr="002B7CCC" w14:paraId="4C293024" w14:textId="77777777" w:rsidTr="0027210C">
        <w:tc>
          <w:tcPr>
            <w:tcW w:w="4560" w:type="dxa"/>
          </w:tcPr>
          <w:p w14:paraId="60F9CE05" w14:textId="77777777" w:rsidR="00711800" w:rsidRPr="002B7CCC" w:rsidRDefault="00711800" w:rsidP="00303737">
            <w:pPr>
              <w:rPr>
                <w:sz w:val="20"/>
                <w:szCs w:val="20"/>
              </w:rPr>
            </w:pPr>
            <w:r w:rsidRPr="002B7CCC">
              <w:rPr>
                <w:sz w:val="20"/>
                <w:szCs w:val="20"/>
              </w:rPr>
              <w:t>Dĺžka odovzdaných nových a zrekonštruovaných úsekov v km (ŠR)</w:t>
            </w:r>
          </w:p>
        </w:tc>
        <w:tc>
          <w:tcPr>
            <w:tcW w:w="627" w:type="dxa"/>
            <w:vAlign w:val="center"/>
          </w:tcPr>
          <w:p w14:paraId="6A617473" w14:textId="77777777" w:rsidR="00711800" w:rsidRPr="002B7CCC" w:rsidRDefault="00711800" w:rsidP="00303737">
            <w:pPr>
              <w:jc w:val="right"/>
              <w:rPr>
                <w:sz w:val="20"/>
                <w:szCs w:val="20"/>
              </w:rPr>
            </w:pPr>
            <w:r w:rsidRPr="002B7CCC">
              <w:rPr>
                <w:sz w:val="20"/>
                <w:szCs w:val="20"/>
              </w:rPr>
              <w:t>10</w:t>
            </w:r>
          </w:p>
        </w:tc>
        <w:tc>
          <w:tcPr>
            <w:tcW w:w="555" w:type="dxa"/>
            <w:vAlign w:val="center"/>
          </w:tcPr>
          <w:p w14:paraId="37BD496D" w14:textId="77777777" w:rsidR="00711800" w:rsidRPr="002B7CCC" w:rsidRDefault="00711800" w:rsidP="00303737">
            <w:pPr>
              <w:jc w:val="right"/>
              <w:rPr>
                <w:sz w:val="20"/>
                <w:szCs w:val="20"/>
              </w:rPr>
            </w:pPr>
            <w:r w:rsidRPr="002B7CCC">
              <w:rPr>
                <w:sz w:val="20"/>
                <w:szCs w:val="20"/>
              </w:rPr>
              <w:t>20,1</w:t>
            </w:r>
          </w:p>
        </w:tc>
        <w:tc>
          <w:tcPr>
            <w:tcW w:w="556" w:type="dxa"/>
            <w:shd w:val="clear" w:color="auto" w:fill="FFFFFF" w:themeFill="background1"/>
            <w:vAlign w:val="center"/>
          </w:tcPr>
          <w:p w14:paraId="73B6B8C8" w14:textId="77777777" w:rsidR="00711800" w:rsidRPr="002B7CCC" w:rsidRDefault="00711800" w:rsidP="00303737">
            <w:pPr>
              <w:jc w:val="right"/>
              <w:rPr>
                <w:sz w:val="20"/>
                <w:szCs w:val="20"/>
              </w:rPr>
            </w:pPr>
            <w:r w:rsidRPr="002B7CCC">
              <w:rPr>
                <w:sz w:val="20"/>
                <w:szCs w:val="20"/>
              </w:rPr>
              <w:t>1</w:t>
            </w:r>
          </w:p>
        </w:tc>
        <w:tc>
          <w:tcPr>
            <w:tcW w:w="556" w:type="dxa"/>
            <w:shd w:val="clear" w:color="auto" w:fill="FFFFFF" w:themeFill="background1"/>
            <w:vAlign w:val="center"/>
          </w:tcPr>
          <w:p w14:paraId="43DBB6DC" w14:textId="77777777" w:rsidR="00711800" w:rsidRPr="002B7CCC" w:rsidRDefault="00711800" w:rsidP="00303737">
            <w:pPr>
              <w:jc w:val="right"/>
              <w:rPr>
                <w:sz w:val="20"/>
                <w:szCs w:val="20"/>
              </w:rPr>
            </w:pPr>
            <w:r w:rsidRPr="002B7CCC">
              <w:rPr>
                <w:sz w:val="20"/>
                <w:szCs w:val="20"/>
              </w:rPr>
              <w:t>14,4</w:t>
            </w:r>
          </w:p>
        </w:tc>
        <w:tc>
          <w:tcPr>
            <w:tcW w:w="600" w:type="dxa"/>
            <w:shd w:val="clear" w:color="auto" w:fill="FFFFFF" w:themeFill="background1"/>
            <w:vAlign w:val="center"/>
          </w:tcPr>
          <w:p w14:paraId="5F02E678" w14:textId="77777777" w:rsidR="00711800" w:rsidRPr="002B7CCC" w:rsidRDefault="00711800" w:rsidP="00303737">
            <w:pPr>
              <w:jc w:val="right"/>
              <w:rPr>
                <w:sz w:val="20"/>
                <w:szCs w:val="20"/>
              </w:rPr>
            </w:pPr>
            <w:r w:rsidRPr="002B7CCC">
              <w:rPr>
                <w:sz w:val="20"/>
                <w:szCs w:val="20"/>
              </w:rPr>
              <w:t>1</w:t>
            </w:r>
          </w:p>
        </w:tc>
        <w:tc>
          <w:tcPr>
            <w:tcW w:w="536" w:type="dxa"/>
            <w:shd w:val="clear" w:color="auto" w:fill="FFFFFF" w:themeFill="background1"/>
            <w:vAlign w:val="center"/>
          </w:tcPr>
          <w:p w14:paraId="0D506D8D" w14:textId="77777777" w:rsidR="00711800" w:rsidRPr="002B7CCC" w:rsidRDefault="00711800" w:rsidP="00303737">
            <w:pPr>
              <w:jc w:val="right"/>
              <w:rPr>
                <w:sz w:val="20"/>
                <w:szCs w:val="20"/>
              </w:rPr>
            </w:pPr>
            <w:r w:rsidRPr="002B7CCC">
              <w:rPr>
                <w:sz w:val="20"/>
                <w:szCs w:val="20"/>
              </w:rPr>
              <w:t>11,1</w:t>
            </w:r>
          </w:p>
        </w:tc>
        <w:tc>
          <w:tcPr>
            <w:tcW w:w="536" w:type="dxa"/>
            <w:shd w:val="clear" w:color="auto" w:fill="auto"/>
            <w:vAlign w:val="center"/>
          </w:tcPr>
          <w:p w14:paraId="61877989" w14:textId="77777777" w:rsidR="00711800" w:rsidRPr="002B7CCC" w:rsidRDefault="00711800" w:rsidP="00303737">
            <w:pPr>
              <w:jc w:val="right"/>
              <w:rPr>
                <w:sz w:val="20"/>
                <w:szCs w:val="20"/>
              </w:rPr>
            </w:pPr>
            <w:r w:rsidRPr="002B7CCC">
              <w:rPr>
                <w:sz w:val="20"/>
                <w:szCs w:val="20"/>
              </w:rPr>
              <w:t>1</w:t>
            </w:r>
          </w:p>
        </w:tc>
        <w:tc>
          <w:tcPr>
            <w:tcW w:w="536" w:type="dxa"/>
            <w:shd w:val="clear" w:color="auto" w:fill="auto"/>
            <w:vAlign w:val="center"/>
          </w:tcPr>
          <w:p w14:paraId="254E6945" w14:textId="77777777" w:rsidR="00711800" w:rsidRPr="002B7CCC" w:rsidRDefault="00711800" w:rsidP="00303737">
            <w:pPr>
              <w:jc w:val="right"/>
              <w:rPr>
                <w:sz w:val="20"/>
                <w:szCs w:val="20"/>
              </w:rPr>
            </w:pPr>
            <w:r w:rsidRPr="002B7CCC">
              <w:rPr>
                <w:sz w:val="20"/>
                <w:szCs w:val="20"/>
              </w:rPr>
              <w:t>16,8</w:t>
            </w:r>
          </w:p>
        </w:tc>
      </w:tr>
      <w:tr w:rsidR="00711800" w:rsidRPr="002B7CCC" w14:paraId="0617D41B" w14:textId="77777777" w:rsidTr="0027210C">
        <w:tc>
          <w:tcPr>
            <w:tcW w:w="4560" w:type="dxa"/>
          </w:tcPr>
          <w:p w14:paraId="6328B822" w14:textId="77777777" w:rsidR="00711800" w:rsidRPr="002B7CCC" w:rsidRDefault="00711800" w:rsidP="00303737">
            <w:pPr>
              <w:rPr>
                <w:sz w:val="20"/>
                <w:szCs w:val="20"/>
              </w:rPr>
            </w:pPr>
            <w:r w:rsidRPr="002B7CCC">
              <w:rPr>
                <w:sz w:val="20"/>
                <w:szCs w:val="20"/>
              </w:rPr>
              <w:t>Celková dĺžka rekonštruovaných alebo zrenovovaných ciest v km (EÚ – PO 6)</w:t>
            </w:r>
          </w:p>
        </w:tc>
        <w:tc>
          <w:tcPr>
            <w:tcW w:w="627" w:type="dxa"/>
            <w:vAlign w:val="center"/>
          </w:tcPr>
          <w:p w14:paraId="2C2CCF23" w14:textId="77777777" w:rsidR="00711800" w:rsidRPr="002B7CCC" w:rsidRDefault="00711800" w:rsidP="00303737">
            <w:pPr>
              <w:jc w:val="right"/>
              <w:rPr>
                <w:sz w:val="20"/>
                <w:szCs w:val="20"/>
              </w:rPr>
            </w:pPr>
            <w:r w:rsidRPr="002B7CCC">
              <w:rPr>
                <w:sz w:val="20"/>
                <w:szCs w:val="20"/>
              </w:rPr>
              <w:t>-</w:t>
            </w:r>
          </w:p>
        </w:tc>
        <w:tc>
          <w:tcPr>
            <w:tcW w:w="555" w:type="dxa"/>
            <w:vAlign w:val="center"/>
          </w:tcPr>
          <w:p w14:paraId="4E1342F0" w14:textId="77777777" w:rsidR="00711800" w:rsidRPr="002B7CCC" w:rsidRDefault="00711800" w:rsidP="00303737">
            <w:pPr>
              <w:jc w:val="right"/>
              <w:rPr>
                <w:sz w:val="20"/>
                <w:szCs w:val="20"/>
              </w:rPr>
            </w:pPr>
            <w:r w:rsidRPr="002B7CCC">
              <w:rPr>
                <w:sz w:val="20"/>
                <w:szCs w:val="20"/>
              </w:rPr>
              <w:t>0</w:t>
            </w:r>
          </w:p>
        </w:tc>
        <w:tc>
          <w:tcPr>
            <w:tcW w:w="556" w:type="dxa"/>
            <w:shd w:val="clear" w:color="auto" w:fill="FFFFFF" w:themeFill="background1"/>
            <w:vAlign w:val="center"/>
          </w:tcPr>
          <w:p w14:paraId="53FBC721" w14:textId="77777777" w:rsidR="00711800" w:rsidRPr="002B7CCC" w:rsidRDefault="00711800" w:rsidP="00303737">
            <w:pPr>
              <w:jc w:val="right"/>
              <w:rPr>
                <w:sz w:val="20"/>
                <w:szCs w:val="20"/>
              </w:rPr>
            </w:pPr>
            <w:r w:rsidRPr="002B7CCC">
              <w:rPr>
                <w:sz w:val="20"/>
                <w:szCs w:val="20"/>
              </w:rPr>
              <w:t>-</w:t>
            </w:r>
          </w:p>
        </w:tc>
        <w:tc>
          <w:tcPr>
            <w:tcW w:w="556" w:type="dxa"/>
            <w:shd w:val="clear" w:color="auto" w:fill="FFFFFF" w:themeFill="background1"/>
            <w:vAlign w:val="center"/>
          </w:tcPr>
          <w:p w14:paraId="7D1323F0" w14:textId="77777777" w:rsidR="00711800" w:rsidRPr="002B7CCC" w:rsidRDefault="00711800" w:rsidP="00303737">
            <w:pPr>
              <w:jc w:val="right"/>
              <w:rPr>
                <w:sz w:val="20"/>
                <w:szCs w:val="20"/>
              </w:rPr>
            </w:pPr>
            <w:r w:rsidRPr="002B7CCC">
              <w:rPr>
                <w:sz w:val="20"/>
                <w:szCs w:val="20"/>
              </w:rPr>
              <w:t>75,7</w:t>
            </w:r>
          </w:p>
        </w:tc>
        <w:tc>
          <w:tcPr>
            <w:tcW w:w="600" w:type="dxa"/>
            <w:shd w:val="clear" w:color="auto" w:fill="FFFFFF" w:themeFill="background1"/>
            <w:vAlign w:val="center"/>
          </w:tcPr>
          <w:p w14:paraId="62569E0E" w14:textId="77777777" w:rsidR="00711800" w:rsidRPr="002B7CCC" w:rsidRDefault="00711800" w:rsidP="00303737">
            <w:pPr>
              <w:jc w:val="right"/>
              <w:rPr>
                <w:sz w:val="20"/>
                <w:szCs w:val="20"/>
              </w:rPr>
            </w:pPr>
            <w:r w:rsidRPr="002B7CCC">
              <w:rPr>
                <w:sz w:val="20"/>
                <w:szCs w:val="20"/>
              </w:rPr>
              <w:t>100*</w:t>
            </w:r>
          </w:p>
        </w:tc>
        <w:tc>
          <w:tcPr>
            <w:tcW w:w="536" w:type="dxa"/>
            <w:shd w:val="clear" w:color="auto" w:fill="FFFFFF" w:themeFill="background1"/>
            <w:vAlign w:val="center"/>
          </w:tcPr>
          <w:p w14:paraId="2FFA6045" w14:textId="77777777" w:rsidR="00711800" w:rsidRPr="002B7CCC" w:rsidRDefault="00711800" w:rsidP="00303737">
            <w:pPr>
              <w:jc w:val="right"/>
              <w:rPr>
                <w:sz w:val="20"/>
                <w:szCs w:val="20"/>
              </w:rPr>
            </w:pPr>
            <w:r w:rsidRPr="002B7CCC">
              <w:rPr>
                <w:sz w:val="20"/>
                <w:szCs w:val="20"/>
              </w:rPr>
              <w:t>0</w:t>
            </w:r>
          </w:p>
        </w:tc>
        <w:tc>
          <w:tcPr>
            <w:tcW w:w="536" w:type="dxa"/>
            <w:shd w:val="clear" w:color="auto" w:fill="auto"/>
            <w:vAlign w:val="center"/>
          </w:tcPr>
          <w:p w14:paraId="334C0119" w14:textId="77777777" w:rsidR="00711800" w:rsidRPr="002B7CCC" w:rsidRDefault="00711800" w:rsidP="00303737">
            <w:pPr>
              <w:jc w:val="right"/>
              <w:rPr>
                <w:sz w:val="20"/>
                <w:szCs w:val="20"/>
              </w:rPr>
            </w:pPr>
            <w:r w:rsidRPr="002B7CCC">
              <w:rPr>
                <w:sz w:val="20"/>
                <w:szCs w:val="20"/>
              </w:rPr>
              <w:t>-</w:t>
            </w:r>
          </w:p>
        </w:tc>
        <w:tc>
          <w:tcPr>
            <w:tcW w:w="536" w:type="dxa"/>
            <w:shd w:val="clear" w:color="auto" w:fill="auto"/>
            <w:vAlign w:val="center"/>
          </w:tcPr>
          <w:p w14:paraId="05D2E13F" w14:textId="77777777" w:rsidR="00711800" w:rsidRPr="002B7CCC" w:rsidRDefault="00711800" w:rsidP="00303737">
            <w:pPr>
              <w:jc w:val="right"/>
              <w:rPr>
                <w:sz w:val="20"/>
                <w:szCs w:val="20"/>
              </w:rPr>
            </w:pPr>
            <w:r w:rsidRPr="002B7CCC">
              <w:rPr>
                <w:sz w:val="20"/>
                <w:szCs w:val="20"/>
              </w:rPr>
              <w:t>20</w:t>
            </w:r>
          </w:p>
        </w:tc>
      </w:tr>
      <w:tr w:rsidR="00711800" w:rsidRPr="002B7CCC" w14:paraId="76A9F13E" w14:textId="77777777" w:rsidTr="00303737">
        <w:tc>
          <w:tcPr>
            <w:tcW w:w="9062" w:type="dxa"/>
            <w:gridSpan w:val="9"/>
          </w:tcPr>
          <w:p w14:paraId="5B30B559" w14:textId="77777777" w:rsidR="00711800" w:rsidRPr="00F1186B" w:rsidRDefault="00711800" w:rsidP="00303737">
            <w:pPr>
              <w:rPr>
                <w:b/>
                <w:sz w:val="20"/>
                <w:szCs w:val="20"/>
              </w:rPr>
            </w:pPr>
            <w:r>
              <w:rPr>
                <w:b/>
                <w:sz w:val="20"/>
                <w:szCs w:val="20"/>
              </w:rPr>
              <w:t>Rozvoj železničnej dopravy</w:t>
            </w:r>
          </w:p>
        </w:tc>
      </w:tr>
      <w:tr w:rsidR="00711800" w:rsidRPr="002B7CCC" w14:paraId="0903E5B0" w14:textId="77777777" w:rsidTr="0027210C">
        <w:tc>
          <w:tcPr>
            <w:tcW w:w="4560" w:type="dxa"/>
          </w:tcPr>
          <w:p w14:paraId="7098D686" w14:textId="77777777" w:rsidR="00711800" w:rsidRPr="002B7CCC" w:rsidRDefault="00711800" w:rsidP="00303737">
            <w:pPr>
              <w:rPr>
                <w:sz w:val="20"/>
                <w:szCs w:val="20"/>
              </w:rPr>
            </w:pPr>
            <w:r w:rsidRPr="002B7CCC">
              <w:rPr>
                <w:sz w:val="20"/>
                <w:szCs w:val="20"/>
              </w:rPr>
              <w:t>Počet podporených projektov v rámci rozvoja železničnej siete (ŠR)</w:t>
            </w:r>
          </w:p>
        </w:tc>
        <w:tc>
          <w:tcPr>
            <w:tcW w:w="627" w:type="dxa"/>
            <w:vAlign w:val="center"/>
          </w:tcPr>
          <w:p w14:paraId="326ACE63" w14:textId="77777777" w:rsidR="00711800" w:rsidRPr="002B7CCC" w:rsidRDefault="00711800" w:rsidP="00303737">
            <w:pPr>
              <w:jc w:val="right"/>
              <w:rPr>
                <w:sz w:val="20"/>
                <w:szCs w:val="20"/>
              </w:rPr>
            </w:pPr>
            <w:r w:rsidRPr="002B7CCC">
              <w:rPr>
                <w:sz w:val="20"/>
                <w:szCs w:val="20"/>
              </w:rPr>
              <w:t>N/A</w:t>
            </w:r>
          </w:p>
        </w:tc>
        <w:tc>
          <w:tcPr>
            <w:tcW w:w="555" w:type="dxa"/>
            <w:vAlign w:val="center"/>
          </w:tcPr>
          <w:p w14:paraId="467C819C" w14:textId="77777777" w:rsidR="00711800" w:rsidRPr="002B7CCC" w:rsidRDefault="00711800" w:rsidP="00303737">
            <w:pPr>
              <w:jc w:val="right"/>
              <w:rPr>
                <w:sz w:val="20"/>
                <w:szCs w:val="20"/>
              </w:rPr>
            </w:pPr>
            <w:r w:rsidRPr="002B7CCC">
              <w:rPr>
                <w:sz w:val="20"/>
                <w:szCs w:val="20"/>
              </w:rPr>
              <w:t>8</w:t>
            </w:r>
          </w:p>
        </w:tc>
        <w:tc>
          <w:tcPr>
            <w:tcW w:w="556" w:type="dxa"/>
            <w:shd w:val="clear" w:color="auto" w:fill="FFFFFF" w:themeFill="background1"/>
            <w:vAlign w:val="center"/>
          </w:tcPr>
          <w:p w14:paraId="318508C0" w14:textId="77777777" w:rsidR="00711800" w:rsidRPr="002B7CCC" w:rsidRDefault="00711800" w:rsidP="00303737">
            <w:pPr>
              <w:jc w:val="right"/>
              <w:rPr>
                <w:sz w:val="20"/>
                <w:szCs w:val="20"/>
              </w:rPr>
            </w:pPr>
            <w:r w:rsidRPr="002B7CCC">
              <w:rPr>
                <w:sz w:val="20"/>
                <w:szCs w:val="20"/>
              </w:rPr>
              <w:t>N/A</w:t>
            </w:r>
          </w:p>
        </w:tc>
        <w:tc>
          <w:tcPr>
            <w:tcW w:w="556" w:type="dxa"/>
            <w:shd w:val="clear" w:color="auto" w:fill="FFFFFF" w:themeFill="background1"/>
            <w:vAlign w:val="center"/>
          </w:tcPr>
          <w:p w14:paraId="57AD87BD" w14:textId="77777777" w:rsidR="00711800" w:rsidRPr="002B7CCC" w:rsidRDefault="00711800" w:rsidP="00303737">
            <w:pPr>
              <w:jc w:val="right"/>
              <w:rPr>
                <w:sz w:val="20"/>
                <w:szCs w:val="20"/>
              </w:rPr>
            </w:pPr>
            <w:r w:rsidRPr="002B7CCC">
              <w:rPr>
                <w:sz w:val="20"/>
                <w:szCs w:val="20"/>
              </w:rPr>
              <w:t>10</w:t>
            </w:r>
          </w:p>
        </w:tc>
        <w:tc>
          <w:tcPr>
            <w:tcW w:w="600" w:type="dxa"/>
            <w:shd w:val="clear" w:color="auto" w:fill="FFFFFF" w:themeFill="background1"/>
            <w:vAlign w:val="center"/>
          </w:tcPr>
          <w:p w14:paraId="373D3D45" w14:textId="77777777" w:rsidR="00711800" w:rsidRPr="002B7CCC" w:rsidRDefault="00711800" w:rsidP="00303737">
            <w:pPr>
              <w:jc w:val="right"/>
              <w:rPr>
                <w:sz w:val="20"/>
                <w:szCs w:val="20"/>
              </w:rPr>
            </w:pPr>
            <w:r w:rsidRPr="002B7CCC">
              <w:rPr>
                <w:sz w:val="20"/>
                <w:szCs w:val="20"/>
              </w:rPr>
              <w:t>1</w:t>
            </w:r>
          </w:p>
        </w:tc>
        <w:tc>
          <w:tcPr>
            <w:tcW w:w="536" w:type="dxa"/>
            <w:shd w:val="clear" w:color="auto" w:fill="FFFFFF" w:themeFill="background1"/>
            <w:vAlign w:val="center"/>
          </w:tcPr>
          <w:p w14:paraId="43645137" w14:textId="77777777" w:rsidR="00711800" w:rsidRPr="002B7CCC" w:rsidRDefault="00711800" w:rsidP="00303737">
            <w:pPr>
              <w:jc w:val="right"/>
              <w:rPr>
                <w:sz w:val="20"/>
                <w:szCs w:val="20"/>
              </w:rPr>
            </w:pPr>
            <w:r w:rsidRPr="002B7CCC">
              <w:rPr>
                <w:sz w:val="20"/>
                <w:szCs w:val="20"/>
              </w:rPr>
              <w:t>40</w:t>
            </w:r>
          </w:p>
        </w:tc>
        <w:tc>
          <w:tcPr>
            <w:tcW w:w="536" w:type="dxa"/>
            <w:shd w:val="clear" w:color="auto" w:fill="auto"/>
            <w:vAlign w:val="center"/>
          </w:tcPr>
          <w:p w14:paraId="7A8C79F4" w14:textId="77777777" w:rsidR="00711800" w:rsidRPr="002B7CCC" w:rsidRDefault="00711800" w:rsidP="00303737">
            <w:pPr>
              <w:jc w:val="right"/>
              <w:rPr>
                <w:sz w:val="20"/>
                <w:szCs w:val="20"/>
              </w:rPr>
            </w:pPr>
            <w:r w:rsidRPr="002B7CCC">
              <w:rPr>
                <w:sz w:val="20"/>
                <w:szCs w:val="20"/>
              </w:rPr>
              <w:t>1</w:t>
            </w:r>
          </w:p>
        </w:tc>
        <w:tc>
          <w:tcPr>
            <w:tcW w:w="536" w:type="dxa"/>
            <w:shd w:val="clear" w:color="auto" w:fill="auto"/>
            <w:vAlign w:val="center"/>
          </w:tcPr>
          <w:p w14:paraId="7A2F70B6" w14:textId="77777777" w:rsidR="00711800" w:rsidRPr="002B7CCC" w:rsidRDefault="00711800" w:rsidP="00303737">
            <w:pPr>
              <w:jc w:val="right"/>
              <w:rPr>
                <w:sz w:val="20"/>
                <w:szCs w:val="20"/>
              </w:rPr>
            </w:pPr>
            <w:r w:rsidRPr="002B7CCC">
              <w:rPr>
                <w:sz w:val="20"/>
                <w:szCs w:val="20"/>
              </w:rPr>
              <w:t>21</w:t>
            </w:r>
          </w:p>
        </w:tc>
      </w:tr>
      <w:tr w:rsidR="00711800" w:rsidRPr="002B7CCC" w14:paraId="5CBB7CD2" w14:textId="77777777" w:rsidTr="0027210C">
        <w:tc>
          <w:tcPr>
            <w:tcW w:w="4560" w:type="dxa"/>
          </w:tcPr>
          <w:p w14:paraId="758F563E" w14:textId="77777777" w:rsidR="00711800" w:rsidRPr="002B7CCC" w:rsidRDefault="00711800" w:rsidP="00303737">
            <w:pPr>
              <w:rPr>
                <w:sz w:val="20"/>
                <w:szCs w:val="20"/>
              </w:rPr>
            </w:pPr>
            <w:r w:rsidRPr="002B7CCC">
              <w:rPr>
                <w:sz w:val="20"/>
                <w:szCs w:val="20"/>
              </w:rPr>
              <w:t>Celková dĺžka rekonštruovaných ale zrenovovaných železničných tratí (TEN-T CORE) v km (EÚ – PO 1)</w:t>
            </w:r>
          </w:p>
        </w:tc>
        <w:tc>
          <w:tcPr>
            <w:tcW w:w="627" w:type="dxa"/>
            <w:vAlign w:val="center"/>
          </w:tcPr>
          <w:p w14:paraId="16EC8967" w14:textId="77777777" w:rsidR="00711800" w:rsidRPr="002B7CCC" w:rsidRDefault="00711800" w:rsidP="00303737">
            <w:pPr>
              <w:jc w:val="right"/>
              <w:rPr>
                <w:sz w:val="20"/>
                <w:szCs w:val="20"/>
              </w:rPr>
            </w:pPr>
            <w:r w:rsidRPr="002B7CCC">
              <w:rPr>
                <w:sz w:val="20"/>
                <w:szCs w:val="20"/>
              </w:rPr>
              <w:t>-</w:t>
            </w:r>
          </w:p>
        </w:tc>
        <w:tc>
          <w:tcPr>
            <w:tcW w:w="555" w:type="dxa"/>
            <w:vAlign w:val="center"/>
          </w:tcPr>
          <w:p w14:paraId="0B5FF815" w14:textId="77777777" w:rsidR="00711800" w:rsidRPr="002B7CCC" w:rsidRDefault="00711800" w:rsidP="00303737">
            <w:pPr>
              <w:jc w:val="right"/>
              <w:rPr>
                <w:sz w:val="20"/>
                <w:szCs w:val="20"/>
              </w:rPr>
            </w:pPr>
            <w:r w:rsidRPr="002B7CCC">
              <w:rPr>
                <w:sz w:val="20"/>
                <w:szCs w:val="20"/>
              </w:rPr>
              <w:t>0</w:t>
            </w:r>
          </w:p>
        </w:tc>
        <w:tc>
          <w:tcPr>
            <w:tcW w:w="556" w:type="dxa"/>
            <w:shd w:val="clear" w:color="auto" w:fill="FFFFFF" w:themeFill="background1"/>
            <w:vAlign w:val="center"/>
          </w:tcPr>
          <w:p w14:paraId="7BBCF1ED" w14:textId="77777777" w:rsidR="00711800" w:rsidRPr="002B7CCC" w:rsidRDefault="00711800" w:rsidP="00303737">
            <w:pPr>
              <w:jc w:val="right"/>
              <w:rPr>
                <w:sz w:val="20"/>
                <w:szCs w:val="20"/>
              </w:rPr>
            </w:pPr>
            <w:r w:rsidRPr="002B7CCC">
              <w:rPr>
                <w:sz w:val="20"/>
                <w:szCs w:val="20"/>
              </w:rPr>
              <w:t>-</w:t>
            </w:r>
          </w:p>
        </w:tc>
        <w:tc>
          <w:tcPr>
            <w:tcW w:w="556" w:type="dxa"/>
            <w:shd w:val="clear" w:color="auto" w:fill="FFFFFF" w:themeFill="background1"/>
            <w:vAlign w:val="center"/>
          </w:tcPr>
          <w:p w14:paraId="1A9A090F" w14:textId="77777777" w:rsidR="00711800" w:rsidRPr="002B7CCC" w:rsidRDefault="00711800" w:rsidP="00303737">
            <w:pPr>
              <w:jc w:val="right"/>
              <w:rPr>
                <w:sz w:val="20"/>
                <w:szCs w:val="20"/>
              </w:rPr>
            </w:pPr>
            <w:r w:rsidRPr="002B7CCC">
              <w:rPr>
                <w:sz w:val="20"/>
                <w:szCs w:val="20"/>
              </w:rPr>
              <w:t>8,8</w:t>
            </w:r>
          </w:p>
        </w:tc>
        <w:tc>
          <w:tcPr>
            <w:tcW w:w="600" w:type="dxa"/>
            <w:shd w:val="clear" w:color="auto" w:fill="FFFFFF" w:themeFill="background1"/>
            <w:vAlign w:val="center"/>
          </w:tcPr>
          <w:p w14:paraId="225A56F3" w14:textId="77777777" w:rsidR="00711800" w:rsidRPr="002B7CCC" w:rsidRDefault="00711800" w:rsidP="00303737">
            <w:pPr>
              <w:jc w:val="right"/>
              <w:rPr>
                <w:sz w:val="20"/>
                <w:szCs w:val="20"/>
              </w:rPr>
            </w:pPr>
            <w:r w:rsidRPr="002B7CCC">
              <w:rPr>
                <w:sz w:val="20"/>
                <w:szCs w:val="20"/>
              </w:rPr>
              <w:t>12,3*</w:t>
            </w:r>
          </w:p>
        </w:tc>
        <w:tc>
          <w:tcPr>
            <w:tcW w:w="536" w:type="dxa"/>
            <w:shd w:val="clear" w:color="auto" w:fill="FFFFFF" w:themeFill="background1"/>
            <w:vAlign w:val="center"/>
          </w:tcPr>
          <w:p w14:paraId="7EC65B3A" w14:textId="77777777" w:rsidR="00711800" w:rsidRPr="002B7CCC" w:rsidRDefault="00711800" w:rsidP="00303737">
            <w:pPr>
              <w:jc w:val="right"/>
              <w:rPr>
                <w:sz w:val="20"/>
                <w:szCs w:val="20"/>
              </w:rPr>
            </w:pPr>
            <w:r w:rsidRPr="002B7CCC">
              <w:rPr>
                <w:sz w:val="20"/>
                <w:szCs w:val="20"/>
              </w:rPr>
              <w:t>0</w:t>
            </w:r>
          </w:p>
        </w:tc>
        <w:tc>
          <w:tcPr>
            <w:tcW w:w="536" w:type="dxa"/>
            <w:shd w:val="clear" w:color="auto" w:fill="auto"/>
            <w:vAlign w:val="center"/>
          </w:tcPr>
          <w:p w14:paraId="1AA6ADB1" w14:textId="77777777" w:rsidR="00711800" w:rsidRPr="002B7CCC" w:rsidRDefault="00711800" w:rsidP="00303737">
            <w:pPr>
              <w:jc w:val="right"/>
              <w:rPr>
                <w:sz w:val="20"/>
                <w:szCs w:val="20"/>
              </w:rPr>
            </w:pPr>
            <w:r w:rsidRPr="002B7CCC">
              <w:rPr>
                <w:sz w:val="20"/>
                <w:szCs w:val="20"/>
              </w:rPr>
              <w:t>-</w:t>
            </w:r>
          </w:p>
        </w:tc>
        <w:tc>
          <w:tcPr>
            <w:tcW w:w="536" w:type="dxa"/>
            <w:shd w:val="clear" w:color="auto" w:fill="auto"/>
            <w:vAlign w:val="center"/>
          </w:tcPr>
          <w:p w14:paraId="07622F41" w14:textId="77777777" w:rsidR="00711800" w:rsidRPr="002B7CCC" w:rsidRDefault="00711800" w:rsidP="00303737">
            <w:pPr>
              <w:jc w:val="right"/>
              <w:rPr>
                <w:sz w:val="20"/>
                <w:szCs w:val="20"/>
              </w:rPr>
            </w:pPr>
            <w:r w:rsidRPr="002B7CCC">
              <w:rPr>
                <w:sz w:val="20"/>
                <w:szCs w:val="20"/>
              </w:rPr>
              <w:t>0</w:t>
            </w:r>
          </w:p>
        </w:tc>
      </w:tr>
      <w:tr w:rsidR="00711800" w:rsidRPr="002B7CCC" w14:paraId="6EC26B0A" w14:textId="77777777" w:rsidTr="0027210C">
        <w:tc>
          <w:tcPr>
            <w:tcW w:w="4560" w:type="dxa"/>
          </w:tcPr>
          <w:p w14:paraId="1FB06493" w14:textId="77777777" w:rsidR="00711800" w:rsidRPr="002B7CCC" w:rsidRDefault="00711800" w:rsidP="00303737">
            <w:pPr>
              <w:rPr>
                <w:sz w:val="20"/>
                <w:szCs w:val="20"/>
              </w:rPr>
            </w:pPr>
            <w:r w:rsidRPr="002B7CCC">
              <w:rPr>
                <w:sz w:val="20"/>
                <w:szCs w:val="20"/>
              </w:rPr>
              <w:t>Celková dĺžka rekonštruovaných ale zrenovovaných železničných tratí (mimo TEN-T CORE) v km (EÚ – PO 5)</w:t>
            </w:r>
          </w:p>
        </w:tc>
        <w:tc>
          <w:tcPr>
            <w:tcW w:w="627" w:type="dxa"/>
            <w:vAlign w:val="center"/>
          </w:tcPr>
          <w:p w14:paraId="4D0F1E8A" w14:textId="77777777" w:rsidR="00711800" w:rsidRPr="002B7CCC" w:rsidRDefault="00711800" w:rsidP="00303737">
            <w:pPr>
              <w:jc w:val="right"/>
              <w:rPr>
                <w:sz w:val="20"/>
                <w:szCs w:val="20"/>
              </w:rPr>
            </w:pPr>
            <w:r w:rsidRPr="002B7CCC">
              <w:rPr>
                <w:sz w:val="20"/>
                <w:szCs w:val="20"/>
              </w:rPr>
              <w:t>-</w:t>
            </w:r>
          </w:p>
        </w:tc>
        <w:tc>
          <w:tcPr>
            <w:tcW w:w="555" w:type="dxa"/>
            <w:vAlign w:val="center"/>
          </w:tcPr>
          <w:p w14:paraId="58136461" w14:textId="77777777" w:rsidR="00711800" w:rsidRPr="002B7CCC" w:rsidRDefault="00711800" w:rsidP="00303737">
            <w:pPr>
              <w:jc w:val="right"/>
              <w:rPr>
                <w:sz w:val="20"/>
                <w:szCs w:val="20"/>
              </w:rPr>
            </w:pPr>
            <w:r w:rsidRPr="002B7CCC">
              <w:rPr>
                <w:sz w:val="20"/>
                <w:szCs w:val="20"/>
              </w:rPr>
              <w:t>0</w:t>
            </w:r>
          </w:p>
        </w:tc>
        <w:tc>
          <w:tcPr>
            <w:tcW w:w="556" w:type="dxa"/>
            <w:shd w:val="clear" w:color="auto" w:fill="FFFFFF" w:themeFill="background1"/>
            <w:vAlign w:val="center"/>
          </w:tcPr>
          <w:p w14:paraId="7AFECBAE" w14:textId="77777777" w:rsidR="00711800" w:rsidRPr="002B7CCC" w:rsidRDefault="00711800" w:rsidP="00303737">
            <w:pPr>
              <w:jc w:val="right"/>
              <w:rPr>
                <w:sz w:val="20"/>
                <w:szCs w:val="20"/>
              </w:rPr>
            </w:pPr>
            <w:r w:rsidRPr="002B7CCC">
              <w:rPr>
                <w:sz w:val="20"/>
                <w:szCs w:val="20"/>
              </w:rPr>
              <w:t>-</w:t>
            </w:r>
          </w:p>
        </w:tc>
        <w:tc>
          <w:tcPr>
            <w:tcW w:w="556" w:type="dxa"/>
            <w:shd w:val="clear" w:color="auto" w:fill="FFFFFF" w:themeFill="background1"/>
            <w:vAlign w:val="center"/>
          </w:tcPr>
          <w:p w14:paraId="1BD8C860" w14:textId="77777777" w:rsidR="00711800" w:rsidRPr="002B7CCC" w:rsidRDefault="00711800" w:rsidP="00303737">
            <w:pPr>
              <w:jc w:val="right"/>
              <w:rPr>
                <w:sz w:val="20"/>
                <w:szCs w:val="20"/>
              </w:rPr>
            </w:pPr>
            <w:r w:rsidRPr="002B7CCC">
              <w:rPr>
                <w:sz w:val="20"/>
                <w:szCs w:val="20"/>
              </w:rPr>
              <w:t>0</w:t>
            </w:r>
          </w:p>
        </w:tc>
        <w:tc>
          <w:tcPr>
            <w:tcW w:w="600" w:type="dxa"/>
            <w:shd w:val="clear" w:color="auto" w:fill="FFFFFF" w:themeFill="background1"/>
            <w:vAlign w:val="center"/>
          </w:tcPr>
          <w:p w14:paraId="668BCF95" w14:textId="77777777" w:rsidR="00711800" w:rsidRPr="002B7CCC" w:rsidRDefault="00711800" w:rsidP="00303737">
            <w:pPr>
              <w:jc w:val="right"/>
              <w:rPr>
                <w:sz w:val="20"/>
                <w:szCs w:val="20"/>
              </w:rPr>
            </w:pPr>
            <w:r w:rsidRPr="002B7CCC">
              <w:rPr>
                <w:sz w:val="20"/>
                <w:szCs w:val="20"/>
              </w:rPr>
              <w:t>54,5*</w:t>
            </w:r>
          </w:p>
        </w:tc>
        <w:tc>
          <w:tcPr>
            <w:tcW w:w="536" w:type="dxa"/>
            <w:shd w:val="clear" w:color="auto" w:fill="FFFFFF" w:themeFill="background1"/>
            <w:vAlign w:val="center"/>
          </w:tcPr>
          <w:p w14:paraId="1CA776A0" w14:textId="77777777" w:rsidR="00711800" w:rsidRPr="002B7CCC" w:rsidRDefault="00711800" w:rsidP="00303737">
            <w:pPr>
              <w:jc w:val="right"/>
              <w:rPr>
                <w:sz w:val="20"/>
                <w:szCs w:val="20"/>
              </w:rPr>
            </w:pPr>
            <w:r w:rsidRPr="002B7CCC">
              <w:rPr>
                <w:sz w:val="20"/>
                <w:szCs w:val="20"/>
              </w:rPr>
              <w:t>0</w:t>
            </w:r>
          </w:p>
        </w:tc>
        <w:tc>
          <w:tcPr>
            <w:tcW w:w="536" w:type="dxa"/>
            <w:shd w:val="clear" w:color="auto" w:fill="auto"/>
            <w:vAlign w:val="center"/>
          </w:tcPr>
          <w:p w14:paraId="5F7E9664" w14:textId="77777777" w:rsidR="00711800" w:rsidRPr="002B7CCC" w:rsidRDefault="00711800" w:rsidP="00303737">
            <w:pPr>
              <w:jc w:val="right"/>
              <w:rPr>
                <w:sz w:val="20"/>
                <w:szCs w:val="20"/>
              </w:rPr>
            </w:pPr>
            <w:r w:rsidRPr="002B7CCC">
              <w:rPr>
                <w:sz w:val="20"/>
                <w:szCs w:val="20"/>
              </w:rPr>
              <w:t>-</w:t>
            </w:r>
          </w:p>
        </w:tc>
        <w:tc>
          <w:tcPr>
            <w:tcW w:w="536" w:type="dxa"/>
            <w:shd w:val="clear" w:color="auto" w:fill="auto"/>
            <w:vAlign w:val="center"/>
          </w:tcPr>
          <w:p w14:paraId="165C51FF" w14:textId="77777777" w:rsidR="00711800" w:rsidRPr="002B7CCC" w:rsidRDefault="00711800" w:rsidP="00303737">
            <w:pPr>
              <w:jc w:val="right"/>
              <w:rPr>
                <w:sz w:val="20"/>
                <w:szCs w:val="20"/>
              </w:rPr>
            </w:pPr>
            <w:r w:rsidRPr="002B7CCC">
              <w:rPr>
                <w:sz w:val="20"/>
                <w:szCs w:val="20"/>
              </w:rPr>
              <w:t>0</w:t>
            </w:r>
          </w:p>
        </w:tc>
      </w:tr>
      <w:tr w:rsidR="00711800" w:rsidRPr="002B7CCC" w14:paraId="6F84512C" w14:textId="77777777" w:rsidTr="0027210C">
        <w:tc>
          <w:tcPr>
            <w:tcW w:w="4560" w:type="dxa"/>
          </w:tcPr>
          <w:p w14:paraId="339162CF" w14:textId="77777777" w:rsidR="00711800" w:rsidRPr="002B7CCC" w:rsidRDefault="00711800" w:rsidP="00303737">
            <w:pPr>
              <w:rPr>
                <w:sz w:val="20"/>
                <w:szCs w:val="20"/>
              </w:rPr>
            </w:pPr>
            <w:r w:rsidRPr="002B7CCC">
              <w:rPr>
                <w:sz w:val="20"/>
                <w:szCs w:val="20"/>
              </w:rPr>
              <w:t>Počet obnovených vlakových súprav v železničnej verejnej osobnej doprave (EÚ – PO 1)</w:t>
            </w:r>
          </w:p>
        </w:tc>
        <w:tc>
          <w:tcPr>
            <w:tcW w:w="627" w:type="dxa"/>
            <w:vAlign w:val="center"/>
          </w:tcPr>
          <w:p w14:paraId="6B88628F" w14:textId="77777777" w:rsidR="00711800" w:rsidRPr="002B7CCC" w:rsidRDefault="00711800" w:rsidP="00303737">
            <w:pPr>
              <w:jc w:val="right"/>
              <w:rPr>
                <w:sz w:val="20"/>
                <w:szCs w:val="20"/>
              </w:rPr>
            </w:pPr>
            <w:r w:rsidRPr="002B7CCC">
              <w:rPr>
                <w:sz w:val="20"/>
                <w:szCs w:val="20"/>
              </w:rPr>
              <w:t>-</w:t>
            </w:r>
          </w:p>
        </w:tc>
        <w:tc>
          <w:tcPr>
            <w:tcW w:w="555" w:type="dxa"/>
            <w:vAlign w:val="center"/>
          </w:tcPr>
          <w:p w14:paraId="6A39ED1A" w14:textId="77777777" w:rsidR="00711800" w:rsidRPr="002B7CCC" w:rsidRDefault="00711800" w:rsidP="00303737">
            <w:pPr>
              <w:jc w:val="right"/>
              <w:rPr>
                <w:sz w:val="20"/>
                <w:szCs w:val="20"/>
              </w:rPr>
            </w:pPr>
            <w:r w:rsidRPr="002B7CCC">
              <w:rPr>
                <w:sz w:val="20"/>
                <w:szCs w:val="20"/>
              </w:rPr>
              <w:t>0</w:t>
            </w:r>
          </w:p>
        </w:tc>
        <w:tc>
          <w:tcPr>
            <w:tcW w:w="556" w:type="dxa"/>
            <w:shd w:val="clear" w:color="auto" w:fill="FFFFFF" w:themeFill="background1"/>
            <w:vAlign w:val="center"/>
          </w:tcPr>
          <w:p w14:paraId="4B49E0AD" w14:textId="77777777" w:rsidR="00711800" w:rsidRPr="002B7CCC" w:rsidRDefault="00711800" w:rsidP="00303737">
            <w:pPr>
              <w:jc w:val="right"/>
              <w:rPr>
                <w:sz w:val="20"/>
                <w:szCs w:val="20"/>
              </w:rPr>
            </w:pPr>
            <w:r w:rsidRPr="002B7CCC">
              <w:rPr>
                <w:sz w:val="20"/>
                <w:szCs w:val="20"/>
              </w:rPr>
              <w:t>-</w:t>
            </w:r>
          </w:p>
        </w:tc>
        <w:tc>
          <w:tcPr>
            <w:tcW w:w="556" w:type="dxa"/>
            <w:shd w:val="clear" w:color="auto" w:fill="FFFFFF" w:themeFill="background1"/>
            <w:vAlign w:val="center"/>
          </w:tcPr>
          <w:p w14:paraId="6C3D2BB4" w14:textId="77777777" w:rsidR="00711800" w:rsidRPr="002B7CCC" w:rsidRDefault="00711800" w:rsidP="00303737">
            <w:pPr>
              <w:jc w:val="right"/>
              <w:rPr>
                <w:sz w:val="20"/>
                <w:szCs w:val="20"/>
              </w:rPr>
            </w:pPr>
            <w:r w:rsidRPr="002B7CCC">
              <w:rPr>
                <w:sz w:val="20"/>
                <w:szCs w:val="20"/>
              </w:rPr>
              <w:t>0</w:t>
            </w:r>
          </w:p>
        </w:tc>
        <w:tc>
          <w:tcPr>
            <w:tcW w:w="600" w:type="dxa"/>
            <w:shd w:val="clear" w:color="auto" w:fill="FFFFFF" w:themeFill="background1"/>
            <w:vAlign w:val="center"/>
          </w:tcPr>
          <w:p w14:paraId="01C296F3" w14:textId="77777777" w:rsidR="00711800" w:rsidRPr="002B7CCC" w:rsidRDefault="00711800" w:rsidP="00303737">
            <w:pPr>
              <w:jc w:val="right"/>
              <w:rPr>
                <w:sz w:val="20"/>
                <w:szCs w:val="20"/>
              </w:rPr>
            </w:pPr>
            <w:r w:rsidRPr="002B7CCC">
              <w:rPr>
                <w:sz w:val="20"/>
                <w:szCs w:val="20"/>
              </w:rPr>
              <w:t>35*</w:t>
            </w:r>
          </w:p>
        </w:tc>
        <w:tc>
          <w:tcPr>
            <w:tcW w:w="536" w:type="dxa"/>
            <w:shd w:val="clear" w:color="auto" w:fill="FFFFFF" w:themeFill="background1"/>
            <w:vAlign w:val="center"/>
          </w:tcPr>
          <w:p w14:paraId="212593D0" w14:textId="77777777" w:rsidR="00711800" w:rsidRPr="002B7CCC" w:rsidRDefault="00711800" w:rsidP="00303737">
            <w:pPr>
              <w:jc w:val="right"/>
              <w:rPr>
                <w:sz w:val="20"/>
                <w:szCs w:val="20"/>
              </w:rPr>
            </w:pPr>
            <w:r w:rsidRPr="002B7CCC">
              <w:rPr>
                <w:sz w:val="20"/>
                <w:szCs w:val="20"/>
              </w:rPr>
              <w:t>0</w:t>
            </w:r>
          </w:p>
        </w:tc>
        <w:tc>
          <w:tcPr>
            <w:tcW w:w="536" w:type="dxa"/>
            <w:shd w:val="clear" w:color="auto" w:fill="auto"/>
            <w:vAlign w:val="center"/>
          </w:tcPr>
          <w:p w14:paraId="39A45A7F" w14:textId="77777777" w:rsidR="00711800" w:rsidRPr="002B7CCC" w:rsidRDefault="00711800" w:rsidP="00303737">
            <w:pPr>
              <w:jc w:val="right"/>
              <w:rPr>
                <w:sz w:val="20"/>
                <w:szCs w:val="20"/>
              </w:rPr>
            </w:pPr>
            <w:r w:rsidRPr="002B7CCC">
              <w:rPr>
                <w:sz w:val="20"/>
                <w:szCs w:val="20"/>
              </w:rPr>
              <w:t>-</w:t>
            </w:r>
          </w:p>
        </w:tc>
        <w:tc>
          <w:tcPr>
            <w:tcW w:w="536" w:type="dxa"/>
            <w:shd w:val="clear" w:color="auto" w:fill="auto"/>
            <w:vAlign w:val="center"/>
          </w:tcPr>
          <w:p w14:paraId="71309300" w14:textId="77777777" w:rsidR="00711800" w:rsidRPr="002B7CCC" w:rsidRDefault="00711800" w:rsidP="00303737">
            <w:pPr>
              <w:jc w:val="right"/>
              <w:rPr>
                <w:sz w:val="20"/>
                <w:szCs w:val="20"/>
              </w:rPr>
            </w:pPr>
            <w:r w:rsidRPr="002B7CCC">
              <w:rPr>
                <w:sz w:val="20"/>
                <w:szCs w:val="20"/>
              </w:rPr>
              <w:t>4</w:t>
            </w:r>
          </w:p>
        </w:tc>
      </w:tr>
    </w:tbl>
    <w:p w14:paraId="422AEDA9" w14:textId="77777777" w:rsidR="00711800" w:rsidRPr="003C2E0B" w:rsidRDefault="00711800" w:rsidP="00711800">
      <w:pPr>
        <w:rPr>
          <w:i/>
          <w:sz w:val="18"/>
          <w:szCs w:val="20"/>
        </w:rPr>
      </w:pPr>
      <w:r w:rsidRPr="003C2E0B">
        <w:rPr>
          <w:i/>
          <w:sz w:val="18"/>
          <w:szCs w:val="20"/>
        </w:rPr>
        <w:t>Zdroj: Monitorovacia správa ZÚ MDV SR 2019</w:t>
      </w:r>
    </w:p>
    <w:p w14:paraId="182BE666" w14:textId="7B6E7CA7" w:rsidR="00711800" w:rsidRPr="00E750AA" w:rsidRDefault="00711800" w:rsidP="006E6350">
      <w:pPr>
        <w:rPr>
          <w:i/>
          <w:sz w:val="18"/>
          <w:szCs w:val="20"/>
        </w:rPr>
      </w:pPr>
      <w:r w:rsidRPr="003C2E0B">
        <w:rPr>
          <w:i/>
          <w:sz w:val="18"/>
          <w:szCs w:val="20"/>
        </w:rPr>
        <w:t>* Hodnota je kumulatívna</w:t>
      </w:r>
    </w:p>
    <w:sectPr w:rsidR="00711800" w:rsidRPr="00E750AA" w:rsidSect="001767FE">
      <w:footerReference w:type="default" r:id="rId39"/>
      <w:type w:val="continuous"/>
      <w:pgSz w:w="11906" w:h="16838" w:code="9"/>
      <w:pgMar w:top="1417" w:right="1274" w:bottom="1417"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34ACD" w14:textId="77777777" w:rsidR="00A617B8" w:rsidRDefault="00A617B8" w:rsidP="009754B9">
      <w:r>
        <w:separator/>
      </w:r>
    </w:p>
  </w:endnote>
  <w:endnote w:type="continuationSeparator" w:id="0">
    <w:p w14:paraId="52FC64D3" w14:textId="77777777" w:rsidR="00A617B8" w:rsidRDefault="00A617B8" w:rsidP="0097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altName w:val="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Narrow">
    <w:panose1 w:val="00000000000000000000"/>
    <w:charset w:val="EE"/>
    <w:family w:val="auto"/>
    <w:notTrueType/>
    <w:pitch w:val="default"/>
    <w:sig w:usb0="00000005" w:usb1="00000000" w:usb2="00000000" w:usb3="00000000" w:csb0="00000002" w:csb1="00000000"/>
  </w:font>
  <w:font w:name="Bariol-Light">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F16F5" w14:textId="77777777" w:rsidR="00723069" w:rsidRDefault="00723069">
    <w:pPr>
      <w:pStyle w:val="Pta"/>
      <w:jc w:val="center"/>
    </w:pPr>
  </w:p>
  <w:p w14:paraId="50C0A4DF" w14:textId="77777777" w:rsidR="00723069" w:rsidRDefault="007230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653519"/>
      <w:docPartObj>
        <w:docPartGallery w:val="Page Numbers (Bottom of Page)"/>
        <w:docPartUnique/>
      </w:docPartObj>
    </w:sdtPr>
    <w:sdtEndPr/>
    <w:sdtContent>
      <w:p w14:paraId="5682A831" w14:textId="1F499EF5" w:rsidR="00723069" w:rsidRDefault="00723069">
        <w:pPr>
          <w:pStyle w:val="Pta"/>
          <w:jc w:val="center"/>
        </w:pPr>
        <w:r>
          <w:fldChar w:fldCharType="begin"/>
        </w:r>
        <w:r>
          <w:instrText>PAGE   \* MERGEFORMAT</w:instrText>
        </w:r>
        <w:r>
          <w:fldChar w:fldCharType="separate"/>
        </w:r>
        <w:r w:rsidR="00834CDA">
          <w:rPr>
            <w:noProof/>
          </w:rPr>
          <w:t>19</w:t>
        </w:r>
        <w:r>
          <w:rPr>
            <w:noProof/>
          </w:rPr>
          <w:fldChar w:fldCharType="end"/>
        </w:r>
      </w:p>
    </w:sdtContent>
  </w:sdt>
  <w:p w14:paraId="6D7B4B52" w14:textId="77777777" w:rsidR="00723069" w:rsidRDefault="007230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1FA9C" w14:textId="77777777" w:rsidR="00A617B8" w:rsidRDefault="00A617B8" w:rsidP="009754B9">
      <w:r>
        <w:separator/>
      </w:r>
    </w:p>
  </w:footnote>
  <w:footnote w:type="continuationSeparator" w:id="0">
    <w:p w14:paraId="62C41291" w14:textId="77777777" w:rsidR="00A617B8" w:rsidRDefault="00A617B8" w:rsidP="009754B9">
      <w:r>
        <w:continuationSeparator/>
      </w:r>
    </w:p>
  </w:footnote>
  <w:footnote w:id="1">
    <w:p w14:paraId="60DBF326" w14:textId="57F6BDDD" w:rsidR="00723069" w:rsidRPr="00A940B3" w:rsidRDefault="00723069" w:rsidP="00A940B3">
      <w:pPr>
        <w:pStyle w:val="Textpoznmkypodiarou"/>
        <w:jc w:val="both"/>
        <w:rPr>
          <w:i/>
        </w:rPr>
      </w:pPr>
      <w:r w:rsidRPr="00A940B3">
        <w:rPr>
          <w:rStyle w:val="Odkaznapoznmkupodiarou"/>
          <w:i/>
        </w:rPr>
        <w:footnoteRef/>
      </w:r>
      <w:r w:rsidRPr="00A940B3">
        <w:rPr>
          <w:i/>
        </w:rPr>
        <w:t xml:space="preserve"> Novel</w:t>
      </w:r>
      <w:r>
        <w:rPr>
          <w:i/>
        </w:rPr>
        <w:t>ou</w:t>
      </w:r>
      <w:r w:rsidRPr="00A940B3">
        <w:rPr>
          <w:i/>
        </w:rPr>
        <w:t xml:space="preserve"> zákona č. 553/2003 Z. z. o odmeňovaní niektorých zamestnancov pri výkone práce vo verejnom záujme a o zmene a doplnení niektorých zákonov v znení neskorších predpisov</w:t>
      </w:r>
      <w:r w:rsidR="000E01DE">
        <w:rPr>
          <w:i/>
        </w:rPr>
        <w:t>,</w:t>
      </w:r>
      <w:r w:rsidRPr="00A940B3">
        <w:rPr>
          <w:i/>
        </w:rPr>
        <w:t xml:space="preserve"> s účinnosťou od 1. 1. 2019 do</w:t>
      </w:r>
      <w:r>
        <w:rPr>
          <w:i/>
        </w:rPr>
        <w:t>šlo</w:t>
      </w:r>
      <w:r w:rsidRPr="00A940B3">
        <w:rPr>
          <w:i/>
        </w:rPr>
        <w:t xml:space="preserve"> k redukcii počtu platových tried zo 14 platových tried na súčasných 11 platových tried. Ďalej nadobudli účinnosť zmeny platových taríf pedagogických zamestnancov a odborných zamestnancov a zvýšenie platových taríf v závislosti od dĺžky započítanej praxe.</w:t>
      </w:r>
    </w:p>
  </w:footnote>
  <w:footnote w:id="2">
    <w:p w14:paraId="669B6B66" w14:textId="1EFE0DD3" w:rsidR="00723069" w:rsidRPr="00147AF2" w:rsidRDefault="00723069" w:rsidP="00147AF2">
      <w:pPr>
        <w:pStyle w:val="Textpoznmkypodiarou"/>
        <w:jc w:val="both"/>
        <w:rPr>
          <w:i/>
        </w:rPr>
      </w:pPr>
      <w:r w:rsidRPr="00147AF2">
        <w:rPr>
          <w:rStyle w:val="Odkaznapoznmkupodiarou"/>
          <w:i/>
        </w:rPr>
        <w:footnoteRef/>
      </w:r>
      <w:r w:rsidRPr="00147AF2">
        <w:rPr>
          <w:i/>
        </w:rPr>
        <w:t xml:space="preserve"> </w:t>
      </w:r>
      <w:r>
        <w:rPr>
          <w:i/>
        </w:rPr>
        <w:t>Dôvodom</w:t>
      </w:r>
      <w:r w:rsidRPr="00147AF2">
        <w:rPr>
          <w:i/>
        </w:rPr>
        <w:t xml:space="preserve"> je nevyhnutnosť vykonania auditov finančných výkazov a získanie definitívnych údajov o časovom rozlíšení daní a poistných odvodov predovšetkým zo strany FR SR, Sociálnej poisťovne a zdravotných poisťovní.</w:t>
      </w:r>
    </w:p>
  </w:footnote>
  <w:footnote w:id="3">
    <w:p w14:paraId="4AF70DAD" w14:textId="67CDFA5F" w:rsidR="00723069" w:rsidRPr="00E15F18" w:rsidRDefault="00723069" w:rsidP="003C2E0B">
      <w:pPr>
        <w:pStyle w:val="Textpoznmkypodiarou"/>
        <w:jc w:val="both"/>
        <w:rPr>
          <w:i/>
          <w:sz w:val="18"/>
        </w:rPr>
      </w:pPr>
      <w:r w:rsidRPr="00E15F18">
        <w:rPr>
          <w:rStyle w:val="Odkaznapoznmkupodiarou"/>
          <w:i/>
          <w:sz w:val="18"/>
        </w:rPr>
        <w:footnoteRef/>
      </w:r>
      <w:r w:rsidRPr="00E15F18">
        <w:rPr>
          <w:i/>
          <w:sz w:val="18"/>
        </w:rPr>
        <w:t xml:space="preserve"> Jednotlivé subjekty VS sú právnické osoby, v súlade s metodikou ESA 2010 zaradené do VS a zapísané v registri organizácií, ktorý je vedený Štatistickým úradom SR.</w:t>
      </w:r>
    </w:p>
  </w:footnote>
  <w:footnote w:id="4">
    <w:p w14:paraId="22778C1D" w14:textId="77777777" w:rsidR="00723069" w:rsidRPr="00E15F18" w:rsidRDefault="00723069" w:rsidP="004E5544">
      <w:pPr>
        <w:pStyle w:val="Textpoznmkypodiarou"/>
        <w:jc w:val="both"/>
        <w:rPr>
          <w:i/>
          <w:sz w:val="18"/>
        </w:rPr>
      </w:pPr>
      <w:r w:rsidRPr="00E15F18">
        <w:rPr>
          <w:rStyle w:val="Odkaznapoznmkupodiarou"/>
          <w:i/>
          <w:sz w:val="18"/>
        </w:rPr>
        <w:footnoteRef/>
      </w:r>
      <w:r w:rsidRPr="00E15F18">
        <w:rPr>
          <w:i/>
          <w:sz w:val="18"/>
        </w:rPr>
        <w:t xml:space="preserve"> Podľa metodiky ESA 2010 sú príjmom len tie príjmy z predaja emisií, ktoré sú reálne spotrebované v ekonomike.</w:t>
      </w:r>
    </w:p>
  </w:footnote>
  <w:footnote w:id="5">
    <w:p w14:paraId="71EBCA8F" w14:textId="4059D167" w:rsidR="00723069" w:rsidRPr="00EC258B" w:rsidRDefault="00723069" w:rsidP="002662EE">
      <w:pPr>
        <w:pStyle w:val="Textpoznmkypodiarou"/>
        <w:jc w:val="both"/>
        <w:rPr>
          <w:i/>
        </w:rPr>
      </w:pPr>
      <w:r w:rsidRPr="00EC258B">
        <w:rPr>
          <w:rStyle w:val="Odkaznapoznmkupodiarou"/>
          <w:i/>
        </w:rPr>
        <w:footnoteRef/>
      </w:r>
      <w:r w:rsidRPr="00EC258B">
        <w:rPr>
          <w:i/>
        </w:rPr>
        <w:t xml:space="preserve"> Legislatívne bolo schválené zavedenie eKasy pre všetky subjekty najneskôr do 1. júla 2019. Pokuty za nezavedenie boli neskôr posunuté na 1. január 2020, aby mali subjekty dostatok času na prechod na novú online pokladňu, </w:t>
      </w:r>
      <w:r w:rsidR="004A2491">
        <w:rPr>
          <w:i/>
        </w:rPr>
        <w:t>pretože</w:t>
      </w:r>
      <w:r w:rsidRPr="00EC258B">
        <w:rPr>
          <w:i/>
        </w:rPr>
        <w:t xml:space="preserve"> hrozilo, že by nebol dostatok certifikovaných pokladníc na trhu.</w:t>
      </w:r>
    </w:p>
  </w:footnote>
  <w:footnote w:id="6">
    <w:p w14:paraId="238D0B83" w14:textId="623EF57F" w:rsidR="00723069" w:rsidRPr="004E5544" w:rsidRDefault="00723069" w:rsidP="00906006">
      <w:pPr>
        <w:pStyle w:val="Textpoznmkypodiarou"/>
        <w:jc w:val="both"/>
        <w:rPr>
          <w:i/>
        </w:rPr>
      </w:pPr>
      <w:r w:rsidRPr="004E5544">
        <w:rPr>
          <w:rStyle w:val="Odkaznapoznmkupodiarou"/>
          <w:i/>
        </w:rPr>
        <w:footnoteRef/>
      </w:r>
      <w:r w:rsidRPr="004E5544">
        <w:rPr>
          <w:i/>
        </w:rPr>
        <w:t xml:space="preserve"> Novela zákona č. 222/2004 Z. z. o dani z pridanej hodnoty v znení neskorších predpisov</w:t>
      </w:r>
      <w:r w:rsidR="00536BA8">
        <w:rPr>
          <w:i/>
        </w:rPr>
        <w:t>,</w:t>
      </w:r>
      <w:r w:rsidRPr="004E5544">
        <w:rPr>
          <w:i/>
        </w:rPr>
        <w:t xml:space="preserve"> s účinnosťou od 1.</w:t>
      </w:r>
      <w:r>
        <w:rPr>
          <w:i/>
        </w:rPr>
        <w:t xml:space="preserve"> </w:t>
      </w:r>
      <w:r w:rsidRPr="004E5544">
        <w:rPr>
          <w:i/>
        </w:rPr>
        <w:t>1.</w:t>
      </w:r>
      <w:r>
        <w:rPr>
          <w:i/>
        </w:rPr>
        <w:t xml:space="preserve"> </w:t>
      </w:r>
      <w:r w:rsidRPr="004E5544">
        <w:rPr>
          <w:i/>
        </w:rPr>
        <w:t>2019 zavádza znížen</w:t>
      </w:r>
      <w:r>
        <w:rPr>
          <w:i/>
        </w:rPr>
        <w:t>ú sadbu</w:t>
      </w:r>
      <w:r w:rsidRPr="004E5544">
        <w:rPr>
          <w:i/>
        </w:rPr>
        <w:t xml:space="preserve"> dane 10 % na ubytovacie služby, ktoré do 31.</w:t>
      </w:r>
      <w:r>
        <w:rPr>
          <w:i/>
        </w:rPr>
        <w:t xml:space="preserve"> </w:t>
      </w:r>
      <w:r w:rsidRPr="004E5544">
        <w:rPr>
          <w:i/>
        </w:rPr>
        <w:t>12.</w:t>
      </w:r>
      <w:r>
        <w:rPr>
          <w:i/>
        </w:rPr>
        <w:t xml:space="preserve"> </w:t>
      </w:r>
      <w:r w:rsidRPr="004E5544">
        <w:rPr>
          <w:i/>
        </w:rPr>
        <w:t xml:space="preserve">2018 podliehali </w:t>
      </w:r>
      <w:r>
        <w:rPr>
          <w:i/>
        </w:rPr>
        <w:t xml:space="preserve">sadzbe dane </w:t>
      </w:r>
      <w:r w:rsidRPr="004E5544">
        <w:rPr>
          <w:i/>
        </w:rPr>
        <w:t xml:space="preserve">20 %. Zmena sa vzťahuje na hotelové a turistické ubytovacie služby, kempy, ale aj na ubytovanie v internátoch  a robotníckych ubytovniach. </w:t>
      </w:r>
    </w:p>
  </w:footnote>
  <w:footnote w:id="7">
    <w:p w14:paraId="403C55DF" w14:textId="47B276E0" w:rsidR="00723069" w:rsidRPr="004E5544" w:rsidRDefault="00723069" w:rsidP="004E5544">
      <w:pPr>
        <w:pStyle w:val="Textpoznmkypodiarou"/>
        <w:jc w:val="both"/>
        <w:rPr>
          <w:i/>
        </w:rPr>
      </w:pPr>
      <w:r w:rsidRPr="004E5544">
        <w:rPr>
          <w:rStyle w:val="Odkaznapoznmkupodiarou"/>
          <w:i/>
        </w:rPr>
        <w:footnoteRef/>
      </w:r>
      <w:r w:rsidRPr="004E5544">
        <w:rPr>
          <w:i/>
        </w:rPr>
        <w:t xml:space="preserve"> Zdroj: Eurostat, Study and Reports on the VAT Gap in the E</w:t>
      </w:r>
      <w:r>
        <w:rPr>
          <w:i/>
        </w:rPr>
        <w:t>U</w:t>
      </w:r>
      <w:r w:rsidRPr="004E5544">
        <w:rPr>
          <w:i/>
        </w:rPr>
        <w:t>-28 Member States: 2019 Final Report</w:t>
      </w:r>
    </w:p>
  </w:footnote>
  <w:footnote w:id="8">
    <w:p w14:paraId="177259FD" w14:textId="77777777" w:rsidR="00723069" w:rsidRPr="00EC258B" w:rsidRDefault="00723069" w:rsidP="00906006">
      <w:pPr>
        <w:pStyle w:val="Textpoznmkypodiarou"/>
        <w:jc w:val="both"/>
        <w:rPr>
          <w:i/>
        </w:rPr>
      </w:pPr>
      <w:r w:rsidRPr="00EC258B">
        <w:rPr>
          <w:rStyle w:val="Odkaznapoznmkupodiarou"/>
          <w:i/>
        </w:rPr>
        <w:footnoteRef/>
      </w:r>
      <w:r w:rsidRPr="00EC258B">
        <w:rPr>
          <w:i/>
        </w:rPr>
        <w:t xml:space="preserve"> Metodika, ktorú používa EK</w:t>
      </w:r>
      <w:r>
        <w:rPr>
          <w:i/>
        </w:rPr>
        <w:t>,</w:t>
      </w:r>
      <w:r w:rsidRPr="00EC258B">
        <w:rPr>
          <w:i/>
        </w:rPr>
        <w:t xml:space="preserve"> slúži predovšetkým na medzinárodné porovnanie, preto nevyhnutne obsahuje veľa zjednodušených predpokladov. Predovšetkým samotný koncept časovo posunutej hotovosti (ESA 2010) nie je najpresnejší, ak chceme priradiť platby do období, ku ktorým ekonomicky patria. Napriek niektorým nepresnostiam je medzinárodné porovnanie daňových medzier užitočným nástrojom.</w:t>
      </w:r>
    </w:p>
  </w:footnote>
  <w:footnote w:id="9">
    <w:p w14:paraId="28213639" w14:textId="77777777" w:rsidR="00723069" w:rsidRPr="004E5544" w:rsidRDefault="00723069" w:rsidP="004E5544">
      <w:pPr>
        <w:pStyle w:val="Textpoznmkypodiarou"/>
        <w:jc w:val="both"/>
        <w:rPr>
          <w:i/>
        </w:rPr>
      </w:pPr>
      <w:r w:rsidRPr="004E5544">
        <w:rPr>
          <w:rStyle w:val="Odkaznapoznmkupodiarou"/>
          <w:i/>
        </w:rPr>
        <w:footnoteRef/>
      </w:r>
      <w:r w:rsidRPr="004E5544">
        <w:rPr>
          <w:i/>
        </w:rPr>
        <w:t xml:space="preserve"> Výnos DPPO za rok 2019 je len odhad, pretože daňové priznania za rok 2019 sa podávajú v roku 2020 a skutočný výnos dane bude známy až na začiatku roka 2021.</w:t>
      </w:r>
    </w:p>
  </w:footnote>
  <w:footnote w:id="10">
    <w:p w14:paraId="0756373F" w14:textId="77777777" w:rsidR="00723069" w:rsidRDefault="00723069" w:rsidP="00F958A4">
      <w:pPr>
        <w:pStyle w:val="Textpoznmkypodiarou"/>
        <w:jc w:val="both"/>
        <w:rPr>
          <w:i/>
        </w:rPr>
      </w:pPr>
      <w:r>
        <w:rPr>
          <w:rStyle w:val="Odkaznapoznmkupodiarou"/>
        </w:rPr>
        <w:footnoteRef/>
      </w:r>
      <w:r>
        <w:t xml:space="preserve"> ÚHP</w:t>
      </w:r>
      <w:r w:rsidRPr="00637EF6">
        <w:rPr>
          <w:i/>
        </w:rPr>
        <w:t>: Revízia výdavkov zamestnanosti a odmeňovania vo verejnej správe</w:t>
      </w:r>
      <w:r>
        <w:rPr>
          <w:i/>
        </w:rPr>
        <w:t xml:space="preserve"> (marec 2020)</w:t>
      </w:r>
    </w:p>
    <w:p w14:paraId="1192212A" w14:textId="77777777" w:rsidR="00723069" w:rsidRPr="003537AC" w:rsidRDefault="00A617B8" w:rsidP="00F958A4">
      <w:pPr>
        <w:pStyle w:val="Textpoznmkypodiarou"/>
        <w:jc w:val="both"/>
        <w:rPr>
          <w:i/>
        </w:rPr>
      </w:pPr>
      <w:hyperlink r:id="rId1" w:history="1">
        <w:r w:rsidR="00723069" w:rsidRPr="00494865">
          <w:rPr>
            <w:rStyle w:val="Hypertextovprepojenie"/>
            <w:i/>
          </w:rPr>
          <w:t>https://www.mfsr.sk/sk/financie/hodnota-za-peniaze/revizia-vydavkov/zamestnanost-mzdy-vo-verejnej-sprave/</w:t>
        </w:r>
      </w:hyperlink>
    </w:p>
  </w:footnote>
  <w:footnote w:id="11">
    <w:p w14:paraId="2E0F015B" w14:textId="119CE3BD" w:rsidR="00723069" w:rsidRPr="00637EF6" w:rsidRDefault="00723069" w:rsidP="00F958A4">
      <w:pPr>
        <w:pStyle w:val="Textpoznmkypodiarou"/>
        <w:jc w:val="both"/>
        <w:rPr>
          <w:i/>
        </w:rPr>
      </w:pPr>
      <w:r w:rsidRPr="00637EF6">
        <w:rPr>
          <w:rStyle w:val="Odkaznapoznmkupodiarou"/>
          <w:i/>
        </w:rPr>
        <w:footnoteRef/>
      </w:r>
      <w:r>
        <w:rPr>
          <w:i/>
        </w:rPr>
        <w:t xml:space="preserve"> </w:t>
      </w:r>
      <w:r w:rsidRPr="00637EF6">
        <w:rPr>
          <w:i/>
        </w:rPr>
        <w:t xml:space="preserve">Standard Eurobarometer 90 survey (EB90) </w:t>
      </w:r>
      <w:hyperlink r:id="rId2" w:history="1">
        <w:r w:rsidRPr="00637EF6">
          <w:rPr>
            <w:rStyle w:val="Hypertextovprepojenie"/>
            <w:i/>
          </w:rPr>
          <w:t>https://data.europa.eu/euodp/en/data/dataset/S2215_90_3_STD90_ENG</w:t>
        </w:r>
      </w:hyperlink>
      <w:r w:rsidRPr="00637EF6">
        <w:rPr>
          <w:i/>
        </w:rPr>
        <w:t xml:space="preserve"> (</w:t>
      </w:r>
      <w:r>
        <w:rPr>
          <w:i/>
        </w:rPr>
        <w:t>n</w:t>
      </w:r>
      <w:r w:rsidRPr="00637EF6">
        <w:rPr>
          <w:i/>
        </w:rPr>
        <w:t>ovember 2018)</w:t>
      </w:r>
    </w:p>
  </w:footnote>
  <w:footnote w:id="12">
    <w:p w14:paraId="10B3C346" w14:textId="77777777" w:rsidR="00723069" w:rsidRPr="002026BD" w:rsidRDefault="00723069" w:rsidP="00F958A4">
      <w:pPr>
        <w:jc w:val="both"/>
        <w:rPr>
          <w:i/>
          <w:sz w:val="20"/>
          <w:szCs w:val="20"/>
        </w:rPr>
      </w:pPr>
      <w:r w:rsidRPr="002026BD">
        <w:rPr>
          <w:rStyle w:val="Odkaznapoznmkupodiarou"/>
          <w:rFonts w:eastAsia="Calibri"/>
          <w:i/>
          <w:sz w:val="20"/>
          <w:szCs w:val="20"/>
        </w:rPr>
        <w:footnoteRef/>
      </w:r>
      <w:r w:rsidRPr="002026BD">
        <w:rPr>
          <w:i/>
          <w:sz w:val="20"/>
          <w:szCs w:val="20"/>
        </w:rPr>
        <w:t xml:space="preserve"> Zdroj: RIS - Údaje o dosiahnutej skutočnosti z výkazu Práca 2 - 04</w:t>
      </w:r>
    </w:p>
  </w:footnote>
  <w:footnote w:id="13">
    <w:p w14:paraId="6566E40A" w14:textId="77777777" w:rsidR="00723069" w:rsidRPr="002026BD" w:rsidRDefault="00723069" w:rsidP="00E86116">
      <w:pPr>
        <w:pStyle w:val="Textpoznmkypodiarou"/>
        <w:jc w:val="both"/>
        <w:rPr>
          <w:i/>
        </w:rPr>
      </w:pPr>
      <w:r w:rsidRPr="002026BD">
        <w:rPr>
          <w:rStyle w:val="Odkaznapoznmkupodiarou"/>
          <w:i/>
        </w:rPr>
        <w:footnoteRef/>
      </w:r>
      <w:r w:rsidRPr="002026BD">
        <w:rPr>
          <w:i/>
        </w:rPr>
        <w:t xml:space="preserve"> </w:t>
      </w:r>
      <w:r>
        <w:rPr>
          <w:i/>
        </w:rPr>
        <w:t>ÚHP</w:t>
      </w:r>
      <w:r w:rsidRPr="002026BD">
        <w:rPr>
          <w:bCs/>
          <w:i/>
        </w:rPr>
        <w:t>: Revízia výdavkov zamestnanosti a odmeňovania vo verejnej správe</w:t>
      </w:r>
      <w:r>
        <w:rPr>
          <w:bCs/>
          <w:i/>
        </w:rPr>
        <w:t xml:space="preserve"> (marec 2020), </w:t>
      </w:r>
      <w:r w:rsidRPr="0039341A">
        <w:rPr>
          <w:i/>
        </w:rPr>
        <w:t xml:space="preserve">Dostupné na: </w:t>
      </w:r>
      <w:r>
        <w:rPr>
          <w:bCs/>
          <w:i/>
        </w:rPr>
        <w:t xml:space="preserve"> </w:t>
      </w:r>
      <w:hyperlink r:id="rId3" w:history="1">
        <w:r w:rsidRPr="00494865">
          <w:rPr>
            <w:rStyle w:val="Hypertextovprepojenie"/>
            <w:bCs/>
            <w:i/>
          </w:rPr>
          <w:t>https://www.mfsr.sk/sk/financie/hodnota-za-peniaze/revizia-vydavkov/zamestnanost-mzdy-vo-verejnej-sprave/</w:t>
        </w:r>
      </w:hyperlink>
    </w:p>
  </w:footnote>
  <w:footnote w:id="14">
    <w:p w14:paraId="479C7F00" w14:textId="77777777" w:rsidR="00723069" w:rsidRPr="002026BD" w:rsidRDefault="00723069" w:rsidP="00F958A4">
      <w:pPr>
        <w:pStyle w:val="Textpoznmkypodiarou"/>
        <w:jc w:val="both"/>
        <w:rPr>
          <w:i/>
        </w:rPr>
      </w:pPr>
      <w:r w:rsidRPr="002026BD">
        <w:rPr>
          <w:rStyle w:val="Odkaznapoznmkupodiarou"/>
          <w:i/>
        </w:rPr>
        <w:footnoteRef/>
      </w:r>
      <w:r w:rsidRPr="002026BD">
        <w:rPr>
          <w:i/>
        </w:rPr>
        <w:t xml:space="preserve"> Odporúčanie je v súlade </w:t>
      </w:r>
      <w:r>
        <w:rPr>
          <w:i/>
        </w:rPr>
        <w:t>s odporúčaniami Ú</w:t>
      </w:r>
      <w:r w:rsidRPr="002026BD">
        <w:rPr>
          <w:i/>
        </w:rPr>
        <w:t>HP MF SR.</w:t>
      </w:r>
    </w:p>
  </w:footnote>
  <w:footnote w:id="15">
    <w:p w14:paraId="7BFC33AD" w14:textId="77777777" w:rsidR="00723069" w:rsidRPr="0039341A" w:rsidRDefault="00723069" w:rsidP="00FD0986">
      <w:pPr>
        <w:pStyle w:val="Textpoznmkypodiarou"/>
        <w:jc w:val="both"/>
        <w:rPr>
          <w:i/>
        </w:rPr>
      </w:pPr>
      <w:r w:rsidRPr="0039341A">
        <w:rPr>
          <w:rStyle w:val="Odkaznapoznmkupodiarou"/>
          <w:i/>
        </w:rPr>
        <w:footnoteRef/>
      </w:r>
      <w:r w:rsidRPr="0039341A">
        <w:rPr>
          <w:i/>
        </w:rPr>
        <w:t xml:space="preserve"> Záväzky rezortu zdravotníctva zahŕňajú záväzky zdravotníckych zariadení v pôsobnosti MZ SR, MV SR, MO SR, záväzky delimitovaných zdravotníckych zariadení na obce a VÚC a transformovaných na neziskové organizácie, záväzky zdravotníckych zariadení transformovaných na akciové spoločnosti a záväzky zdravotných poisťovní.</w:t>
      </w:r>
    </w:p>
  </w:footnote>
  <w:footnote w:id="16">
    <w:p w14:paraId="3A6751A4" w14:textId="32C325F5" w:rsidR="00723069" w:rsidRPr="00796375" w:rsidRDefault="00723069" w:rsidP="00796375">
      <w:pPr>
        <w:pStyle w:val="Textpoznmkypodiarou"/>
        <w:jc w:val="both"/>
        <w:rPr>
          <w:i/>
        </w:rPr>
      </w:pPr>
      <w:r w:rsidRPr="00796375">
        <w:rPr>
          <w:rStyle w:val="Odkaznapoznmkupodiarou"/>
          <w:i/>
        </w:rPr>
        <w:footnoteRef/>
      </w:r>
      <w:r w:rsidRPr="00796375">
        <w:rPr>
          <w:i/>
        </w:rPr>
        <w:t xml:space="preserve"> Cytostatiká sú lieky, ktoré zastavujú rast alebo ničia nádorové bunky v</w:t>
      </w:r>
      <w:r>
        <w:rPr>
          <w:i/>
        </w:rPr>
        <w:t> </w:t>
      </w:r>
      <w:r w:rsidRPr="00796375">
        <w:rPr>
          <w:i/>
        </w:rPr>
        <w:t>organizme</w:t>
      </w:r>
      <w:r>
        <w:rPr>
          <w:i/>
          <w:lang w:val="en-US"/>
        </w:rPr>
        <w:t>;</w:t>
      </w:r>
      <w:r>
        <w:rPr>
          <w:i/>
        </w:rPr>
        <w:t xml:space="preserve"> i</w:t>
      </w:r>
      <w:r w:rsidRPr="00796375">
        <w:rPr>
          <w:i/>
        </w:rPr>
        <w:t>munomodulátory sú l</w:t>
      </w:r>
      <w:r>
        <w:rPr>
          <w:i/>
        </w:rPr>
        <w:t>átky, ktoré potláčajú alebo akti</w:t>
      </w:r>
      <w:r w:rsidRPr="00796375">
        <w:rPr>
          <w:i/>
        </w:rPr>
        <w:t>vujú imunitný systém.</w:t>
      </w:r>
    </w:p>
  </w:footnote>
  <w:footnote w:id="17">
    <w:p w14:paraId="29172BDF" w14:textId="0B580A08" w:rsidR="00723069" w:rsidRPr="007C3EDF" w:rsidRDefault="00723069" w:rsidP="00A9029E">
      <w:pPr>
        <w:pStyle w:val="Textpoznmkypodiarou"/>
        <w:jc w:val="both"/>
        <w:rPr>
          <w:i/>
        </w:rPr>
      </w:pPr>
      <w:r w:rsidRPr="007C3EDF">
        <w:rPr>
          <w:rStyle w:val="Odkaznapoznmkupodiarou"/>
          <w:i/>
        </w:rPr>
        <w:footnoteRef/>
      </w:r>
      <w:r w:rsidRPr="007C3EDF">
        <w:rPr>
          <w:rFonts w:eastAsia="Times New Roman" w:cs="Times New Roman"/>
          <w:i/>
          <w:lang w:eastAsia="sk-SK"/>
        </w:rPr>
        <w:t xml:space="preserve"> </w:t>
      </w:r>
      <w:r>
        <w:rPr>
          <w:rFonts w:eastAsia="Times New Roman" w:cs="Times New Roman"/>
          <w:i/>
          <w:lang w:eastAsia="sk-SK"/>
        </w:rPr>
        <w:t>ÚHP: Re</w:t>
      </w:r>
      <w:r w:rsidRPr="007C3EDF">
        <w:rPr>
          <w:rFonts w:eastAsia="Times New Roman" w:cs="Times New Roman"/>
          <w:i/>
          <w:lang w:eastAsia="sk-SK"/>
        </w:rPr>
        <w:t>vízia výdavkov na zdravotníctvo II - Záverečná správa (október 2019)</w:t>
      </w:r>
      <w:r>
        <w:rPr>
          <w:i/>
        </w:rPr>
        <w:t xml:space="preserve">, </w:t>
      </w:r>
      <w:r w:rsidRPr="0039341A">
        <w:rPr>
          <w:i/>
        </w:rPr>
        <w:t xml:space="preserve">Dostupné na: </w:t>
      </w:r>
      <w:hyperlink r:id="rId4" w:history="1">
        <w:r w:rsidRPr="00494865">
          <w:rPr>
            <w:rStyle w:val="Hypertextovprepojenie"/>
            <w:i/>
          </w:rPr>
          <w:t>https://www.mfsr.sk/files/archiv/44/revizia_zdravotnictvo_2.pdf</w:t>
        </w:r>
      </w:hyperlink>
    </w:p>
  </w:footnote>
  <w:footnote w:id="18">
    <w:p w14:paraId="508C4FE5" w14:textId="7A437683" w:rsidR="00723069" w:rsidRPr="00D35C06" w:rsidRDefault="00723069">
      <w:pPr>
        <w:pStyle w:val="Textpoznmkypodiarou"/>
        <w:rPr>
          <w:i/>
        </w:rPr>
      </w:pPr>
      <w:r>
        <w:rPr>
          <w:rStyle w:val="Odkaznapoznmkupodiarou"/>
        </w:rPr>
        <w:footnoteRef/>
      </w:r>
      <w:r>
        <w:t xml:space="preserve"> </w:t>
      </w:r>
      <w:r w:rsidRPr="00A1760B">
        <w:rPr>
          <w:i/>
          <w:color w:val="000000"/>
          <w:szCs w:val="22"/>
        </w:rPr>
        <w:t>K 30. 6. 2019 bol upravený rozpočet kapitoly vo výške 2 153 710 tis. eur.</w:t>
      </w:r>
    </w:p>
  </w:footnote>
  <w:footnote w:id="19">
    <w:p w14:paraId="6ACF70D8" w14:textId="77777777" w:rsidR="00723069" w:rsidRPr="0039341A" w:rsidRDefault="00723069" w:rsidP="0039341A">
      <w:pPr>
        <w:pStyle w:val="Textpoznmkypodiarou"/>
        <w:jc w:val="both"/>
        <w:rPr>
          <w:i/>
        </w:rPr>
      </w:pPr>
      <w:r w:rsidRPr="0039341A">
        <w:rPr>
          <w:rStyle w:val="Odkaznapoznmkupodiarou"/>
          <w:i/>
        </w:rPr>
        <w:footnoteRef/>
      </w:r>
      <w:r w:rsidRPr="0039341A">
        <w:rPr>
          <w:i/>
        </w:rPr>
        <w:t xml:space="preserve"> Prvok 0EB0101, Prioritná os č. 2 – Cestná infraštruktúra, cieľ 1 – Odstránenie kľúčových úzkych miest na cestnej infraštruktúre TEN-T prostredníctvom výstavby úsekov D a RC, Monitorovacia správa programovej štruktúry MDV SR 2019</w:t>
      </w:r>
    </w:p>
  </w:footnote>
  <w:footnote w:id="20">
    <w:p w14:paraId="332909E0" w14:textId="77777777" w:rsidR="00723069" w:rsidRPr="0039341A" w:rsidRDefault="00723069" w:rsidP="0055022C">
      <w:pPr>
        <w:jc w:val="both"/>
        <w:rPr>
          <w:i/>
          <w:color w:val="000000"/>
          <w:sz w:val="20"/>
          <w:szCs w:val="20"/>
        </w:rPr>
      </w:pPr>
      <w:r w:rsidRPr="0039341A">
        <w:rPr>
          <w:rStyle w:val="Odkaznapoznmkupodiarou"/>
          <w:i/>
          <w:sz w:val="20"/>
          <w:szCs w:val="20"/>
        </w:rPr>
        <w:footnoteRef/>
      </w:r>
      <w:r w:rsidRPr="0039341A">
        <w:rPr>
          <w:i/>
          <w:sz w:val="20"/>
          <w:szCs w:val="20"/>
        </w:rPr>
        <w:t xml:space="preserve"> PREHĽAD STAVU CIEST I., II. a III. triedy - stav na základe prehliadok vykonávaných správcom ciest, Dostupné na: </w:t>
      </w:r>
      <w:hyperlink r:id="rId5" w:history="1">
        <w:r w:rsidRPr="0039341A">
          <w:rPr>
            <w:rStyle w:val="Hypertextovprepojenie"/>
            <w:i/>
            <w:sz w:val="20"/>
            <w:szCs w:val="20"/>
          </w:rPr>
          <w:t>https://www.ssc.sk/files/documents/shv/hl_prehl_ciest-2019.pdf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5C45" w14:textId="386C7B51" w:rsidR="00723069" w:rsidRPr="009B5D93" w:rsidRDefault="00723069" w:rsidP="00E61D07">
    <w:pPr>
      <w:pStyle w:val="Hlavika"/>
      <w:jc w:val="center"/>
    </w:pPr>
    <w:r>
      <w:rPr>
        <w:noProof/>
        <w:lang w:eastAsia="sk-SK"/>
      </w:rPr>
      <mc:AlternateContent>
        <mc:Choice Requires="wps">
          <w:drawing>
            <wp:anchor distT="4294967295" distB="4294967295" distL="114300" distR="114300" simplePos="0" relativeHeight="251659264" behindDoc="0" locked="0" layoutInCell="1" allowOverlap="1" wp14:anchorId="7B292B65" wp14:editId="7572B873">
              <wp:simplePos x="0" y="0"/>
              <wp:positionH relativeFrom="column">
                <wp:posOffset>-19050</wp:posOffset>
              </wp:positionH>
              <wp:positionV relativeFrom="paragraph">
                <wp:posOffset>347979</wp:posOffset>
              </wp:positionV>
              <wp:extent cx="5854700" cy="0"/>
              <wp:effectExtent l="0" t="0" r="12700" b="0"/>
              <wp:wrapNone/>
              <wp:docPr id="27" name="Rovná spojnic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02509F0" id="Rovná spojnica 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27.4pt" to="45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vE0wEAAO8DAAAOAAAAZHJzL2Uyb0RvYy54bWysU0uOEzEQ3SNxB8t70p2IkFErnVnMCDYj&#10;iGaYA9S4y4nBP9km3TkOZ+FilN3p5ishEBvLdtV79eq5vL0ejGYnDFE52/LlouYMrXCdsoeWP75/&#10;/eKKs5jAdqCdxZafMfLr3fNn2943uHJHpzsMjEhsbHrf8mNKvqmqKI5oIC6cR0tB6YKBRMdwqLoA&#10;PbEbXa3q+lXVu9D54ATGSLe3Y5DvCr+UKNI7KSMmpltO2lJZQ1mf8lrtttAcAvijEhcZ8A8qDChL&#10;RWeqW0jAPgX1C5VRIrjoZFoIZyonpRJYeqBulvVP3TwcwWPphcyJfrYp/j9a8fa0D0x1LV9tOLNg&#10;6I3u3cl++cyidx+sEsAoQjb1PjaUfWP3ITcqBvvg75z4GClW/RDMh+jHtEEGk9OpUzYU28+z7Tgk&#10;JuhyfbV+uanpdcQUq6CZgD7E9AadYXnTcq1sdgQaON3FlEtDM6Xka21ZT3O4vtqss+gibNRSVKWz&#10;xjHtHiW1TdWXha4MHN7owE5AowJCoE3LQpFJKTvDpNJ6BtZ/Bl7yMxTLMP4NeEaUys6mGWyUdeF3&#10;1dMwSZZj/uTA2He24Ml1532YrKGpKhZefkAe2+/PBf7tn+6+AgAA//8DAFBLAwQUAAYACAAAACEA&#10;vx2I1dwAAAAIAQAADwAAAGRycy9kb3ducmV2LnhtbEyPQU/CQBCF7yb+h82YeIMtKgRqt4SYcDAx&#10;Jla9b7tDW+nO1u4A5d87xgMe572XN+/L1qPv1BGH2AYyMJsmoJCq4FqqDXy8bydLUJEtOdsFQgNn&#10;jLDOr68ym7pwojc8FlwrKaGYWgMNc59qHasGvY3T0COJtwuDtyznUGs32JOU+07fJclCe9uSfGhs&#10;j08NVvvi4A0skuJz+xzi5oX3X6XvXvn7PGdjbm/GzSMoxpEvYfidL9Mhl01lOJCLqjMwuRcUNjB/&#10;EALxV7OVCOWfoPNM/wfIfwAAAP//AwBQSwECLQAUAAYACAAAACEAtoM4kv4AAADhAQAAEwAAAAAA&#10;AAAAAAAAAAAAAAAAW0NvbnRlbnRfVHlwZXNdLnhtbFBLAQItABQABgAIAAAAIQA4/SH/1gAAAJQB&#10;AAALAAAAAAAAAAAAAAAAAC8BAABfcmVscy8ucmVsc1BLAQItABQABgAIAAAAIQBicPvE0wEAAO8D&#10;AAAOAAAAAAAAAAAAAAAAAC4CAABkcnMvZTJvRG9jLnhtbFBLAQItABQABgAIAAAAIQC/HYjV3AAA&#10;AAgBAAAPAAAAAAAAAAAAAAAAAC0EAABkcnMvZG93bnJldi54bWxQSwUGAAAAAAQABADzAAAANgUA&#10;AAAA&#10;" strokecolor="#4579b8 [3044]" strokeweight="1.25pt">
              <o:lock v:ext="edit" shapetype="f"/>
            </v:line>
          </w:pict>
        </mc:Fallback>
      </mc:AlternateContent>
    </w:r>
    <w:r w:rsidRPr="009B5D93">
      <w:t>S</w:t>
    </w:r>
    <w:r>
      <w:t>tanovisko</w:t>
    </w:r>
    <w:r w:rsidRPr="00E61D07">
      <w:t xml:space="preserve"> </w:t>
    </w:r>
    <w:r>
      <w:t>NKÚ SR k návrhu štátneho záverečného účtu SR za rok 2019</w:t>
    </w:r>
  </w:p>
  <w:p w14:paraId="3D43BC4D" w14:textId="77777777" w:rsidR="00723069" w:rsidRDefault="007230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BC5"/>
    <w:multiLevelType w:val="hybridMultilevel"/>
    <w:tmpl w:val="7410206C"/>
    <w:lvl w:ilvl="0" w:tplc="041B0001">
      <w:start w:val="1"/>
      <w:numFmt w:val="bullet"/>
      <w:lvlText w:val=""/>
      <w:lvlJc w:val="left"/>
      <w:pPr>
        <w:ind w:left="456" w:hanging="360"/>
      </w:pPr>
      <w:rPr>
        <w:rFonts w:ascii="Symbol" w:hAnsi="Symbol" w:hint="default"/>
      </w:rPr>
    </w:lvl>
    <w:lvl w:ilvl="1" w:tplc="041B0003" w:tentative="1">
      <w:start w:val="1"/>
      <w:numFmt w:val="bullet"/>
      <w:lvlText w:val="o"/>
      <w:lvlJc w:val="left"/>
      <w:pPr>
        <w:ind w:left="1176" w:hanging="360"/>
      </w:pPr>
      <w:rPr>
        <w:rFonts w:ascii="Courier New" w:hAnsi="Courier New" w:cs="Courier New" w:hint="default"/>
      </w:rPr>
    </w:lvl>
    <w:lvl w:ilvl="2" w:tplc="041B0005" w:tentative="1">
      <w:start w:val="1"/>
      <w:numFmt w:val="bullet"/>
      <w:lvlText w:val=""/>
      <w:lvlJc w:val="left"/>
      <w:pPr>
        <w:ind w:left="1896" w:hanging="360"/>
      </w:pPr>
      <w:rPr>
        <w:rFonts w:ascii="Wingdings" w:hAnsi="Wingdings" w:hint="default"/>
      </w:rPr>
    </w:lvl>
    <w:lvl w:ilvl="3" w:tplc="041B0001" w:tentative="1">
      <w:start w:val="1"/>
      <w:numFmt w:val="bullet"/>
      <w:lvlText w:val=""/>
      <w:lvlJc w:val="left"/>
      <w:pPr>
        <w:ind w:left="2616" w:hanging="360"/>
      </w:pPr>
      <w:rPr>
        <w:rFonts w:ascii="Symbol" w:hAnsi="Symbol" w:hint="default"/>
      </w:rPr>
    </w:lvl>
    <w:lvl w:ilvl="4" w:tplc="041B0003" w:tentative="1">
      <w:start w:val="1"/>
      <w:numFmt w:val="bullet"/>
      <w:lvlText w:val="o"/>
      <w:lvlJc w:val="left"/>
      <w:pPr>
        <w:ind w:left="3336" w:hanging="360"/>
      </w:pPr>
      <w:rPr>
        <w:rFonts w:ascii="Courier New" w:hAnsi="Courier New" w:cs="Courier New" w:hint="default"/>
      </w:rPr>
    </w:lvl>
    <w:lvl w:ilvl="5" w:tplc="041B0005" w:tentative="1">
      <w:start w:val="1"/>
      <w:numFmt w:val="bullet"/>
      <w:lvlText w:val=""/>
      <w:lvlJc w:val="left"/>
      <w:pPr>
        <w:ind w:left="4056" w:hanging="360"/>
      </w:pPr>
      <w:rPr>
        <w:rFonts w:ascii="Wingdings" w:hAnsi="Wingdings" w:hint="default"/>
      </w:rPr>
    </w:lvl>
    <w:lvl w:ilvl="6" w:tplc="041B0001" w:tentative="1">
      <w:start w:val="1"/>
      <w:numFmt w:val="bullet"/>
      <w:lvlText w:val=""/>
      <w:lvlJc w:val="left"/>
      <w:pPr>
        <w:ind w:left="4776" w:hanging="360"/>
      </w:pPr>
      <w:rPr>
        <w:rFonts w:ascii="Symbol" w:hAnsi="Symbol" w:hint="default"/>
      </w:rPr>
    </w:lvl>
    <w:lvl w:ilvl="7" w:tplc="041B0003" w:tentative="1">
      <w:start w:val="1"/>
      <w:numFmt w:val="bullet"/>
      <w:lvlText w:val="o"/>
      <w:lvlJc w:val="left"/>
      <w:pPr>
        <w:ind w:left="5496" w:hanging="360"/>
      </w:pPr>
      <w:rPr>
        <w:rFonts w:ascii="Courier New" w:hAnsi="Courier New" w:cs="Courier New" w:hint="default"/>
      </w:rPr>
    </w:lvl>
    <w:lvl w:ilvl="8" w:tplc="041B0005" w:tentative="1">
      <w:start w:val="1"/>
      <w:numFmt w:val="bullet"/>
      <w:lvlText w:val=""/>
      <w:lvlJc w:val="left"/>
      <w:pPr>
        <w:ind w:left="6216" w:hanging="360"/>
      </w:pPr>
      <w:rPr>
        <w:rFonts w:ascii="Wingdings" w:hAnsi="Wingdings" w:hint="default"/>
      </w:rPr>
    </w:lvl>
  </w:abstractNum>
  <w:abstractNum w:abstractNumId="1" w15:restartNumberingAfterBreak="0">
    <w:nsid w:val="101A5868"/>
    <w:multiLevelType w:val="hybridMultilevel"/>
    <w:tmpl w:val="035E7276"/>
    <w:lvl w:ilvl="0" w:tplc="03BA7296">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32E0101"/>
    <w:multiLevelType w:val="multilevel"/>
    <w:tmpl w:val="C6A41F0A"/>
    <w:lvl w:ilvl="0">
      <w:start w:val="1"/>
      <w:numFmt w:val="decimal"/>
      <w:lvlText w:val="%1."/>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C472F3"/>
    <w:multiLevelType w:val="hybridMultilevel"/>
    <w:tmpl w:val="D12AEFB6"/>
    <w:lvl w:ilvl="0" w:tplc="266EC09C">
      <w:start w:val="1"/>
      <w:numFmt w:val="decimal"/>
      <w:lvlText w:val="%1."/>
      <w:lvlJc w:val="left"/>
      <w:pPr>
        <w:ind w:left="720" w:hanging="360"/>
      </w:pPr>
      <w:rPr>
        <w:rFonts w:eastAsiaTheme="majorEastAsia"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DC038D"/>
    <w:multiLevelType w:val="hybridMultilevel"/>
    <w:tmpl w:val="4C2A3E0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A887E8A"/>
    <w:multiLevelType w:val="hybridMultilevel"/>
    <w:tmpl w:val="7042317C"/>
    <w:lvl w:ilvl="0" w:tplc="C11E1126">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6" w15:restartNumberingAfterBreak="0">
    <w:nsid w:val="1AA02571"/>
    <w:multiLevelType w:val="hybridMultilevel"/>
    <w:tmpl w:val="2D8472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7" w15:restartNumberingAfterBreak="0">
    <w:nsid w:val="1BD024FA"/>
    <w:multiLevelType w:val="hybridMultilevel"/>
    <w:tmpl w:val="87D8E4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A225AB"/>
    <w:multiLevelType w:val="hybridMultilevel"/>
    <w:tmpl w:val="B8808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3BF0129"/>
    <w:multiLevelType w:val="hybridMultilevel"/>
    <w:tmpl w:val="9AAEB5D2"/>
    <w:lvl w:ilvl="0" w:tplc="4C584578">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E217424"/>
    <w:multiLevelType w:val="hybridMultilevel"/>
    <w:tmpl w:val="F2D4354A"/>
    <w:lvl w:ilvl="0" w:tplc="03BA7296">
      <w:start w:val="1"/>
      <w:numFmt w:val="bullet"/>
      <w:lvlText w:val="−"/>
      <w:lvlJc w:val="left"/>
      <w:pPr>
        <w:ind w:left="360" w:hanging="360"/>
      </w:pPr>
      <w:rPr>
        <w:rFonts w:ascii="Arial Narrow" w:hAnsi="Arial Narro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1AF529B"/>
    <w:multiLevelType w:val="hybridMultilevel"/>
    <w:tmpl w:val="8BC45EEE"/>
    <w:lvl w:ilvl="0" w:tplc="041B0001">
      <w:start w:val="1"/>
      <w:numFmt w:val="bullet"/>
      <w:lvlText w:val=""/>
      <w:lvlJc w:val="left"/>
      <w:pPr>
        <w:ind w:left="654" w:hanging="360"/>
      </w:pPr>
      <w:rPr>
        <w:rFonts w:ascii="Symbol" w:hAnsi="Symbol" w:hint="default"/>
      </w:rPr>
    </w:lvl>
    <w:lvl w:ilvl="1" w:tplc="041B0003">
      <w:start w:val="1"/>
      <w:numFmt w:val="bullet"/>
      <w:lvlText w:val="o"/>
      <w:lvlJc w:val="left"/>
      <w:pPr>
        <w:ind w:left="1374" w:hanging="360"/>
      </w:pPr>
      <w:rPr>
        <w:rFonts w:ascii="Courier New" w:hAnsi="Courier New" w:cs="Courier New" w:hint="default"/>
      </w:rPr>
    </w:lvl>
    <w:lvl w:ilvl="2" w:tplc="041B0005">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12" w15:restartNumberingAfterBreak="0">
    <w:nsid w:val="34B1229F"/>
    <w:multiLevelType w:val="hybridMultilevel"/>
    <w:tmpl w:val="D44CF2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5151B46"/>
    <w:multiLevelType w:val="hybridMultilevel"/>
    <w:tmpl w:val="6B02B64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AFA589F"/>
    <w:multiLevelType w:val="hybridMultilevel"/>
    <w:tmpl w:val="456A85D8"/>
    <w:lvl w:ilvl="0" w:tplc="03BA7296">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3B777784"/>
    <w:multiLevelType w:val="multilevel"/>
    <w:tmpl w:val="03AE7C42"/>
    <w:styleLink w:val="tl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610C69"/>
    <w:multiLevelType w:val="hybridMultilevel"/>
    <w:tmpl w:val="173A6B8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32807F7"/>
    <w:multiLevelType w:val="hybridMultilevel"/>
    <w:tmpl w:val="0BCAA1BC"/>
    <w:lvl w:ilvl="0" w:tplc="E71EEAA2">
      <w:start w:val="13"/>
      <w:numFmt w:val="bullet"/>
      <w:lvlText w:val="-"/>
      <w:lvlJc w:val="left"/>
      <w:pPr>
        <w:ind w:left="456" w:hanging="360"/>
      </w:pPr>
      <w:rPr>
        <w:rFonts w:ascii="Arial Narrow" w:eastAsia="Times New Roman" w:hAnsi="Arial Narrow" w:cs="Times New Roman" w:hint="default"/>
      </w:rPr>
    </w:lvl>
    <w:lvl w:ilvl="1" w:tplc="041B0003" w:tentative="1">
      <w:start w:val="1"/>
      <w:numFmt w:val="bullet"/>
      <w:lvlText w:val="o"/>
      <w:lvlJc w:val="left"/>
      <w:pPr>
        <w:ind w:left="1176" w:hanging="360"/>
      </w:pPr>
      <w:rPr>
        <w:rFonts w:ascii="Courier New" w:hAnsi="Courier New" w:cs="Courier New" w:hint="default"/>
      </w:rPr>
    </w:lvl>
    <w:lvl w:ilvl="2" w:tplc="041B0005" w:tentative="1">
      <w:start w:val="1"/>
      <w:numFmt w:val="bullet"/>
      <w:lvlText w:val=""/>
      <w:lvlJc w:val="left"/>
      <w:pPr>
        <w:ind w:left="1896" w:hanging="360"/>
      </w:pPr>
      <w:rPr>
        <w:rFonts w:ascii="Wingdings" w:hAnsi="Wingdings" w:hint="default"/>
      </w:rPr>
    </w:lvl>
    <w:lvl w:ilvl="3" w:tplc="041B0001" w:tentative="1">
      <w:start w:val="1"/>
      <w:numFmt w:val="bullet"/>
      <w:lvlText w:val=""/>
      <w:lvlJc w:val="left"/>
      <w:pPr>
        <w:ind w:left="2616" w:hanging="360"/>
      </w:pPr>
      <w:rPr>
        <w:rFonts w:ascii="Symbol" w:hAnsi="Symbol" w:hint="default"/>
      </w:rPr>
    </w:lvl>
    <w:lvl w:ilvl="4" w:tplc="041B0003" w:tentative="1">
      <w:start w:val="1"/>
      <w:numFmt w:val="bullet"/>
      <w:lvlText w:val="o"/>
      <w:lvlJc w:val="left"/>
      <w:pPr>
        <w:ind w:left="3336" w:hanging="360"/>
      </w:pPr>
      <w:rPr>
        <w:rFonts w:ascii="Courier New" w:hAnsi="Courier New" w:cs="Courier New" w:hint="default"/>
      </w:rPr>
    </w:lvl>
    <w:lvl w:ilvl="5" w:tplc="041B0005" w:tentative="1">
      <w:start w:val="1"/>
      <w:numFmt w:val="bullet"/>
      <w:lvlText w:val=""/>
      <w:lvlJc w:val="left"/>
      <w:pPr>
        <w:ind w:left="4056" w:hanging="360"/>
      </w:pPr>
      <w:rPr>
        <w:rFonts w:ascii="Wingdings" w:hAnsi="Wingdings" w:hint="default"/>
      </w:rPr>
    </w:lvl>
    <w:lvl w:ilvl="6" w:tplc="041B0001" w:tentative="1">
      <w:start w:val="1"/>
      <w:numFmt w:val="bullet"/>
      <w:lvlText w:val=""/>
      <w:lvlJc w:val="left"/>
      <w:pPr>
        <w:ind w:left="4776" w:hanging="360"/>
      </w:pPr>
      <w:rPr>
        <w:rFonts w:ascii="Symbol" w:hAnsi="Symbol" w:hint="default"/>
      </w:rPr>
    </w:lvl>
    <w:lvl w:ilvl="7" w:tplc="041B0003" w:tentative="1">
      <w:start w:val="1"/>
      <w:numFmt w:val="bullet"/>
      <w:lvlText w:val="o"/>
      <w:lvlJc w:val="left"/>
      <w:pPr>
        <w:ind w:left="5496" w:hanging="360"/>
      </w:pPr>
      <w:rPr>
        <w:rFonts w:ascii="Courier New" w:hAnsi="Courier New" w:cs="Courier New" w:hint="default"/>
      </w:rPr>
    </w:lvl>
    <w:lvl w:ilvl="8" w:tplc="041B0005" w:tentative="1">
      <w:start w:val="1"/>
      <w:numFmt w:val="bullet"/>
      <w:lvlText w:val=""/>
      <w:lvlJc w:val="left"/>
      <w:pPr>
        <w:ind w:left="6216" w:hanging="360"/>
      </w:pPr>
      <w:rPr>
        <w:rFonts w:ascii="Wingdings" w:hAnsi="Wingdings" w:hint="default"/>
      </w:rPr>
    </w:lvl>
  </w:abstractNum>
  <w:abstractNum w:abstractNumId="18" w15:restartNumberingAfterBreak="0">
    <w:nsid w:val="4EB829A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7F449E"/>
    <w:multiLevelType w:val="hybridMultilevel"/>
    <w:tmpl w:val="99DADE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B32684F"/>
    <w:multiLevelType w:val="hybridMultilevel"/>
    <w:tmpl w:val="1660BA38"/>
    <w:lvl w:ilvl="0" w:tplc="03BA7296">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B6C148A"/>
    <w:multiLevelType w:val="hybridMultilevel"/>
    <w:tmpl w:val="FF8E788A"/>
    <w:lvl w:ilvl="0" w:tplc="9B9AE288">
      <w:numFmt w:val="bullet"/>
      <w:lvlText w:val="-"/>
      <w:lvlJc w:val="left"/>
      <w:pPr>
        <w:ind w:left="360" w:hanging="360"/>
      </w:pPr>
      <w:rPr>
        <w:rFonts w:ascii="Arial Narrow" w:eastAsia="Calibri" w:hAnsi="Arial Narrow"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2" w15:restartNumberingAfterBreak="0">
    <w:nsid w:val="65425F03"/>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541847"/>
    <w:multiLevelType w:val="hybridMultilevel"/>
    <w:tmpl w:val="2C426D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6ACA14C6"/>
    <w:multiLevelType w:val="hybridMultilevel"/>
    <w:tmpl w:val="AC6C512E"/>
    <w:lvl w:ilvl="0" w:tplc="982A2D56">
      <w:start w:val="1"/>
      <w:numFmt w:val="decimal"/>
      <w:lvlText w:val="%1."/>
      <w:lvlJc w:val="righ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5" w15:restartNumberingAfterBreak="0">
    <w:nsid w:val="6B0270B6"/>
    <w:multiLevelType w:val="hybridMultilevel"/>
    <w:tmpl w:val="6F3263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C012474"/>
    <w:multiLevelType w:val="hybridMultilevel"/>
    <w:tmpl w:val="57D85AC8"/>
    <w:lvl w:ilvl="0" w:tplc="03BA7296">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10"/>
  </w:num>
  <w:num w:numId="4">
    <w:abstractNumId w:val="19"/>
  </w:num>
  <w:num w:numId="5">
    <w:abstractNumId w:val="4"/>
  </w:num>
  <w:num w:numId="6">
    <w:abstractNumId w:val="14"/>
  </w:num>
  <w:num w:numId="7">
    <w:abstractNumId w:val="11"/>
  </w:num>
  <w:num w:numId="8">
    <w:abstractNumId w:val="1"/>
  </w:num>
  <w:num w:numId="9">
    <w:abstractNumId w:val="20"/>
  </w:num>
  <w:num w:numId="10">
    <w:abstractNumId w:val="17"/>
  </w:num>
  <w:num w:numId="11">
    <w:abstractNumId w:val="13"/>
  </w:num>
  <w:num w:numId="12">
    <w:abstractNumId w:val="21"/>
  </w:num>
  <w:num w:numId="13">
    <w:abstractNumId w:val="25"/>
  </w:num>
  <w:num w:numId="14">
    <w:abstractNumId w:val="26"/>
  </w:num>
  <w:num w:numId="15">
    <w:abstractNumId w:val="7"/>
  </w:num>
  <w:num w:numId="16">
    <w:abstractNumId w:val="6"/>
  </w:num>
  <w:num w:numId="17">
    <w:abstractNumId w:val="8"/>
  </w:num>
  <w:num w:numId="18">
    <w:abstractNumId w:val="23"/>
  </w:num>
  <w:num w:numId="19">
    <w:abstractNumId w:val="0"/>
  </w:num>
  <w:num w:numId="20">
    <w:abstractNumId w:val="9"/>
  </w:num>
  <w:num w:numId="21">
    <w:abstractNumId w:val="12"/>
  </w:num>
  <w:num w:numId="22">
    <w:abstractNumId w:val="2"/>
  </w:num>
  <w:num w:numId="23">
    <w:abstractNumId w:val="2"/>
  </w:num>
  <w:num w:numId="24">
    <w:abstractNumId w:val="22"/>
  </w:num>
  <w:num w:numId="25">
    <w:abstractNumId w:val="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2"/>
  </w:num>
  <w:num w:numId="29">
    <w:abstractNumId w:val="15"/>
  </w:num>
  <w:num w:numId="3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B9"/>
    <w:rsid w:val="000003DF"/>
    <w:rsid w:val="0000338F"/>
    <w:rsid w:val="00004C31"/>
    <w:rsid w:val="00005136"/>
    <w:rsid w:val="00005B43"/>
    <w:rsid w:val="00011336"/>
    <w:rsid w:val="00011E79"/>
    <w:rsid w:val="000126FD"/>
    <w:rsid w:val="00013E10"/>
    <w:rsid w:val="000143D2"/>
    <w:rsid w:val="00014B93"/>
    <w:rsid w:val="00014E1B"/>
    <w:rsid w:val="00015243"/>
    <w:rsid w:val="0001533F"/>
    <w:rsid w:val="000158BB"/>
    <w:rsid w:val="00017B86"/>
    <w:rsid w:val="00021CD8"/>
    <w:rsid w:val="00022622"/>
    <w:rsid w:val="00023143"/>
    <w:rsid w:val="0002327B"/>
    <w:rsid w:val="00024BBD"/>
    <w:rsid w:val="000262AE"/>
    <w:rsid w:val="00026950"/>
    <w:rsid w:val="00026B30"/>
    <w:rsid w:val="00030FAE"/>
    <w:rsid w:val="000342EF"/>
    <w:rsid w:val="0003682B"/>
    <w:rsid w:val="00036901"/>
    <w:rsid w:val="000370CB"/>
    <w:rsid w:val="00037DAC"/>
    <w:rsid w:val="000409EA"/>
    <w:rsid w:val="00040D53"/>
    <w:rsid w:val="00044087"/>
    <w:rsid w:val="00044630"/>
    <w:rsid w:val="0004483D"/>
    <w:rsid w:val="00050F5B"/>
    <w:rsid w:val="000522AD"/>
    <w:rsid w:val="00052AC8"/>
    <w:rsid w:val="00052C32"/>
    <w:rsid w:val="000530D3"/>
    <w:rsid w:val="00054249"/>
    <w:rsid w:val="00054386"/>
    <w:rsid w:val="00054B7B"/>
    <w:rsid w:val="00054CBB"/>
    <w:rsid w:val="00055D0C"/>
    <w:rsid w:val="000563D4"/>
    <w:rsid w:val="00056EDF"/>
    <w:rsid w:val="00060357"/>
    <w:rsid w:val="000604FF"/>
    <w:rsid w:val="0006081E"/>
    <w:rsid w:val="00062789"/>
    <w:rsid w:val="000630E4"/>
    <w:rsid w:val="000631EC"/>
    <w:rsid w:val="00063A17"/>
    <w:rsid w:val="0006418C"/>
    <w:rsid w:val="000653B7"/>
    <w:rsid w:val="00065C23"/>
    <w:rsid w:val="00066DA8"/>
    <w:rsid w:val="00066EFF"/>
    <w:rsid w:val="000675D3"/>
    <w:rsid w:val="000676A0"/>
    <w:rsid w:val="0007154E"/>
    <w:rsid w:val="00071AC2"/>
    <w:rsid w:val="00072243"/>
    <w:rsid w:val="0007229D"/>
    <w:rsid w:val="0007302F"/>
    <w:rsid w:val="0007495C"/>
    <w:rsid w:val="00075121"/>
    <w:rsid w:val="0007644D"/>
    <w:rsid w:val="00076647"/>
    <w:rsid w:val="00076AA6"/>
    <w:rsid w:val="00076EE3"/>
    <w:rsid w:val="00077F5B"/>
    <w:rsid w:val="0008149B"/>
    <w:rsid w:val="000824C9"/>
    <w:rsid w:val="00082633"/>
    <w:rsid w:val="00083233"/>
    <w:rsid w:val="000846F4"/>
    <w:rsid w:val="0008493A"/>
    <w:rsid w:val="00085399"/>
    <w:rsid w:val="00087D28"/>
    <w:rsid w:val="00090E57"/>
    <w:rsid w:val="00092571"/>
    <w:rsid w:val="0009261C"/>
    <w:rsid w:val="00093738"/>
    <w:rsid w:val="000940BF"/>
    <w:rsid w:val="0009439C"/>
    <w:rsid w:val="000948AB"/>
    <w:rsid w:val="00095202"/>
    <w:rsid w:val="00095381"/>
    <w:rsid w:val="000979EC"/>
    <w:rsid w:val="000A121E"/>
    <w:rsid w:val="000A15C0"/>
    <w:rsid w:val="000A1747"/>
    <w:rsid w:val="000A19D6"/>
    <w:rsid w:val="000A3238"/>
    <w:rsid w:val="000A368F"/>
    <w:rsid w:val="000A49D4"/>
    <w:rsid w:val="000A6DE4"/>
    <w:rsid w:val="000A769D"/>
    <w:rsid w:val="000B089E"/>
    <w:rsid w:val="000B1C2E"/>
    <w:rsid w:val="000B3D44"/>
    <w:rsid w:val="000B447D"/>
    <w:rsid w:val="000B5409"/>
    <w:rsid w:val="000B6626"/>
    <w:rsid w:val="000B69AF"/>
    <w:rsid w:val="000C0E40"/>
    <w:rsid w:val="000C187F"/>
    <w:rsid w:val="000C27B0"/>
    <w:rsid w:val="000C2F08"/>
    <w:rsid w:val="000C4F4A"/>
    <w:rsid w:val="000C51B8"/>
    <w:rsid w:val="000C52F4"/>
    <w:rsid w:val="000C581C"/>
    <w:rsid w:val="000C5ADA"/>
    <w:rsid w:val="000C5F1A"/>
    <w:rsid w:val="000C7774"/>
    <w:rsid w:val="000D0AED"/>
    <w:rsid w:val="000D3EA8"/>
    <w:rsid w:val="000D57C3"/>
    <w:rsid w:val="000D72F6"/>
    <w:rsid w:val="000E01DE"/>
    <w:rsid w:val="000E0722"/>
    <w:rsid w:val="000E197E"/>
    <w:rsid w:val="000E1E47"/>
    <w:rsid w:val="000E2224"/>
    <w:rsid w:val="000E2A30"/>
    <w:rsid w:val="000E2F27"/>
    <w:rsid w:val="000E7E85"/>
    <w:rsid w:val="000E7FBB"/>
    <w:rsid w:val="000F1471"/>
    <w:rsid w:val="000F294B"/>
    <w:rsid w:val="000F48CC"/>
    <w:rsid w:val="000F50EC"/>
    <w:rsid w:val="000F600B"/>
    <w:rsid w:val="000F65E6"/>
    <w:rsid w:val="000F6634"/>
    <w:rsid w:val="000F67E3"/>
    <w:rsid w:val="000F7737"/>
    <w:rsid w:val="00101040"/>
    <w:rsid w:val="001012AE"/>
    <w:rsid w:val="001023D8"/>
    <w:rsid w:val="0010329A"/>
    <w:rsid w:val="001040CF"/>
    <w:rsid w:val="00104CFA"/>
    <w:rsid w:val="00107235"/>
    <w:rsid w:val="00110CFD"/>
    <w:rsid w:val="00110E8B"/>
    <w:rsid w:val="001147C3"/>
    <w:rsid w:val="00115B28"/>
    <w:rsid w:val="00117150"/>
    <w:rsid w:val="00117A52"/>
    <w:rsid w:val="00123E25"/>
    <w:rsid w:val="001240BE"/>
    <w:rsid w:val="0012684F"/>
    <w:rsid w:val="001273D3"/>
    <w:rsid w:val="0012793F"/>
    <w:rsid w:val="00130DC8"/>
    <w:rsid w:val="001313E6"/>
    <w:rsid w:val="00131511"/>
    <w:rsid w:val="00132C0F"/>
    <w:rsid w:val="00133645"/>
    <w:rsid w:val="00134446"/>
    <w:rsid w:val="00134468"/>
    <w:rsid w:val="00134AD3"/>
    <w:rsid w:val="001365CE"/>
    <w:rsid w:val="00136927"/>
    <w:rsid w:val="00136C40"/>
    <w:rsid w:val="00137943"/>
    <w:rsid w:val="001408BD"/>
    <w:rsid w:val="00140CD4"/>
    <w:rsid w:val="00141CCA"/>
    <w:rsid w:val="00142DEB"/>
    <w:rsid w:val="0014329D"/>
    <w:rsid w:val="001435E4"/>
    <w:rsid w:val="001436F1"/>
    <w:rsid w:val="001438C7"/>
    <w:rsid w:val="00143AB5"/>
    <w:rsid w:val="0014422A"/>
    <w:rsid w:val="001446D8"/>
    <w:rsid w:val="00144A3E"/>
    <w:rsid w:val="00145CE2"/>
    <w:rsid w:val="00147645"/>
    <w:rsid w:val="0014766F"/>
    <w:rsid w:val="00147AF2"/>
    <w:rsid w:val="00147B3C"/>
    <w:rsid w:val="00151232"/>
    <w:rsid w:val="00151FE3"/>
    <w:rsid w:val="00152971"/>
    <w:rsid w:val="00153A74"/>
    <w:rsid w:val="00154DF8"/>
    <w:rsid w:val="00155C65"/>
    <w:rsid w:val="00155FE4"/>
    <w:rsid w:val="0015666C"/>
    <w:rsid w:val="00156F3C"/>
    <w:rsid w:val="00156F83"/>
    <w:rsid w:val="00157011"/>
    <w:rsid w:val="0015735C"/>
    <w:rsid w:val="00161A7A"/>
    <w:rsid w:val="00162C26"/>
    <w:rsid w:val="001630E5"/>
    <w:rsid w:val="001643BA"/>
    <w:rsid w:val="00164623"/>
    <w:rsid w:val="00165480"/>
    <w:rsid w:val="00165F0C"/>
    <w:rsid w:val="00165FA7"/>
    <w:rsid w:val="00166828"/>
    <w:rsid w:val="00167F49"/>
    <w:rsid w:val="001709C2"/>
    <w:rsid w:val="001709EE"/>
    <w:rsid w:val="00172966"/>
    <w:rsid w:val="00172A2E"/>
    <w:rsid w:val="001732A5"/>
    <w:rsid w:val="00173AC3"/>
    <w:rsid w:val="00173E35"/>
    <w:rsid w:val="00174690"/>
    <w:rsid w:val="0017477A"/>
    <w:rsid w:val="00174E17"/>
    <w:rsid w:val="001756BA"/>
    <w:rsid w:val="001767FE"/>
    <w:rsid w:val="00181CB6"/>
    <w:rsid w:val="0018387F"/>
    <w:rsid w:val="001864CB"/>
    <w:rsid w:val="00187162"/>
    <w:rsid w:val="0018797B"/>
    <w:rsid w:val="00187CCD"/>
    <w:rsid w:val="00192729"/>
    <w:rsid w:val="001932DA"/>
    <w:rsid w:val="00193D6C"/>
    <w:rsid w:val="0019407C"/>
    <w:rsid w:val="0019498E"/>
    <w:rsid w:val="0019578F"/>
    <w:rsid w:val="00195889"/>
    <w:rsid w:val="00195D6A"/>
    <w:rsid w:val="0019674E"/>
    <w:rsid w:val="00196A7C"/>
    <w:rsid w:val="001A049A"/>
    <w:rsid w:val="001A3D86"/>
    <w:rsid w:val="001A46A4"/>
    <w:rsid w:val="001A56C3"/>
    <w:rsid w:val="001A60AC"/>
    <w:rsid w:val="001A68C0"/>
    <w:rsid w:val="001A6948"/>
    <w:rsid w:val="001A7D6B"/>
    <w:rsid w:val="001B3D32"/>
    <w:rsid w:val="001B4144"/>
    <w:rsid w:val="001B4BF7"/>
    <w:rsid w:val="001B4EE9"/>
    <w:rsid w:val="001B633C"/>
    <w:rsid w:val="001B6FC8"/>
    <w:rsid w:val="001C44BF"/>
    <w:rsid w:val="001C48CE"/>
    <w:rsid w:val="001C62FF"/>
    <w:rsid w:val="001C6F4A"/>
    <w:rsid w:val="001D0155"/>
    <w:rsid w:val="001D0AE5"/>
    <w:rsid w:val="001D2213"/>
    <w:rsid w:val="001D2AED"/>
    <w:rsid w:val="001D2B33"/>
    <w:rsid w:val="001D2B4B"/>
    <w:rsid w:val="001D6F24"/>
    <w:rsid w:val="001D71D2"/>
    <w:rsid w:val="001E10AC"/>
    <w:rsid w:val="001E1EC4"/>
    <w:rsid w:val="001E39B6"/>
    <w:rsid w:val="001E3A37"/>
    <w:rsid w:val="001E63A6"/>
    <w:rsid w:val="001F17D8"/>
    <w:rsid w:val="001F25F8"/>
    <w:rsid w:val="001F4222"/>
    <w:rsid w:val="001F45CA"/>
    <w:rsid w:val="001F5778"/>
    <w:rsid w:val="001F577B"/>
    <w:rsid w:val="001F6063"/>
    <w:rsid w:val="001F7704"/>
    <w:rsid w:val="002026BD"/>
    <w:rsid w:val="00204081"/>
    <w:rsid w:val="00205377"/>
    <w:rsid w:val="00207CBD"/>
    <w:rsid w:val="00212446"/>
    <w:rsid w:val="002149C4"/>
    <w:rsid w:val="0021551B"/>
    <w:rsid w:val="00216406"/>
    <w:rsid w:val="0021648C"/>
    <w:rsid w:val="00217DC1"/>
    <w:rsid w:val="00220A05"/>
    <w:rsid w:val="00220EB0"/>
    <w:rsid w:val="002214AF"/>
    <w:rsid w:val="002217AC"/>
    <w:rsid w:val="00222E0C"/>
    <w:rsid w:val="00223E55"/>
    <w:rsid w:val="0022582C"/>
    <w:rsid w:val="0022672A"/>
    <w:rsid w:val="0022751A"/>
    <w:rsid w:val="002329E5"/>
    <w:rsid w:val="00233C35"/>
    <w:rsid w:val="00236427"/>
    <w:rsid w:val="002372F7"/>
    <w:rsid w:val="00241885"/>
    <w:rsid w:val="002421DC"/>
    <w:rsid w:val="00242D41"/>
    <w:rsid w:val="00242FFF"/>
    <w:rsid w:val="00243C65"/>
    <w:rsid w:val="00243F76"/>
    <w:rsid w:val="002445FF"/>
    <w:rsid w:val="00244B76"/>
    <w:rsid w:val="002476DE"/>
    <w:rsid w:val="00247ED5"/>
    <w:rsid w:val="00252432"/>
    <w:rsid w:val="00253DF0"/>
    <w:rsid w:val="00255C38"/>
    <w:rsid w:val="00255F02"/>
    <w:rsid w:val="0026115E"/>
    <w:rsid w:val="00261417"/>
    <w:rsid w:val="002619B0"/>
    <w:rsid w:val="002662EE"/>
    <w:rsid w:val="0026638E"/>
    <w:rsid w:val="002663B0"/>
    <w:rsid w:val="0026724C"/>
    <w:rsid w:val="00270A97"/>
    <w:rsid w:val="00271481"/>
    <w:rsid w:val="0027210C"/>
    <w:rsid w:val="00272765"/>
    <w:rsid w:val="002743AF"/>
    <w:rsid w:val="00274F66"/>
    <w:rsid w:val="0027588A"/>
    <w:rsid w:val="00277996"/>
    <w:rsid w:val="00277B5D"/>
    <w:rsid w:val="00277F0C"/>
    <w:rsid w:val="00280126"/>
    <w:rsid w:val="00281241"/>
    <w:rsid w:val="002812B8"/>
    <w:rsid w:val="0028153F"/>
    <w:rsid w:val="00282B4C"/>
    <w:rsid w:val="0028348B"/>
    <w:rsid w:val="00283C8A"/>
    <w:rsid w:val="00284690"/>
    <w:rsid w:val="00284EDB"/>
    <w:rsid w:val="00285799"/>
    <w:rsid w:val="00285C43"/>
    <w:rsid w:val="002873C2"/>
    <w:rsid w:val="00290DFC"/>
    <w:rsid w:val="002920B8"/>
    <w:rsid w:val="00292811"/>
    <w:rsid w:val="0029323E"/>
    <w:rsid w:val="00296687"/>
    <w:rsid w:val="00296AEA"/>
    <w:rsid w:val="00296FCF"/>
    <w:rsid w:val="002970AF"/>
    <w:rsid w:val="00297A1C"/>
    <w:rsid w:val="00297E2A"/>
    <w:rsid w:val="002A0F03"/>
    <w:rsid w:val="002A161B"/>
    <w:rsid w:val="002A302D"/>
    <w:rsid w:val="002A31D4"/>
    <w:rsid w:val="002A35EF"/>
    <w:rsid w:val="002A38D9"/>
    <w:rsid w:val="002A460A"/>
    <w:rsid w:val="002A4687"/>
    <w:rsid w:val="002A4F9C"/>
    <w:rsid w:val="002A5FC7"/>
    <w:rsid w:val="002A6228"/>
    <w:rsid w:val="002A719C"/>
    <w:rsid w:val="002B2127"/>
    <w:rsid w:val="002B2740"/>
    <w:rsid w:val="002B2BFA"/>
    <w:rsid w:val="002B2D30"/>
    <w:rsid w:val="002B2FB1"/>
    <w:rsid w:val="002B3C84"/>
    <w:rsid w:val="002B3E58"/>
    <w:rsid w:val="002B5548"/>
    <w:rsid w:val="002B600A"/>
    <w:rsid w:val="002B78DF"/>
    <w:rsid w:val="002C262F"/>
    <w:rsid w:val="002C3335"/>
    <w:rsid w:val="002C4AC2"/>
    <w:rsid w:val="002C5747"/>
    <w:rsid w:val="002C5943"/>
    <w:rsid w:val="002C5B40"/>
    <w:rsid w:val="002C65E1"/>
    <w:rsid w:val="002C675B"/>
    <w:rsid w:val="002C70E4"/>
    <w:rsid w:val="002C77D4"/>
    <w:rsid w:val="002D3BD7"/>
    <w:rsid w:val="002D4A55"/>
    <w:rsid w:val="002D5887"/>
    <w:rsid w:val="002E0D9C"/>
    <w:rsid w:val="002E1556"/>
    <w:rsid w:val="002E2B1E"/>
    <w:rsid w:val="002E2DA2"/>
    <w:rsid w:val="002E2EBE"/>
    <w:rsid w:val="002E55A3"/>
    <w:rsid w:val="002E5D10"/>
    <w:rsid w:val="002F1AD7"/>
    <w:rsid w:val="002F286B"/>
    <w:rsid w:val="002F2FDB"/>
    <w:rsid w:val="002F577A"/>
    <w:rsid w:val="002F58BF"/>
    <w:rsid w:val="002F58DB"/>
    <w:rsid w:val="002F6D22"/>
    <w:rsid w:val="00301A60"/>
    <w:rsid w:val="003022B3"/>
    <w:rsid w:val="00302D8C"/>
    <w:rsid w:val="00303354"/>
    <w:rsid w:val="00303737"/>
    <w:rsid w:val="00303828"/>
    <w:rsid w:val="00304426"/>
    <w:rsid w:val="003052AD"/>
    <w:rsid w:val="0030645A"/>
    <w:rsid w:val="00306CBF"/>
    <w:rsid w:val="00307158"/>
    <w:rsid w:val="0031138D"/>
    <w:rsid w:val="003115B0"/>
    <w:rsid w:val="003123A1"/>
    <w:rsid w:val="00314101"/>
    <w:rsid w:val="0031429E"/>
    <w:rsid w:val="00315698"/>
    <w:rsid w:val="003163C0"/>
    <w:rsid w:val="00316E58"/>
    <w:rsid w:val="003172B2"/>
    <w:rsid w:val="003173F7"/>
    <w:rsid w:val="00320EE8"/>
    <w:rsid w:val="00321854"/>
    <w:rsid w:val="00323411"/>
    <w:rsid w:val="00325B94"/>
    <w:rsid w:val="0032744E"/>
    <w:rsid w:val="00331223"/>
    <w:rsid w:val="00331F4C"/>
    <w:rsid w:val="0033201C"/>
    <w:rsid w:val="00332274"/>
    <w:rsid w:val="00332CDC"/>
    <w:rsid w:val="00332FB8"/>
    <w:rsid w:val="00333525"/>
    <w:rsid w:val="003348FB"/>
    <w:rsid w:val="00336064"/>
    <w:rsid w:val="0033617C"/>
    <w:rsid w:val="00336193"/>
    <w:rsid w:val="00341770"/>
    <w:rsid w:val="00345D0E"/>
    <w:rsid w:val="003466A6"/>
    <w:rsid w:val="00350A15"/>
    <w:rsid w:val="00351424"/>
    <w:rsid w:val="00351D1A"/>
    <w:rsid w:val="0035234C"/>
    <w:rsid w:val="003534B1"/>
    <w:rsid w:val="003537AC"/>
    <w:rsid w:val="00353EF7"/>
    <w:rsid w:val="0035613C"/>
    <w:rsid w:val="00356461"/>
    <w:rsid w:val="0035685D"/>
    <w:rsid w:val="00356B8E"/>
    <w:rsid w:val="00357FB2"/>
    <w:rsid w:val="00360242"/>
    <w:rsid w:val="00360B41"/>
    <w:rsid w:val="00360C35"/>
    <w:rsid w:val="00360D6A"/>
    <w:rsid w:val="00363864"/>
    <w:rsid w:val="00364B12"/>
    <w:rsid w:val="00366193"/>
    <w:rsid w:val="00366358"/>
    <w:rsid w:val="00367789"/>
    <w:rsid w:val="00367E6B"/>
    <w:rsid w:val="00367F84"/>
    <w:rsid w:val="003717B0"/>
    <w:rsid w:val="00371F19"/>
    <w:rsid w:val="00372614"/>
    <w:rsid w:val="00373C81"/>
    <w:rsid w:val="00374324"/>
    <w:rsid w:val="00374BF8"/>
    <w:rsid w:val="0037547C"/>
    <w:rsid w:val="0037556E"/>
    <w:rsid w:val="00375615"/>
    <w:rsid w:val="003760D3"/>
    <w:rsid w:val="00376243"/>
    <w:rsid w:val="0037673C"/>
    <w:rsid w:val="00376919"/>
    <w:rsid w:val="003776E6"/>
    <w:rsid w:val="0038209E"/>
    <w:rsid w:val="00382AE2"/>
    <w:rsid w:val="00382C0F"/>
    <w:rsid w:val="00383DCE"/>
    <w:rsid w:val="00383ECE"/>
    <w:rsid w:val="00385581"/>
    <w:rsid w:val="003859FA"/>
    <w:rsid w:val="0038699D"/>
    <w:rsid w:val="0038774F"/>
    <w:rsid w:val="0039341A"/>
    <w:rsid w:val="00394AD4"/>
    <w:rsid w:val="003A0142"/>
    <w:rsid w:val="003A07BD"/>
    <w:rsid w:val="003A15E0"/>
    <w:rsid w:val="003A1AB0"/>
    <w:rsid w:val="003A1C5B"/>
    <w:rsid w:val="003A20E6"/>
    <w:rsid w:val="003A2882"/>
    <w:rsid w:val="003A5098"/>
    <w:rsid w:val="003A5C51"/>
    <w:rsid w:val="003A668E"/>
    <w:rsid w:val="003B1CB6"/>
    <w:rsid w:val="003B2128"/>
    <w:rsid w:val="003B24B6"/>
    <w:rsid w:val="003B2EE4"/>
    <w:rsid w:val="003B3772"/>
    <w:rsid w:val="003B3AAF"/>
    <w:rsid w:val="003B4E07"/>
    <w:rsid w:val="003B64C7"/>
    <w:rsid w:val="003B6CB6"/>
    <w:rsid w:val="003B7509"/>
    <w:rsid w:val="003B7C66"/>
    <w:rsid w:val="003C0EA7"/>
    <w:rsid w:val="003C0F71"/>
    <w:rsid w:val="003C29CC"/>
    <w:rsid w:val="003C2E0B"/>
    <w:rsid w:val="003C317F"/>
    <w:rsid w:val="003C40A1"/>
    <w:rsid w:val="003C5C2B"/>
    <w:rsid w:val="003C5E37"/>
    <w:rsid w:val="003C6BBC"/>
    <w:rsid w:val="003C6E62"/>
    <w:rsid w:val="003D1EA0"/>
    <w:rsid w:val="003D1FE2"/>
    <w:rsid w:val="003D4445"/>
    <w:rsid w:val="003D61C9"/>
    <w:rsid w:val="003D61D3"/>
    <w:rsid w:val="003D63B5"/>
    <w:rsid w:val="003D6731"/>
    <w:rsid w:val="003E0E6F"/>
    <w:rsid w:val="003E1FBB"/>
    <w:rsid w:val="003E4869"/>
    <w:rsid w:val="003E4B7E"/>
    <w:rsid w:val="003E58BF"/>
    <w:rsid w:val="003E5EA4"/>
    <w:rsid w:val="003E655F"/>
    <w:rsid w:val="003E746B"/>
    <w:rsid w:val="003E7F82"/>
    <w:rsid w:val="003F0577"/>
    <w:rsid w:val="003F2F79"/>
    <w:rsid w:val="003F3DCC"/>
    <w:rsid w:val="003F55C8"/>
    <w:rsid w:val="003F6DB5"/>
    <w:rsid w:val="003F71CE"/>
    <w:rsid w:val="00403AE4"/>
    <w:rsid w:val="00404C01"/>
    <w:rsid w:val="00404E19"/>
    <w:rsid w:val="004056B4"/>
    <w:rsid w:val="00405D02"/>
    <w:rsid w:val="00407144"/>
    <w:rsid w:val="00414B27"/>
    <w:rsid w:val="004150BE"/>
    <w:rsid w:val="004150D7"/>
    <w:rsid w:val="004158DA"/>
    <w:rsid w:val="00417AF6"/>
    <w:rsid w:val="00417C76"/>
    <w:rsid w:val="00421530"/>
    <w:rsid w:val="0042235A"/>
    <w:rsid w:val="00424291"/>
    <w:rsid w:val="00426F1A"/>
    <w:rsid w:val="00427BD9"/>
    <w:rsid w:val="00427CA6"/>
    <w:rsid w:val="00427F1A"/>
    <w:rsid w:val="0043213F"/>
    <w:rsid w:val="004353B5"/>
    <w:rsid w:val="004400DE"/>
    <w:rsid w:val="00441564"/>
    <w:rsid w:val="00444288"/>
    <w:rsid w:val="004442EB"/>
    <w:rsid w:val="00445C3C"/>
    <w:rsid w:val="00446954"/>
    <w:rsid w:val="00450C9E"/>
    <w:rsid w:val="00451682"/>
    <w:rsid w:val="0045334F"/>
    <w:rsid w:val="00454AEF"/>
    <w:rsid w:val="00454B42"/>
    <w:rsid w:val="004561FC"/>
    <w:rsid w:val="004573A6"/>
    <w:rsid w:val="00460590"/>
    <w:rsid w:val="00460840"/>
    <w:rsid w:val="00460D17"/>
    <w:rsid w:val="00461C72"/>
    <w:rsid w:val="0046240F"/>
    <w:rsid w:val="00464175"/>
    <w:rsid w:val="0046419A"/>
    <w:rsid w:val="004648DB"/>
    <w:rsid w:val="00466F66"/>
    <w:rsid w:val="00467A7D"/>
    <w:rsid w:val="0047095F"/>
    <w:rsid w:val="0047126E"/>
    <w:rsid w:val="0047177D"/>
    <w:rsid w:val="00471A97"/>
    <w:rsid w:val="00472867"/>
    <w:rsid w:val="0047301D"/>
    <w:rsid w:val="004754A1"/>
    <w:rsid w:val="00475F94"/>
    <w:rsid w:val="00475FD9"/>
    <w:rsid w:val="0048021C"/>
    <w:rsid w:val="004835FA"/>
    <w:rsid w:val="00483E39"/>
    <w:rsid w:val="0048493F"/>
    <w:rsid w:val="00486C45"/>
    <w:rsid w:val="0048729E"/>
    <w:rsid w:val="004877B8"/>
    <w:rsid w:val="004902DE"/>
    <w:rsid w:val="004904FB"/>
    <w:rsid w:val="0049077A"/>
    <w:rsid w:val="00492629"/>
    <w:rsid w:val="00492AAC"/>
    <w:rsid w:val="00492B37"/>
    <w:rsid w:val="00493147"/>
    <w:rsid w:val="00493EB5"/>
    <w:rsid w:val="00496553"/>
    <w:rsid w:val="004967EE"/>
    <w:rsid w:val="00496EDF"/>
    <w:rsid w:val="004A04E4"/>
    <w:rsid w:val="004A056D"/>
    <w:rsid w:val="004A0EE6"/>
    <w:rsid w:val="004A2491"/>
    <w:rsid w:val="004A440F"/>
    <w:rsid w:val="004A4AFF"/>
    <w:rsid w:val="004A5745"/>
    <w:rsid w:val="004A5BEC"/>
    <w:rsid w:val="004A6E46"/>
    <w:rsid w:val="004B10B3"/>
    <w:rsid w:val="004B1611"/>
    <w:rsid w:val="004B2D70"/>
    <w:rsid w:val="004B325C"/>
    <w:rsid w:val="004B337E"/>
    <w:rsid w:val="004B5460"/>
    <w:rsid w:val="004B5658"/>
    <w:rsid w:val="004B6F51"/>
    <w:rsid w:val="004C0EBC"/>
    <w:rsid w:val="004C260E"/>
    <w:rsid w:val="004C2B21"/>
    <w:rsid w:val="004C64A6"/>
    <w:rsid w:val="004C748F"/>
    <w:rsid w:val="004C7CD0"/>
    <w:rsid w:val="004D38BA"/>
    <w:rsid w:val="004D4741"/>
    <w:rsid w:val="004D4F25"/>
    <w:rsid w:val="004D5794"/>
    <w:rsid w:val="004D63C0"/>
    <w:rsid w:val="004D69B2"/>
    <w:rsid w:val="004D712C"/>
    <w:rsid w:val="004D78E5"/>
    <w:rsid w:val="004E0453"/>
    <w:rsid w:val="004E4061"/>
    <w:rsid w:val="004E50B6"/>
    <w:rsid w:val="004E5544"/>
    <w:rsid w:val="004E6141"/>
    <w:rsid w:val="004F0A3A"/>
    <w:rsid w:val="004F29D0"/>
    <w:rsid w:val="004F4CD7"/>
    <w:rsid w:val="004F5FCC"/>
    <w:rsid w:val="004F6B19"/>
    <w:rsid w:val="004F6C8B"/>
    <w:rsid w:val="004F76D4"/>
    <w:rsid w:val="004F7A98"/>
    <w:rsid w:val="00500761"/>
    <w:rsid w:val="00500CE5"/>
    <w:rsid w:val="00500D97"/>
    <w:rsid w:val="00502895"/>
    <w:rsid w:val="0050368E"/>
    <w:rsid w:val="005039FE"/>
    <w:rsid w:val="00504308"/>
    <w:rsid w:val="0050447C"/>
    <w:rsid w:val="005048B3"/>
    <w:rsid w:val="00504A44"/>
    <w:rsid w:val="005065FE"/>
    <w:rsid w:val="0051273E"/>
    <w:rsid w:val="00512853"/>
    <w:rsid w:val="0051300F"/>
    <w:rsid w:val="005135A2"/>
    <w:rsid w:val="00514BF7"/>
    <w:rsid w:val="00515C3B"/>
    <w:rsid w:val="0051687A"/>
    <w:rsid w:val="00517331"/>
    <w:rsid w:val="005178F6"/>
    <w:rsid w:val="0052476E"/>
    <w:rsid w:val="00524C68"/>
    <w:rsid w:val="00524DEC"/>
    <w:rsid w:val="00524F46"/>
    <w:rsid w:val="005250EA"/>
    <w:rsid w:val="0052559B"/>
    <w:rsid w:val="00525E30"/>
    <w:rsid w:val="0052684B"/>
    <w:rsid w:val="00526F2D"/>
    <w:rsid w:val="005273E9"/>
    <w:rsid w:val="00530593"/>
    <w:rsid w:val="0053313A"/>
    <w:rsid w:val="005331B7"/>
    <w:rsid w:val="00533274"/>
    <w:rsid w:val="00535DC5"/>
    <w:rsid w:val="00536BA8"/>
    <w:rsid w:val="00537D7D"/>
    <w:rsid w:val="005405ED"/>
    <w:rsid w:val="005441D9"/>
    <w:rsid w:val="005444F5"/>
    <w:rsid w:val="0054664E"/>
    <w:rsid w:val="00546841"/>
    <w:rsid w:val="005472D3"/>
    <w:rsid w:val="00547AF7"/>
    <w:rsid w:val="0055022C"/>
    <w:rsid w:val="00550617"/>
    <w:rsid w:val="0055313E"/>
    <w:rsid w:val="005547B6"/>
    <w:rsid w:val="00554A2F"/>
    <w:rsid w:val="00555AC6"/>
    <w:rsid w:val="00555CE9"/>
    <w:rsid w:val="00556645"/>
    <w:rsid w:val="00556C5B"/>
    <w:rsid w:val="0055704B"/>
    <w:rsid w:val="00557330"/>
    <w:rsid w:val="0056022F"/>
    <w:rsid w:val="005628A1"/>
    <w:rsid w:val="00562ECB"/>
    <w:rsid w:val="00563072"/>
    <w:rsid w:val="00563FA7"/>
    <w:rsid w:val="00564755"/>
    <w:rsid w:val="00564867"/>
    <w:rsid w:val="00566BAB"/>
    <w:rsid w:val="005709B1"/>
    <w:rsid w:val="005711DB"/>
    <w:rsid w:val="0057146E"/>
    <w:rsid w:val="005730C9"/>
    <w:rsid w:val="00573F53"/>
    <w:rsid w:val="005778BB"/>
    <w:rsid w:val="00580732"/>
    <w:rsid w:val="0058084E"/>
    <w:rsid w:val="00580C33"/>
    <w:rsid w:val="005811CF"/>
    <w:rsid w:val="005817DF"/>
    <w:rsid w:val="0058248B"/>
    <w:rsid w:val="005841C0"/>
    <w:rsid w:val="00586807"/>
    <w:rsid w:val="00586CAF"/>
    <w:rsid w:val="005875D0"/>
    <w:rsid w:val="00587A5C"/>
    <w:rsid w:val="0059028D"/>
    <w:rsid w:val="00590C52"/>
    <w:rsid w:val="005925FD"/>
    <w:rsid w:val="00593D5A"/>
    <w:rsid w:val="00593E57"/>
    <w:rsid w:val="00594237"/>
    <w:rsid w:val="0059475C"/>
    <w:rsid w:val="00595159"/>
    <w:rsid w:val="00595B6E"/>
    <w:rsid w:val="00597F69"/>
    <w:rsid w:val="005A0400"/>
    <w:rsid w:val="005A066B"/>
    <w:rsid w:val="005A22EB"/>
    <w:rsid w:val="005A3208"/>
    <w:rsid w:val="005A3589"/>
    <w:rsid w:val="005A4B52"/>
    <w:rsid w:val="005A4D60"/>
    <w:rsid w:val="005A5EEE"/>
    <w:rsid w:val="005A6029"/>
    <w:rsid w:val="005A6F7E"/>
    <w:rsid w:val="005B001E"/>
    <w:rsid w:val="005B28AD"/>
    <w:rsid w:val="005B3D19"/>
    <w:rsid w:val="005B6D00"/>
    <w:rsid w:val="005B7A32"/>
    <w:rsid w:val="005B7B97"/>
    <w:rsid w:val="005B7EA6"/>
    <w:rsid w:val="005B7FBD"/>
    <w:rsid w:val="005C1D79"/>
    <w:rsid w:val="005C24D0"/>
    <w:rsid w:val="005C2708"/>
    <w:rsid w:val="005C3394"/>
    <w:rsid w:val="005C3BA4"/>
    <w:rsid w:val="005C43C0"/>
    <w:rsid w:val="005C53DD"/>
    <w:rsid w:val="005C74EC"/>
    <w:rsid w:val="005C7572"/>
    <w:rsid w:val="005D2FF4"/>
    <w:rsid w:val="005D38A2"/>
    <w:rsid w:val="005D4F42"/>
    <w:rsid w:val="005D50FB"/>
    <w:rsid w:val="005E21F3"/>
    <w:rsid w:val="005F07FB"/>
    <w:rsid w:val="005F11C0"/>
    <w:rsid w:val="005F3DDA"/>
    <w:rsid w:val="005F427F"/>
    <w:rsid w:val="005F5893"/>
    <w:rsid w:val="005F5DFA"/>
    <w:rsid w:val="005F749E"/>
    <w:rsid w:val="005F7ED9"/>
    <w:rsid w:val="00602492"/>
    <w:rsid w:val="0060343D"/>
    <w:rsid w:val="00603815"/>
    <w:rsid w:val="00604FBF"/>
    <w:rsid w:val="00605435"/>
    <w:rsid w:val="00605C73"/>
    <w:rsid w:val="00606A14"/>
    <w:rsid w:val="006074CC"/>
    <w:rsid w:val="0061010D"/>
    <w:rsid w:val="00611C17"/>
    <w:rsid w:val="006136D3"/>
    <w:rsid w:val="0061450B"/>
    <w:rsid w:val="006153F6"/>
    <w:rsid w:val="00615B72"/>
    <w:rsid w:val="00615D76"/>
    <w:rsid w:val="006163F5"/>
    <w:rsid w:val="006208D3"/>
    <w:rsid w:val="0062190C"/>
    <w:rsid w:val="00627E07"/>
    <w:rsid w:val="00630394"/>
    <w:rsid w:val="00630631"/>
    <w:rsid w:val="00630854"/>
    <w:rsid w:val="006314F6"/>
    <w:rsid w:val="00631832"/>
    <w:rsid w:val="00633104"/>
    <w:rsid w:val="00635957"/>
    <w:rsid w:val="006365FC"/>
    <w:rsid w:val="00637EF6"/>
    <w:rsid w:val="006417D5"/>
    <w:rsid w:val="0064186C"/>
    <w:rsid w:val="00642A3D"/>
    <w:rsid w:val="00645A2F"/>
    <w:rsid w:val="00647069"/>
    <w:rsid w:val="00647E27"/>
    <w:rsid w:val="006527AD"/>
    <w:rsid w:val="006546F5"/>
    <w:rsid w:val="00654DA4"/>
    <w:rsid w:val="006575BB"/>
    <w:rsid w:val="00657B1C"/>
    <w:rsid w:val="00657BC7"/>
    <w:rsid w:val="00660117"/>
    <w:rsid w:val="0066399A"/>
    <w:rsid w:val="00663D49"/>
    <w:rsid w:val="00664061"/>
    <w:rsid w:val="00664190"/>
    <w:rsid w:val="00664331"/>
    <w:rsid w:val="00665C25"/>
    <w:rsid w:val="00665EAB"/>
    <w:rsid w:val="006714B9"/>
    <w:rsid w:val="006718A2"/>
    <w:rsid w:val="0067207D"/>
    <w:rsid w:val="00672E1D"/>
    <w:rsid w:val="006734DC"/>
    <w:rsid w:val="0067401C"/>
    <w:rsid w:val="006746B9"/>
    <w:rsid w:val="00674B87"/>
    <w:rsid w:val="00676719"/>
    <w:rsid w:val="00676AC3"/>
    <w:rsid w:val="0067775E"/>
    <w:rsid w:val="00677EAE"/>
    <w:rsid w:val="0068062E"/>
    <w:rsid w:val="00681CF4"/>
    <w:rsid w:val="0068339F"/>
    <w:rsid w:val="006848C2"/>
    <w:rsid w:val="00687EB0"/>
    <w:rsid w:val="00692B5F"/>
    <w:rsid w:val="00693157"/>
    <w:rsid w:val="00695524"/>
    <w:rsid w:val="006974F9"/>
    <w:rsid w:val="00697720"/>
    <w:rsid w:val="006A03FB"/>
    <w:rsid w:val="006A28DA"/>
    <w:rsid w:val="006A3077"/>
    <w:rsid w:val="006A3138"/>
    <w:rsid w:val="006A527A"/>
    <w:rsid w:val="006A57F5"/>
    <w:rsid w:val="006A5A35"/>
    <w:rsid w:val="006A7C86"/>
    <w:rsid w:val="006B052D"/>
    <w:rsid w:val="006B13C7"/>
    <w:rsid w:val="006B2296"/>
    <w:rsid w:val="006B253A"/>
    <w:rsid w:val="006B25B4"/>
    <w:rsid w:val="006B2AE2"/>
    <w:rsid w:val="006B42E8"/>
    <w:rsid w:val="006B433D"/>
    <w:rsid w:val="006C0682"/>
    <w:rsid w:val="006C10E8"/>
    <w:rsid w:val="006C26FF"/>
    <w:rsid w:val="006C3F4B"/>
    <w:rsid w:val="006C445D"/>
    <w:rsid w:val="006C6A5D"/>
    <w:rsid w:val="006C7CAF"/>
    <w:rsid w:val="006D256E"/>
    <w:rsid w:val="006D2BD0"/>
    <w:rsid w:val="006D49E3"/>
    <w:rsid w:val="006D57E8"/>
    <w:rsid w:val="006D5E1D"/>
    <w:rsid w:val="006D7453"/>
    <w:rsid w:val="006E1558"/>
    <w:rsid w:val="006E1620"/>
    <w:rsid w:val="006E1B90"/>
    <w:rsid w:val="006E1F67"/>
    <w:rsid w:val="006E1FF5"/>
    <w:rsid w:val="006E21C2"/>
    <w:rsid w:val="006E32FE"/>
    <w:rsid w:val="006E4275"/>
    <w:rsid w:val="006E42C6"/>
    <w:rsid w:val="006E4416"/>
    <w:rsid w:val="006E4DBC"/>
    <w:rsid w:val="006E4E0C"/>
    <w:rsid w:val="006E6350"/>
    <w:rsid w:val="006E68EB"/>
    <w:rsid w:val="006E6B78"/>
    <w:rsid w:val="006E72A5"/>
    <w:rsid w:val="006F0AA5"/>
    <w:rsid w:val="006F2CDD"/>
    <w:rsid w:val="006F30E6"/>
    <w:rsid w:val="006F5E90"/>
    <w:rsid w:val="006F7DEA"/>
    <w:rsid w:val="00700731"/>
    <w:rsid w:val="00701815"/>
    <w:rsid w:val="0070204A"/>
    <w:rsid w:val="00702519"/>
    <w:rsid w:val="00702EEB"/>
    <w:rsid w:val="007031B2"/>
    <w:rsid w:val="00703AF6"/>
    <w:rsid w:val="00704498"/>
    <w:rsid w:val="0070471B"/>
    <w:rsid w:val="00705D66"/>
    <w:rsid w:val="00706280"/>
    <w:rsid w:val="00707368"/>
    <w:rsid w:val="00707C2B"/>
    <w:rsid w:val="007117F6"/>
    <w:rsid w:val="00711800"/>
    <w:rsid w:val="007208E7"/>
    <w:rsid w:val="0072153C"/>
    <w:rsid w:val="007226AD"/>
    <w:rsid w:val="00723069"/>
    <w:rsid w:val="00724C5C"/>
    <w:rsid w:val="00725D6D"/>
    <w:rsid w:val="007262B9"/>
    <w:rsid w:val="00727766"/>
    <w:rsid w:val="00733B45"/>
    <w:rsid w:val="00733EE3"/>
    <w:rsid w:val="0073569F"/>
    <w:rsid w:val="0073635C"/>
    <w:rsid w:val="00736862"/>
    <w:rsid w:val="007400F7"/>
    <w:rsid w:val="00741751"/>
    <w:rsid w:val="00743238"/>
    <w:rsid w:val="00743394"/>
    <w:rsid w:val="00743650"/>
    <w:rsid w:val="00743C6E"/>
    <w:rsid w:val="0074462A"/>
    <w:rsid w:val="0074543C"/>
    <w:rsid w:val="007465E5"/>
    <w:rsid w:val="007466C3"/>
    <w:rsid w:val="00746C17"/>
    <w:rsid w:val="007516B2"/>
    <w:rsid w:val="007534CE"/>
    <w:rsid w:val="00753742"/>
    <w:rsid w:val="00754088"/>
    <w:rsid w:val="0075561C"/>
    <w:rsid w:val="00755642"/>
    <w:rsid w:val="00755681"/>
    <w:rsid w:val="007560C8"/>
    <w:rsid w:val="00756324"/>
    <w:rsid w:val="007571C6"/>
    <w:rsid w:val="00757E44"/>
    <w:rsid w:val="0076083E"/>
    <w:rsid w:val="007619DD"/>
    <w:rsid w:val="00761EFA"/>
    <w:rsid w:val="00762E48"/>
    <w:rsid w:val="00763130"/>
    <w:rsid w:val="00763194"/>
    <w:rsid w:val="007633FC"/>
    <w:rsid w:val="00763C65"/>
    <w:rsid w:val="0076412A"/>
    <w:rsid w:val="007645A1"/>
    <w:rsid w:val="00764D6A"/>
    <w:rsid w:val="00765E42"/>
    <w:rsid w:val="00765FEE"/>
    <w:rsid w:val="007665A7"/>
    <w:rsid w:val="00766DF2"/>
    <w:rsid w:val="0077010E"/>
    <w:rsid w:val="0077323F"/>
    <w:rsid w:val="00773FA8"/>
    <w:rsid w:val="0077407C"/>
    <w:rsid w:val="00774AF9"/>
    <w:rsid w:val="00774CD6"/>
    <w:rsid w:val="00776483"/>
    <w:rsid w:val="007809AF"/>
    <w:rsid w:val="00782183"/>
    <w:rsid w:val="007824C3"/>
    <w:rsid w:val="00783DF0"/>
    <w:rsid w:val="00783E7D"/>
    <w:rsid w:val="00784D1C"/>
    <w:rsid w:val="00786685"/>
    <w:rsid w:val="00786874"/>
    <w:rsid w:val="00786976"/>
    <w:rsid w:val="007877F5"/>
    <w:rsid w:val="0079022D"/>
    <w:rsid w:val="00792AD9"/>
    <w:rsid w:val="0079362E"/>
    <w:rsid w:val="00794714"/>
    <w:rsid w:val="00794965"/>
    <w:rsid w:val="0079617D"/>
    <w:rsid w:val="00796375"/>
    <w:rsid w:val="00796B51"/>
    <w:rsid w:val="007A03FB"/>
    <w:rsid w:val="007A1490"/>
    <w:rsid w:val="007A2814"/>
    <w:rsid w:val="007A438B"/>
    <w:rsid w:val="007A677A"/>
    <w:rsid w:val="007A7197"/>
    <w:rsid w:val="007B144F"/>
    <w:rsid w:val="007B387D"/>
    <w:rsid w:val="007B3E5B"/>
    <w:rsid w:val="007B57C5"/>
    <w:rsid w:val="007B6776"/>
    <w:rsid w:val="007B6825"/>
    <w:rsid w:val="007B7098"/>
    <w:rsid w:val="007B7C9A"/>
    <w:rsid w:val="007C0565"/>
    <w:rsid w:val="007C0D94"/>
    <w:rsid w:val="007C2A33"/>
    <w:rsid w:val="007C3955"/>
    <w:rsid w:val="007C3EDF"/>
    <w:rsid w:val="007C42BC"/>
    <w:rsid w:val="007C6EB7"/>
    <w:rsid w:val="007C7B18"/>
    <w:rsid w:val="007D1F85"/>
    <w:rsid w:val="007D4579"/>
    <w:rsid w:val="007D4BFB"/>
    <w:rsid w:val="007D518E"/>
    <w:rsid w:val="007D69AF"/>
    <w:rsid w:val="007D7055"/>
    <w:rsid w:val="007D767C"/>
    <w:rsid w:val="007D7CD7"/>
    <w:rsid w:val="007E1562"/>
    <w:rsid w:val="007E246F"/>
    <w:rsid w:val="007E2DC2"/>
    <w:rsid w:val="007E30FA"/>
    <w:rsid w:val="007E37CD"/>
    <w:rsid w:val="007E3E5A"/>
    <w:rsid w:val="007E5EB6"/>
    <w:rsid w:val="007E6F14"/>
    <w:rsid w:val="007F048D"/>
    <w:rsid w:val="007F0C2F"/>
    <w:rsid w:val="007F0E5A"/>
    <w:rsid w:val="007F150A"/>
    <w:rsid w:val="007F1B4A"/>
    <w:rsid w:val="007F2329"/>
    <w:rsid w:val="007F286A"/>
    <w:rsid w:val="007F2A20"/>
    <w:rsid w:val="007F3C78"/>
    <w:rsid w:val="007F3DBA"/>
    <w:rsid w:val="007F4DD1"/>
    <w:rsid w:val="007F4ECD"/>
    <w:rsid w:val="007F504E"/>
    <w:rsid w:val="007F64A0"/>
    <w:rsid w:val="007F7070"/>
    <w:rsid w:val="007F76B4"/>
    <w:rsid w:val="007F7CCA"/>
    <w:rsid w:val="008018D7"/>
    <w:rsid w:val="00803581"/>
    <w:rsid w:val="00803D77"/>
    <w:rsid w:val="00803E1E"/>
    <w:rsid w:val="008047BC"/>
    <w:rsid w:val="008048E7"/>
    <w:rsid w:val="00806218"/>
    <w:rsid w:val="008062D1"/>
    <w:rsid w:val="00807940"/>
    <w:rsid w:val="00813A29"/>
    <w:rsid w:val="00814245"/>
    <w:rsid w:val="008146C2"/>
    <w:rsid w:val="00815924"/>
    <w:rsid w:val="0081629C"/>
    <w:rsid w:val="00816866"/>
    <w:rsid w:val="008173E4"/>
    <w:rsid w:val="00817AF6"/>
    <w:rsid w:val="0082146B"/>
    <w:rsid w:val="008227CF"/>
    <w:rsid w:val="00822EBD"/>
    <w:rsid w:val="00823B69"/>
    <w:rsid w:val="00824DAD"/>
    <w:rsid w:val="008252CE"/>
    <w:rsid w:val="00826169"/>
    <w:rsid w:val="00830913"/>
    <w:rsid w:val="00831611"/>
    <w:rsid w:val="008317DA"/>
    <w:rsid w:val="0083357F"/>
    <w:rsid w:val="0083370C"/>
    <w:rsid w:val="00833802"/>
    <w:rsid w:val="00834CDA"/>
    <w:rsid w:val="008362CF"/>
    <w:rsid w:val="00836B5C"/>
    <w:rsid w:val="008422F3"/>
    <w:rsid w:val="008426CE"/>
    <w:rsid w:val="0084359B"/>
    <w:rsid w:val="008440F3"/>
    <w:rsid w:val="00844B01"/>
    <w:rsid w:val="008459C3"/>
    <w:rsid w:val="00845FCF"/>
    <w:rsid w:val="0084732D"/>
    <w:rsid w:val="008478AA"/>
    <w:rsid w:val="008500C0"/>
    <w:rsid w:val="00851407"/>
    <w:rsid w:val="008519D1"/>
    <w:rsid w:val="008522D2"/>
    <w:rsid w:val="00852362"/>
    <w:rsid w:val="00852B2B"/>
    <w:rsid w:val="0085313E"/>
    <w:rsid w:val="00854F89"/>
    <w:rsid w:val="00856074"/>
    <w:rsid w:val="00856BB9"/>
    <w:rsid w:val="00857EE3"/>
    <w:rsid w:val="00860779"/>
    <w:rsid w:val="00862AEB"/>
    <w:rsid w:val="0086624A"/>
    <w:rsid w:val="0086776E"/>
    <w:rsid w:val="008721D1"/>
    <w:rsid w:val="00872407"/>
    <w:rsid w:val="0087303E"/>
    <w:rsid w:val="00875D0F"/>
    <w:rsid w:val="00876360"/>
    <w:rsid w:val="008768CF"/>
    <w:rsid w:val="0088028D"/>
    <w:rsid w:val="0088162E"/>
    <w:rsid w:val="008839E6"/>
    <w:rsid w:val="008860B3"/>
    <w:rsid w:val="008877CA"/>
    <w:rsid w:val="00887AC3"/>
    <w:rsid w:val="0089004C"/>
    <w:rsid w:val="00891558"/>
    <w:rsid w:val="0089201E"/>
    <w:rsid w:val="00892833"/>
    <w:rsid w:val="0089374C"/>
    <w:rsid w:val="00893B96"/>
    <w:rsid w:val="00895B10"/>
    <w:rsid w:val="008A0DDD"/>
    <w:rsid w:val="008A29FE"/>
    <w:rsid w:val="008A37C0"/>
    <w:rsid w:val="008A430F"/>
    <w:rsid w:val="008A6071"/>
    <w:rsid w:val="008A68C9"/>
    <w:rsid w:val="008A6BCB"/>
    <w:rsid w:val="008B0098"/>
    <w:rsid w:val="008B0CAA"/>
    <w:rsid w:val="008B17E8"/>
    <w:rsid w:val="008B3685"/>
    <w:rsid w:val="008B401F"/>
    <w:rsid w:val="008B55B0"/>
    <w:rsid w:val="008B5A87"/>
    <w:rsid w:val="008B6103"/>
    <w:rsid w:val="008B6B29"/>
    <w:rsid w:val="008C02B1"/>
    <w:rsid w:val="008C041A"/>
    <w:rsid w:val="008C0735"/>
    <w:rsid w:val="008C0AE2"/>
    <w:rsid w:val="008C15C1"/>
    <w:rsid w:val="008C190E"/>
    <w:rsid w:val="008C232A"/>
    <w:rsid w:val="008C4859"/>
    <w:rsid w:val="008C67EF"/>
    <w:rsid w:val="008C6D31"/>
    <w:rsid w:val="008D1327"/>
    <w:rsid w:val="008D284C"/>
    <w:rsid w:val="008D37F3"/>
    <w:rsid w:val="008D3A2A"/>
    <w:rsid w:val="008D41F7"/>
    <w:rsid w:val="008D4DE9"/>
    <w:rsid w:val="008D5544"/>
    <w:rsid w:val="008D5C0F"/>
    <w:rsid w:val="008E0BCA"/>
    <w:rsid w:val="008E13B6"/>
    <w:rsid w:val="008E2113"/>
    <w:rsid w:val="008E260D"/>
    <w:rsid w:val="008E2BB2"/>
    <w:rsid w:val="008E4D50"/>
    <w:rsid w:val="008E532B"/>
    <w:rsid w:val="008E5DEA"/>
    <w:rsid w:val="008E62DE"/>
    <w:rsid w:val="008E666F"/>
    <w:rsid w:val="008E6D6D"/>
    <w:rsid w:val="008E6E84"/>
    <w:rsid w:val="008E73B3"/>
    <w:rsid w:val="008F0CA1"/>
    <w:rsid w:val="008F0DBE"/>
    <w:rsid w:val="008F149C"/>
    <w:rsid w:val="008F287F"/>
    <w:rsid w:val="008F3C68"/>
    <w:rsid w:val="008F3FF6"/>
    <w:rsid w:val="008F4491"/>
    <w:rsid w:val="008F7564"/>
    <w:rsid w:val="008F780E"/>
    <w:rsid w:val="0090146B"/>
    <w:rsid w:val="00903282"/>
    <w:rsid w:val="00904284"/>
    <w:rsid w:val="00905693"/>
    <w:rsid w:val="00905816"/>
    <w:rsid w:val="0090589F"/>
    <w:rsid w:val="00906006"/>
    <w:rsid w:val="00906C8B"/>
    <w:rsid w:val="00907CA6"/>
    <w:rsid w:val="0091013F"/>
    <w:rsid w:val="00910D4C"/>
    <w:rsid w:val="009119BA"/>
    <w:rsid w:val="00912FC4"/>
    <w:rsid w:val="0091364C"/>
    <w:rsid w:val="0091434C"/>
    <w:rsid w:val="00914400"/>
    <w:rsid w:val="00914958"/>
    <w:rsid w:val="00915503"/>
    <w:rsid w:val="00921063"/>
    <w:rsid w:val="00923AE8"/>
    <w:rsid w:val="009259E2"/>
    <w:rsid w:val="009261B0"/>
    <w:rsid w:val="00926497"/>
    <w:rsid w:val="00927D27"/>
    <w:rsid w:val="009316BC"/>
    <w:rsid w:val="00932694"/>
    <w:rsid w:val="00932797"/>
    <w:rsid w:val="00934BC8"/>
    <w:rsid w:val="00934FA8"/>
    <w:rsid w:val="0093516E"/>
    <w:rsid w:val="00936222"/>
    <w:rsid w:val="009363D5"/>
    <w:rsid w:val="009379FE"/>
    <w:rsid w:val="00940633"/>
    <w:rsid w:val="0094091B"/>
    <w:rsid w:val="009412D0"/>
    <w:rsid w:val="0094430C"/>
    <w:rsid w:val="00945886"/>
    <w:rsid w:val="00947848"/>
    <w:rsid w:val="00947A2F"/>
    <w:rsid w:val="00950767"/>
    <w:rsid w:val="00953445"/>
    <w:rsid w:val="00956038"/>
    <w:rsid w:val="00957007"/>
    <w:rsid w:val="00957851"/>
    <w:rsid w:val="00957DFF"/>
    <w:rsid w:val="00962016"/>
    <w:rsid w:val="00962257"/>
    <w:rsid w:val="0096251B"/>
    <w:rsid w:val="00962699"/>
    <w:rsid w:val="00962C1B"/>
    <w:rsid w:val="00965BDE"/>
    <w:rsid w:val="00966D22"/>
    <w:rsid w:val="00967C48"/>
    <w:rsid w:val="00972003"/>
    <w:rsid w:val="00972E9A"/>
    <w:rsid w:val="009736E2"/>
    <w:rsid w:val="00974C7C"/>
    <w:rsid w:val="009754B9"/>
    <w:rsid w:val="00975CF9"/>
    <w:rsid w:val="0097647C"/>
    <w:rsid w:val="0097705F"/>
    <w:rsid w:val="00977460"/>
    <w:rsid w:val="0097748C"/>
    <w:rsid w:val="0098158A"/>
    <w:rsid w:val="009815CE"/>
    <w:rsid w:val="00982E11"/>
    <w:rsid w:val="00982E24"/>
    <w:rsid w:val="00983301"/>
    <w:rsid w:val="00983438"/>
    <w:rsid w:val="009841A0"/>
    <w:rsid w:val="0098571D"/>
    <w:rsid w:val="00985DC5"/>
    <w:rsid w:val="00986565"/>
    <w:rsid w:val="00986B05"/>
    <w:rsid w:val="00986B89"/>
    <w:rsid w:val="00986DCE"/>
    <w:rsid w:val="009879F4"/>
    <w:rsid w:val="00995800"/>
    <w:rsid w:val="00995AB9"/>
    <w:rsid w:val="00996294"/>
    <w:rsid w:val="00996CCF"/>
    <w:rsid w:val="009A1210"/>
    <w:rsid w:val="009A13C2"/>
    <w:rsid w:val="009A1FB7"/>
    <w:rsid w:val="009A36FE"/>
    <w:rsid w:val="009A3C82"/>
    <w:rsid w:val="009A3CF0"/>
    <w:rsid w:val="009A3FAD"/>
    <w:rsid w:val="009A422E"/>
    <w:rsid w:val="009A6CA1"/>
    <w:rsid w:val="009A6FE2"/>
    <w:rsid w:val="009A7295"/>
    <w:rsid w:val="009B08E6"/>
    <w:rsid w:val="009B0F05"/>
    <w:rsid w:val="009B107E"/>
    <w:rsid w:val="009B4A04"/>
    <w:rsid w:val="009B4ED4"/>
    <w:rsid w:val="009C035D"/>
    <w:rsid w:val="009C07E9"/>
    <w:rsid w:val="009C2554"/>
    <w:rsid w:val="009C27AE"/>
    <w:rsid w:val="009C3A48"/>
    <w:rsid w:val="009C3D7D"/>
    <w:rsid w:val="009C5876"/>
    <w:rsid w:val="009C689C"/>
    <w:rsid w:val="009D1D57"/>
    <w:rsid w:val="009D22DC"/>
    <w:rsid w:val="009D4023"/>
    <w:rsid w:val="009D5468"/>
    <w:rsid w:val="009D5B1D"/>
    <w:rsid w:val="009D5DDC"/>
    <w:rsid w:val="009D65A8"/>
    <w:rsid w:val="009D6D88"/>
    <w:rsid w:val="009D7541"/>
    <w:rsid w:val="009E024E"/>
    <w:rsid w:val="009E09C9"/>
    <w:rsid w:val="009E13A4"/>
    <w:rsid w:val="009E1C8E"/>
    <w:rsid w:val="009E2658"/>
    <w:rsid w:val="009E604E"/>
    <w:rsid w:val="009E62C8"/>
    <w:rsid w:val="009E7313"/>
    <w:rsid w:val="009F0726"/>
    <w:rsid w:val="009F0F16"/>
    <w:rsid w:val="009F1048"/>
    <w:rsid w:val="009F1B0D"/>
    <w:rsid w:val="009F2D92"/>
    <w:rsid w:val="009F2F2E"/>
    <w:rsid w:val="009F3126"/>
    <w:rsid w:val="009F453E"/>
    <w:rsid w:val="009F5868"/>
    <w:rsid w:val="009F5B65"/>
    <w:rsid w:val="009F5D49"/>
    <w:rsid w:val="009F7091"/>
    <w:rsid w:val="009F727B"/>
    <w:rsid w:val="00A01122"/>
    <w:rsid w:val="00A01825"/>
    <w:rsid w:val="00A0195F"/>
    <w:rsid w:val="00A020C4"/>
    <w:rsid w:val="00A02A20"/>
    <w:rsid w:val="00A03789"/>
    <w:rsid w:val="00A0672D"/>
    <w:rsid w:val="00A06B4C"/>
    <w:rsid w:val="00A10BBD"/>
    <w:rsid w:val="00A115DF"/>
    <w:rsid w:val="00A1185C"/>
    <w:rsid w:val="00A12499"/>
    <w:rsid w:val="00A126BE"/>
    <w:rsid w:val="00A13819"/>
    <w:rsid w:val="00A14ED4"/>
    <w:rsid w:val="00A15E91"/>
    <w:rsid w:val="00A178AB"/>
    <w:rsid w:val="00A17C3F"/>
    <w:rsid w:val="00A206A6"/>
    <w:rsid w:val="00A2198A"/>
    <w:rsid w:val="00A21B26"/>
    <w:rsid w:val="00A2381F"/>
    <w:rsid w:val="00A247EB"/>
    <w:rsid w:val="00A24D13"/>
    <w:rsid w:val="00A276BC"/>
    <w:rsid w:val="00A27B1A"/>
    <w:rsid w:val="00A303D7"/>
    <w:rsid w:val="00A305B0"/>
    <w:rsid w:val="00A318E9"/>
    <w:rsid w:val="00A33033"/>
    <w:rsid w:val="00A330BB"/>
    <w:rsid w:val="00A35605"/>
    <w:rsid w:val="00A35628"/>
    <w:rsid w:val="00A35C70"/>
    <w:rsid w:val="00A35F3E"/>
    <w:rsid w:val="00A37AC9"/>
    <w:rsid w:val="00A37D3B"/>
    <w:rsid w:val="00A40962"/>
    <w:rsid w:val="00A41AC4"/>
    <w:rsid w:val="00A4297E"/>
    <w:rsid w:val="00A4384B"/>
    <w:rsid w:val="00A43C10"/>
    <w:rsid w:val="00A43D37"/>
    <w:rsid w:val="00A45824"/>
    <w:rsid w:val="00A471FD"/>
    <w:rsid w:val="00A504EF"/>
    <w:rsid w:val="00A50590"/>
    <w:rsid w:val="00A51A4B"/>
    <w:rsid w:val="00A52384"/>
    <w:rsid w:val="00A52FE3"/>
    <w:rsid w:val="00A554DF"/>
    <w:rsid w:val="00A561EA"/>
    <w:rsid w:val="00A56B89"/>
    <w:rsid w:val="00A57641"/>
    <w:rsid w:val="00A57A49"/>
    <w:rsid w:val="00A60137"/>
    <w:rsid w:val="00A60309"/>
    <w:rsid w:val="00A608BB"/>
    <w:rsid w:val="00A60EF3"/>
    <w:rsid w:val="00A617B8"/>
    <w:rsid w:val="00A62149"/>
    <w:rsid w:val="00A62CA6"/>
    <w:rsid w:val="00A71ADA"/>
    <w:rsid w:val="00A7277F"/>
    <w:rsid w:val="00A7535A"/>
    <w:rsid w:val="00A75A1D"/>
    <w:rsid w:val="00A76592"/>
    <w:rsid w:val="00A76D0F"/>
    <w:rsid w:val="00A76DAD"/>
    <w:rsid w:val="00A83B42"/>
    <w:rsid w:val="00A842E1"/>
    <w:rsid w:val="00A849B3"/>
    <w:rsid w:val="00A84D0D"/>
    <w:rsid w:val="00A860FD"/>
    <w:rsid w:val="00A86179"/>
    <w:rsid w:val="00A9029E"/>
    <w:rsid w:val="00A905A7"/>
    <w:rsid w:val="00A92CD4"/>
    <w:rsid w:val="00A931BA"/>
    <w:rsid w:val="00A940B3"/>
    <w:rsid w:val="00A9426B"/>
    <w:rsid w:val="00A96EF5"/>
    <w:rsid w:val="00AA06AA"/>
    <w:rsid w:val="00AA1722"/>
    <w:rsid w:val="00AA2B61"/>
    <w:rsid w:val="00AA2F15"/>
    <w:rsid w:val="00AA3E04"/>
    <w:rsid w:val="00AA4928"/>
    <w:rsid w:val="00AA4AD0"/>
    <w:rsid w:val="00AA5198"/>
    <w:rsid w:val="00AA5C7A"/>
    <w:rsid w:val="00AA6852"/>
    <w:rsid w:val="00AB0BA7"/>
    <w:rsid w:val="00AB0F71"/>
    <w:rsid w:val="00AB20D7"/>
    <w:rsid w:val="00AB228B"/>
    <w:rsid w:val="00AB25D0"/>
    <w:rsid w:val="00AB290A"/>
    <w:rsid w:val="00AB37C6"/>
    <w:rsid w:val="00AB3989"/>
    <w:rsid w:val="00AB41B9"/>
    <w:rsid w:val="00AB62AF"/>
    <w:rsid w:val="00AB690E"/>
    <w:rsid w:val="00AC0618"/>
    <w:rsid w:val="00AC07B5"/>
    <w:rsid w:val="00AC07C8"/>
    <w:rsid w:val="00AC0841"/>
    <w:rsid w:val="00AC0AB6"/>
    <w:rsid w:val="00AC1442"/>
    <w:rsid w:val="00AC1F25"/>
    <w:rsid w:val="00AC2A45"/>
    <w:rsid w:val="00AC4666"/>
    <w:rsid w:val="00AC492F"/>
    <w:rsid w:val="00AC5226"/>
    <w:rsid w:val="00AC58E9"/>
    <w:rsid w:val="00AC70EC"/>
    <w:rsid w:val="00AD0F49"/>
    <w:rsid w:val="00AD310A"/>
    <w:rsid w:val="00AD3B6F"/>
    <w:rsid w:val="00AD535A"/>
    <w:rsid w:val="00AD5861"/>
    <w:rsid w:val="00AD70FE"/>
    <w:rsid w:val="00AD74FE"/>
    <w:rsid w:val="00AE0DDB"/>
    <w:rsid w:val="00AE1C8E"/>
    <w:rsid w:val="00AE1F64"/>
    <w:rsid w:val="00AE39D6"/>
    <w:rsid w:val="00AE4DF3"/>
    <w:rsid w:val="00AE756A"/>
    <w:rsid w:val="00AE75AA"/>
    <w:rsid w:val="00AE7FB4"/>
    <w:rsid w:val="00AF35B3"/>
    <w:rsid w:val="00AF3741"/>
    <w:rsid w:val="00AF56F0"/>
    <w:rsid w:val="00AF56FC"/>
    <w:rsid w:val="00AF5D80"/>
    <w:rsid w:val="00AF6067"/>
    <w:rsid w:val="00AF61BE"/>
    <w:rsid w:val="00AF69BB"/>
    <w:rsid w:val="00AF6BA7"/>
    <w:rsid w:val="00AF7948"/>
    <w:rsid w:val="00B0081B"/>
    <w:rsid w:val="00B00859"/>
    <w:rsid w:val="00B00B86"/>
    <w:rsid w:val="00B01038"/>
    <w:rsid w:val="00B01DA9"/>
    <w:rsid w:val="00B0235C"/>
    <w:rsid w:val="00B028A8"/>
    <w:rsid w:val="00B02A50"/>
    <w:rsid w:val="00B02ACB"/>
    <w:rsid w:val="00B03642"/>
    <w:rsid w:val="00B03DA9"/>
    <w:rsid w:val="00B0445A"/>
    <w:rsid w:val="00B04925"/>
    <w:rsid w:val="00B05D58"/>
    <w:rsid w:val="00B102B5"/>
    <w:rsid w:val="00B112C2"/>
    <w:rsid w:val="00B13D98"/>
    <w:rsid w:val="00B13FA3"/>
    <w:rsid w:val="00B141AE"/>
    <w:rsid w:val="00B1595E"/>
    <w:rsid w:val="00B15ECD"/>
    <w:rsid w:val="00B160B6"/>
    <w:rsid w:val="00B16B94"/>
    <w:rsid w:val="00B17EE5"/>
    <w:rsid w:val="00B2139E"/>
    <w:rsid w:val="00B21829"/>
    <w:rsid w:val="00B2398C"/>
    <w:rsid w:val="00B23C0D"/>
    <w:rsid w:val="00B24234"/>
    <w:rsid w:val="00B262B1"/>
    <w:rsid w:val="00B26714"/>
    <w:rsid w:val="00B2673F"/>
    <w:rsid w:val="00B270D0"/>
    <w:rsid w:val="00B30A9F"/>
    <w:rsid w:val="00B329E7"/>
    <w:rsid w:val="00B32FB5"/>
    <w:rsid w:val="00B33C38"/>
    <w:rsid w:val="00B37944"/>
    <w:rsid w:val="00B4047A"/>
    <w:rsid w:val="00B40B92"/>
    <w:rsid w:val="00B4248A"/>
    <w:rsid w:val="00B42740"/>
    <w:rsid w:val="00B42819"/>
    <w:rsid w:val="00B440F1"/>
    <w:rsid w:val="00B44AF7"/>
    <w:rsid w:val="00B50ACC"/>
    <w:rsid w:val="00B53CF7"/>
    <w:rsid w:val="00B56E6F"/>
    <w:rsid w:val="00B57F8B"/>
    <w:rsid w:val="00B604A3"/>
    <w:rsid w:val="00B60772"/>
    <w:rsid w:val="00B6161B"/>
    <w:rsid w:val="00B61CAF"/>
    <w:rsid w:val="00B61DA0"/>
    <w:rsid w:val="00B6506B"/>
    <w:rsid w:val="00B65248"/>
    <w:rsid w:val="00B65251"/>
    <w:rsid w:val="00B677E4"/>
    <w:rsid w:val="00B70357"/>
    <w:rsid w:val="00B7083E"/>
    <w:rsid w:val="00B73BC0"/>
    <w:rsid w:val="00B73E8D"/>
    <w:rsid w:val="00B745D5"/>
    <w:rsid w:val="00B74CF8"/>
    <w:rsid w:val="00B7569C"/>
    <w:rsid w:val="00B77591"/>
    <w:rsid w:val="00B77713"/>
    <w:rsid w:val="00B77CC1"/>
    <w:rsid w:val="00B80844"/>
    <w:rsid w:val="00B81051"/>
    <w:rsid w:val="00B81EC0"/>
    <w:rsid w:val="00B82B93"/>
    <w:rsid w:val="00B83404"/>
    <w:rsid w:val="00B85572"/>
    <w:rsid w:val="00B85CBE"/>
    <w:rsid w:val="00B8722D"/>
    <w:rsid w:val="00B87D62"/>
    <w:rsid w:val="00B900CF"/>
    <w:rsid w:val="00B909EA"/>
    <w:rsid w:val="00B92971"/>
    <w:rsid w:val="00B95771"/>
    <w:rsid w:val="00B95F2B"/>
    <w:rsid w:val="00B97542"/>
    <w:rsid w:val="00BA0411"/>
    <w:rsid w:val="00BA09E2"/>
    <w:rsid w:val="00BA4EC3"/>
    <w:rsid w:val="00BA57D5"/>
    <w:rsid w:val="00BA5D2E"/>
    <w:rsid w:val="00BA67AF"/>
    <w:rsid w:val="00BB0EAF"/>
    <w:rsid w:val="00BB39E8"/>
    <w:rsid w:val="00BB5737"/>
    <w:rsid w:val="00BB5936"/>
    <w:rsid w:val="00BB5C66"/>
    <w:rsid w:val="00BB6627"/>
    <w:rsid w:val="00BB7209"/>
    <w:rsid w:val="00BC16E5"/>
    <w:rsid w:val="00BC3408"/>
    <w:rsid w:val="00BC5CC5"/>
    <w:rsid w:val="00BC60D0"/>
    <w:rsid w:val="00BC62A3"/>
    <w:rsid w:val="00BC68BA"/>
    <w:rsid w:val="00BC7A34"/>
    <w:rsid w:val="00BD1034"/>
    <w:rsid w:val="00BD4894"/>
    <w:rsid w:val="00BD4F5C"/>
    <w:rsid w:val="00BD56F5"/>
    <w:rsid w:val="00BD5E29"/>
    <w:rsid w:val="00BD66C3"/>
    <w:rsid w:val="00BD735E"/>
    <w:rsid w:val="00BE0310"/>
    <w:rsid w:val="00BE0A08"/>
    <w:rsid w:val="00BE34BA"/>
    <w:rsid w:val="00BE39B0"/>
    <w:rsid w:val="00BE512B"/>
    <w:rsid w:val="00BE627E"/>
    <w:rsid w:val="00BF0DF4"/>
    <w:rsid w:val="00BF1023"/>
    <w:rsid w:val="00BF56D6"/>
    <w:rsid w:val="00BF7881"/>
    <w:rsid w:val="00C00A4C"/>
    <w:rsid w:val="00C00B5C"/>
    <w:rsid w:val="00C018B8"/>
    <w:rsid w:val="00C01FB4"/>
    <w:rsid w:val="00C03AC0"/>
    <w:rsid w:val="00C043D5"/>
    <w:rsid w:val="00C05327"/>
    <w:rsid w:val="00C05941"/>
    <w:rsid w:val="00C06D7D"/>
    <w:rsid w:val="00C10224"/>
    <w:rsid w:val="00C10C9A"/>
    <w:rsid w:val="00C11A63"/>
    <w:rsid w:val="00C1364E"/>
    <w:rsid w:val="00C14248"/>
    <w:rsid w:val="00C21466"/>
    <w:rsid w:val="00C22938"/>
    <w:rsid w:val="00C2335E"/>
    <w:rsid w:val="00C24840"/>
    <w:rsid w:val="00C24C63"/>
    <w:rsid w:val="00C2505E"/>
    <w:rsid w:val="00C25EF0"/>
    <w:rsid w:val="00C270AF"/>
    <w:rsid w:val="00C272B8"/>
    <w:rsid w:val="00C30476"/>
    <w:rsid w:val="00C30D0B"/>
    <w:rsid w:val="00C316F5"/>
    <w:rsid w:val="00C32A72"/>
    <w:rsid w:val="00C341D7"/>
    <w:rsid w:val="00C358B5"/>
    <w:rsid w:val="00C3651C"/>
    <w:rsid w:val="00C365B9"/>
    <w:rsid w:val="00C36F59"/>
    <w:rsid w:val="00C4057C"/>
    <w:rsid w:val="00C424D8"/>
    <w:rsid w:val="00C44428"/>
    <w:rsid w:val="00C445A0"/>
    <w:rsid w:val="00C44A75"/>
    <w:rsid w:val="00C44EEF"/>
    <w:rsid w:val="00C45E0A"/>
    <w:rsid w:val="00C46481"/>
    <w:rsid w:val="00C47374"/>
    <w:rsid w:val="00C47FA1"/>
    <w:rsid w:val="00C52C46"/>
    <w:rsid w:val="00C52CC0"/>
    <w:rsid w:val="00C52EEA"/>
    <w:rsid w:val="00C534EE"/>
    <w:rsid w:val="00C5398B"/>
    <w:rsid w:val="00C56481"/>
    <w:rsid w:val="00C579A8"/>
    <w:rsid w:val="00C61522"/>
    <w:rsid w:val="00C61D42"/>
    <w:rsid w:val="00C63F64"/>
    <w:rsid w:val="00C6610C"/>
    <w:rsid w:val="00C66A8F"/>
    <w:rsid w:val="00C66CFC"/>
    <w:rsid w:val="00C721B5"/>
    <w:rsid w:val="00C72FC2"/>
    <w:rsid w:val="00C76C56"/>
    <w:rsid w:val="00C7711B"/>
    <w:rsid w:val="00C77774"/>
    <w:rsid w:val="00C77C44"/>
    <w:rsid w:val="00C80E97"/>
    <w:rsid w:val="00C84FF0"/>
    <w:rsid w:val="00C8648B"/>
    <w:rsid w:val="00C86716"/>
    <w:rsid w:val="00C86F5B"/>
    <w:rsid w:val="00C8720A"/>
    <w:rsid w:val="00C91EE2"/>
    <w:rsid w:val="00C92E06"/>
    <w:rsid w:val="00C935A2"/>
    <w:rsid w:val="00C9383B"/>
    <w:rsid w:val="00C956ED"/>
    <w:rsid w:val="00C96820"/>
    <w:rsid w:val="00C977F8"/>
    <w:rsid w:val="00CA04C0"/>
    <w:rsid w:val="00CA0650"/>
    <w:rsid w:val="00CA21B0"/>
    <w:rsid w:val="00CA4572"/>
    <w:rsid w:val="00CA6DEE"/>
    <w:rsid w:val="00CA73FE"/>
    <w:rsid w:val="00CB036C"/>
    <w:rsid w:val="00CB166B"/>
    <w:rsid w:val="00CB3188"/>
    <w:rsid w:val="00CB3475"/>
    <w:rsid w:val="00CB4819"/>
    <w:rsid w:val="00CB4E2F"/>
    <w:rsid w:val="00CB52FF"/>
    <w:rsid w:val="00CB7202"/>
    <w:rsid w:val="00CB7A1D"/>
    <w:rsid w:val="00CC1E8F"/>
    <w:rsid w:val="00CC2973"/>
    <w:rsid w:val="00CC3DA8"/>
    <w:rsid w:val="00CC419C"/>
    <w:rsid w:val="00CC4961"/>
    <w:rsid w:val="00CC50E4"/>
    <w:rsid w:val="00CC5D7C"/>
    <w:rsid w:val="00CC5D8F"/>
    <w:rsid w:val="00CC6654"/>
    <w:rsid w:val="00CC6B88"/>
    <w:rsid w:val="00CD1550"/>
    <w:rsid w:val="00CD21E1"/>
    <w:rsid w:val="00CD2438"/>
    <w:rsid w:val="00CD2D36"/>
    <w:rsid w:val="00CD3636"/>
    <w:rsid w:val="00CD3A45"/>
    <w:rsid w:val="00CD4D81"/>
    <w:rsid w:val="00CD5840"/>
    <w:rsid w:val="00CD68BB"/>
    <w:rsid w:val="00CE122D"/>
    <w:rsid w:val="00CE24D8"/>
    <w:rsid w:val="00CE29EE"/>
    <w:rsid w:val="00CE3B2E"/>
    <w:rsid w:val="00CE43CB"/>
    <w:rsid w:val="00CE616E"/>
    <w:rsid w:val="00CE6465"/>
    <w:rsid w:val="00CE7131"/>
    <w:rsid w:val="00CF0B2E"/>
    <w:rsid w:val="00CF148C"/>
    <w:rsid w:val="00CF2672"/>
    <w:rsid w:val="00CF31ED"/>
    <w:rsid w:val="00CF3E6D"/>
    <w:rsid w:val="00CF5B09"/>
    <w:rsid w:val="00CF70A1"/>
    <w:rsid w:val="00CF7705"/>
    <w:rsid w:val="00D00F74"/>
    <w:rsid w:val="00D01008"/>
    <w:rsid w:val="00D02BA4"/>
    <w:rsid w:val="00D05722"/>
    <w:rsid w:val="00D05FE1"/>
    <w:rsid w:val="00D0743C"/>
    <w:rsid w:val="00D1217F"/>
    <w:rsid w:val="00D127A1"/>
    <w:rsid w:val="00D13174"/>
    <w:rsid w:val="00D133BA"/>
    <w:rsid w:val="00D13AC8"/>
    <w:rsid w:val="00D168B3"/>
    <w:rsid w:val="00D16993"/>
    <w:rsid w:val="00D17749"/>
    <w:rsid w:val="00D17DC0"/>
    <w:rsid w:val="00D203A8"/>
    <w:rsid w:val="00D22B2F"/>
    <w:rsid w:val="00D22F6F"/>
    <w:rsid w:val="00D2319F"/>
    <w:rsid w:val="00D232FD"/>
    <w:rsid w:val="00D237D5"/>
    <w:rsid w:val="00D24882"/>
    <w:rsid w:val="00D311CB"/>
    <w:rsid w:val="00D3246F"/>
    <w:rsid w:val="00D32FF5"/>
    <w:rsid w:val="00D330EF"/>
    <w:rsid w:val="00D33563"/>
    <w:rsid w:val="00D3556B"/>
    <w:rsid w:val="00D35C06"/>
    <w:rsid w:val="00D3653B"/>
    <w:rsid w:val="00D36FF1"/>
    <w:rsid w:val="00D373A4"/>
    <w:rsid w:val="00D408BC"/>
    <w:rsid w:val="00D4309D"/>
    <w:rsid w:val="00D456ED"/>
    <w:rsid w:val="00D462A2"/>
    <w:rsid w:val="00D46976"/>
    <w:rsid w:val="00D46D7C"/>
    <w:rsid w:val="00D47118"/>
    <w:rsid w:val="00D474E2"/>
    <w:rsid w:val="00D50BA4"/>
    <w:rsid w:val="00D51070"/>
    <w:rsid w:val="00D52FBD"/>
    <w:rsid w:val="00D56EB6"/>
    <w:rsid w:val="00D60164"/>
    <w:rsid w:val="00D62CBD"/>
    <w:rsid w:val="00D639B0"/>
    <w:rsid w:val="00D6480E"/>
    <w:rsid w:val="00D64DAE"/>
    <w:rsid w:val="00D65306"/>
    <w:rsid w:val="00D65639"/>
    <w:rsid w:val="00D656DC"/>
    <w:rsid w:val="00D66574"/>
    <w:rsid w:val="00D67912"/>
    <w:rsid w:val="00D7040A"/>
    <w:rsid w:val="00D70902"/>
    <w:rsid w:val="00D716EE"/>
    <w:rsid w:val="00D722E3"/>
    <w:rsid w:val="00D7280A"/>
    <w:rsid w:val="00D72E0A"/>
    <w:rsid w:val="00D73C95"/>
    <w:rsid w:val="00D74767"/>
    <w:rsid w:val="00D7500F"/>
    <w:rsid w:val="00D7797C"/>
    <w:rsid w:val="00D77E04"/>
    <w:rsid w:val="00D800C6"/>
    <w:rsid w:val="00D80105"/>
    <w:rsid w:val="00D80939"/>
    <w:rsid w:val="00D80C29"/>
    <w:rsid w:val="00D80C60"/>
    <w:rsid w:val="00D80E71"/>
    <w:rsid w:val="00D810B4"/>
    <w:rsid w:val="00D82445"/>
    <w:rsid w:val="00D82D78"/>
    <w:rsid w:val="00D82E07"/>
    <w:rsid w:val="00D830F8"/>
    <w:rsid w:val="00D83C34"/>
    <w:rsid w:val="00D85ECA"/>
    <w:rsid w:val="00D85EF9"/>
    <w:rsid w:val="00D87120"/>
    <w:rsid w:val="00D90309"/>
    <w:rsid w:val="00D9070A"/>
    <w:rsid w:val="00D912D8"/>
    <w:rsid w:val="00D92DD6"/>
    <w:rsid w:val="00D95FBD"/>
    <w:rsid w:val="00D973FE"/>
    <w:rsid w:val="00D97995"/>
    <w:rsid w:val="00D97E95"/>
    <w:rsid w:val="00DA23A2"/>
    <w:rsid w:val="00DA4CD6"/>
    <w:rsid w:val="00DA53CB"/>
    <w:rsid w:val="00DA59AA"/>
    <w:rsid w:val="00DA70CA"/>
    <w:rsid w:val="00DA7131"/>
    <w:rsid w:val="00DB18B8"/>
    <w:rsid w:val="00DB1D13"/>
    <w:rsid w:val="00DB212B"/>
    <w:rsid w:val="00DB339F"/>
    <w:rsid w:val="00DB381F"/>
    <w:rsid w:val="00DB6EE7"/>
    <w:rsid w:val="00DB7B13"/>
    <w:rsid w:val="00DC131D"/>
    <w:rsid w:val="00DC27C6"/>
    <w:rsid w:val="00DC3FB2"/>
    <w:rsid w:val="00DC4CF6"/>
    <w:rsid w:val="00DC5CA8"/>
    <w:rsid w:val="00DC657A"/>
    <w:rsid w:val="00DC72FB"/>
    <w:rsid w:val="00DC7F1B"/>
    <w:rsid w:val="00DD138C"/>
    <w:rsid w:val="00DD233C"/>
    <w:rsid w:val="00DD2703"/>
    <w:rsid w:val="00DD3362"/>
    <w:rsid w:val="00DD3AAB"/>
    <w:rsid w:val="00DD4F01"/>
    <w:rsid w:val="00DD50D6"/>
    <w:rsid w:val="00DD5B99"/>
    <w:rsid w:val="00DD65ED"/>
    <w:rsid w:val="00DD71FD"/>
    <w:rsid w:val="00DE1E4B"/>
    <w:rsid w:val="00DE456E"/>
    <w:rsid w:val="00DE4775"/>
    <w:rsid w:val="00DE4D1D"/>
    <w:rsid w:val="00DE4FB7"/>
    <w:rsid w:val="00DE5DBF"/>
    <w:rsid w:val="00DE6345"/>
    <w:rsid w:val="00DE67BA"/>
    <w:rsid w:val="00DE7A33"/>
    <w:rsid w:val="00DF2BC5"/>
    <w:rsid w:val="00DF3802"/>
    <w:rsid w:val="00DF3EC4"/>
    <w:rsid w:val="00DF430D"/>
    <w:rsid w:val="00DF5A62"/>
    <w:rsid w:val="00DF68A9"/>
    <w:rsid w:val="00E03F8A"/>
    <w:rsid w:val="00E04A1F"/>
    <w:rsid w:val="00E04B79"/>
    <w:rsid w:val="00E06109"/>
    <w:rsid w:val="00E1067D"/>
    <w:rsid w:val="00E10C59"/>
    <w:rsid w:val="00E1184F"/>
    <w:rsid w:val="00E1209A"/>
    <w:rsid w:val="00E128FB"/>
    <w:rsid w:val="00E158F3"/>
    <w:rsid w:val="00E15EFE"/>
    <w:rsid w:val="00E15F18"/>
    <w:rsid w:val="00E1621E"/>
    <w:rsid w:val="00E17752"/>
    <w:rsid w:val="00E178AD"/>
    <w:rsid w:val="00E208B2"/>
    <w:rsid w:val="00E20CF4"/>
    <w:rsid w:val="00E20E5D"/>
    <w:rsid w:val="00E2206D"/>
    <w:rsid w:val="00E223F5"/>
    <w:rsid w:val="00E2359C"/>
    <w:rsid w:val="00E25CBA"/>
    <w:rsid w:val="00E261AB"/>
    <w:rsid w:val="00E261B8"/>
    <w:rsid w:val="00E261D7"/>
    <w:rsid w:val="00E273CB"/>
    <w:rsid w:val="00E27745"/>
    <w:rsid w:val="00E27DDD"/>
    <w:rsid w:val="00E3049D"/>
    <w:rsid w:val="00E30D4B"/>
    <w:rsid w:val="00E319D0"/>
    <w:rsid w:val="00E325B9"/>
    <w:rsid w:val="00E32B34"/>
    <w:rsid w:val="00E32C54"/>
    <w:rsid w:val="00E336B3"/>
    <w:rsid w:val="00E35E26"/>
    <w:rsid w:val="00E36472"/>
    <w:rsid w:val="00E36D0C"/>
    <w:rsid w:val="00E3799A"/>
    <w:rsid w:val="00E40180"/>
    <w:rsid w:val="00E42F03"/>
    <w:rsid w:val="00E4302A"/>
    <w:rsid w:val="00E46062"/>
    <w:rsid w:val="00E47F55"/>
    <w:rsid w:val="00E50462"/>
    <w:rsid w:val="00E5175B"/>
    <w:rsid w:val="00E56BFD"/>
    <w:rsid w:val="00E57C99"/>
    <w:rsid w:val="00E61766"/>
    <w:rsid w:val="00E61D07"/>
    <w:rsid w:val="00E62E30"/>
    <w:rsid w:val="00E62F53"/>
    <w:rsid w:val="00E63313"/>
    <w:rsid w:val="00E63CC5"/>
    <w:rsid w:val="00E64451"/>
    <w:rsid w:val="00E65FCC"/>
    <w:rsid w:val="00E66262"/>
    <w:rsid w:val="00E66665"/>
    <w:rsid w:val="00E66BAD"/>
    <w:rsid w:val="00E71B67"/>
    <w:rsid w:val="00E71D93"/>
    <w:rsid w:val="00E73A0E"/>
    <w:rsid w:val="00E7412E"/>
    <w:rsid w:val="00E7494F"/>
    <w:rsid w:val="00E750AA"/>
    <w:rsid w:val="00E764AB"/>
    <w:rsid w:val="00E76E68"/>
    <w:rsid w:val="00E77A0B"/>
    <w:rsid w:val="00E81A99"/>
    <w:rsid w:val="00E82AAF"/>
    <w:rsid w:val="00E82C1E"/>
    <w:rsid w:val="00E83262"/>
    <w:rsid w:val="00E832DE"/>
    <w:rsid w:val="00E83987"/>
    <w:rsid w:val="00E84312"/>
    <w:rsid w:val="00E84B7D"/>
    <w:rsid w:val="00E84ECB"/>
    <w:rsid w:val="00E85319"/>
    <w:rsid w:val="00E86116"/>
    <w:rsid w:val="00E8668F"/>
    <w:rsid w:val="00E956A2"/>
    <w:rsid w:val="00E964AC"/>
    <w:rsid w:val="00EA1368"/>
    <w:rsid w:val="00EA4013"/>
    <w:rsid w:val="00EA412A"/>
    <w:rsid w:val="00EA5774"/>
    <w:rsid w:val="00EB0125"/>
    <w:rsid w:val="00EB0444"/>
    <w:rsid w:val="00EB0DA4"/>
    <w:rsid w:val="00EB0EE2"/>
    <w:rsid w:val="00EB35F3"/>
    <w:rsid w:val="00EB3D53"/>
    <w:rsid w:val="00EB6AD4"/>
    <w:rsid w:val="00EC03B5"/>
    <w:rsid w:val="00EC0D9E"/>
    <w:rsid w:val="00EC248A"/>
    <w:rsid w:val="00EC258B"/>
    <w:rsid w:val="00EC52D7"/>
    <w:rsid w:val="00EC55F4"/>
    <w:rsid w:val="00EC66DA"/>
    <w:rsid w:val="00EC750D"/>
    <w:rsid w:val="00EC7BCC"/>
    <w:rsid w:val="00EC7C26"/>
    <w:rsid w:val="00ED1A85"/>
    <w:rsid w:val="00ED25D5"/>
    <w:rsid w:val="00ED2CEA"/>
    <w:rsid w:val="00ED4AE7"/>
    <w:rsid w:val="00ED4B05"/>
    <w:rsid w:val="00ED4B2F"/>
    <w:rsid w:val="00ED6144"/>
    <w:rsid w:val="00EE1799"/>
    <w:rsid w:val="00EE2107"/>
    <w:rsid w:val="00EE28B2"/>
    <w:rsid w:val="00EE31E8"/>
    <w:rsid w:val="00EE3A2D"/>
    <w:rsid w:val="00EE3C66"/>
    <w:rsid w:val="00EE4B72"/>
    <w:rsid w:val="00EE4FA6"/>
    <w:rsid w:val="00EE544B"/>
    <w:rsid w:val="00EE7AC5"/>
    <w:rsid w:val="00EF082E"/>
    <w:rsid w:val="00EF12AB"/>
    <w:rsid w:val="00EF1D14"/>
    <w:rsid w:val="00EF2AA0"/>
    <w:rsid w:val="00EF2B48"/>
    <w:rsid w:val="00EF4139"/>
    <w:rsid w:val="00EF4E7B"/>
    <w:rsid w:val="00EF6E3A"/>
    <w:rsid w:val="00EF73EF"/>
    <w:rsid w:val="00EF7DC6"/>
    <w:rsid w:val="00EF7E73"/>
    <w:rsid w:val="00F0208B"/>
    <w:rsid w:val="00F03A55"/>
    <w:rsid w:val="00F03F01"/>
    <w:rsid w:val="00F05DA2"/>
    <w:rsid w:val="00F072A9"/>
    <w:rsid w:val="00F074E3"/>
    <w:rsid w:val="00F075F9"/>
    <w:rsid w:val="00F11272"/>
    <w:rsid w:val="00F120DE"/>
    <w:rsid w:val="00F1508C"/>
    <w:rsid w:val="00F162EB"/>
    <w:rsid w:val="00F17427"/>
    <w:rsid w:val="00F175B5"/>
    <w:rsid w:val="00F17688"/>
    <w:rsid w:val="00F17D18"/>
    <w:rsid w:val="00F17E77"/>
    <w:rsid w:val="00F20303"/>
    <w:rsid w:val="00F2110A"/>
    <w:rsid w:val="00F21427"/>
    <w:rsid w:val="00F21A98"/>
    <w:rsid w:val="00F21E2B"/>
    <w:rsid w:val="00F22EE5"/>
    <w:rsid w:val="00F258DE"/>
    <w:rsid w:val="00F312AA"/>
    <w:rsid w:val="00F31EFC"/>
    <w:rsid w:val="00F34581"/>
    <w:rsid w:val="00F34FBE"/>
    <w:rsid w:val="00F351B9"/>
    <w:rsid w:val="00F35B1C"/>
    <w:rsid w:val="00F36A96"/>
    <w:rsid w:val="00F36FD0"/>
    <w:rsid w:val="00F40832"/>
    <w:rsid w:val="00F416F9"/>
    <w:rsid w:val="00F427C9"/>
    <w:rsid w:val="00F45B63"/>
    <w:rsid w:val="00F46678"/>
    <w:rsid w:val="00F46795"/>
    <w:rsid w:val="00F4766A"/>
    <w:rsid w:val="00F5013D"/>
    <w:rsid w:val="00F5093F"/>
    <w:rsid w:val="00F51ADF"/>
    <w:rsid w:val="00F51DCE"/>
    <w:rsid w:val="00F5203E"/>
    <w:rsid w:val="00F532A6"/>
    <w:rsid w:val="00F53999"/>
    <w:rsid w:val="00F53E35"/>
    <w:rsid w:val="00F5519D"/>
    <w:rsid w:val="00F55C4F"/>
    <w:rsid w:val="00F57D8C"/>
    <w:rsid w:val="00F602BB"/>
    <w:rsid w:val="00F60EAE"/>
    <w:rsid w:val="00F6140E"/>
    <w:rsid w:val="00F62B3D"/>
    <w:rsid w:val="00F632E3"/>
    <w:rsid w:val="00F634D9"/>
    <w:rsid w:val="00F63704"/>
    <w:rsid w:val="00F64EF5"/>
    <w:rsid w:val="00F6713E"/>
    <w:rsid w:val="00F7070E"/>
    <w:rsid w:val="00F70D73"/>
    <w:rsid w:val="00F7322B"/>
    <w:rsid w:val="00F74B4C"/>
    <w:rsid w:val="00F74CE5"/>
    <w:rsid w:val="00F8009B"/>
    <w:rsid w:val="00F8063F"/>
    <w:rsid w:val="00F806D6"/>
    <w:rsid w:val="00F8312D"/>
    <w:rsid w:val="00F855FF"/>
    <w:rsid w:val="00F85949"/>
    <w:rsid w:val="00F85B69"/>
    <w:rsid w:val="00F86959"/>
    <w:rsid w:val="00F86993"/>
    <w:rsid w:val="00F87465"/>
    <w:rsid w:val="00F87B5C"/>
    <w:rsid w:val="00F919B9"/>
    <w:rsid w:val="00F94997"/>
    <w:rsid w:val="00F950DF"/>
    <w:rsid w:val="00F95495"/>
    <w:rsid w:val="00F958A4"/>
    <w:rsid w:val="00F96DE6"/>
    <w:rsid w:val="00F97969"/>
    <w:rsid w:val="00F97CC3"/>
    <w:rsid w:val="00FA1E1F"/>
    <w:rsid w:val="00FA25F7"/>
    <w:rsid w:val="00FA5056"/>
    <w:rsid w:val="00FA5628"/>
    <w:rsid w:val="00FA5B90"/>
    <w:rsid w:val="00FA7F1C"/>
    <w:rsid w:val="00FB08EF"/>
    <w:rsid w:val="00FB1356"/>
    <w:rsid w:val="00FB298D"/>
    <w:rsid w:val="00FB324E"/>
    <w:rsid w:val="00FB35C7"/>
    <w:rsid w:val="00FB39AA"/>
    <w:rsid w:val="00FB47C9"/>
    <w:rsid w:val="00FB51FD"/>
    <w:rsid w:val="00FB7A86"/>
    <w:rsid w:val="00FC0083"/>
    <w:rsid w:val="00FC0DEE"/>
    <w:rsid w:val="00FC3052"/>
    <w:rsid w:val="00FC3201"/>
    <w:rsid w:val="00FC4E38"/>
    <w:rsid w:val="00FC5868"/>
    <w:rsid w:val="00FC5E17"/>
    <w:rsid w:val="00FC7871"/>
    <w:rsid w:val="00FC7C36"/>
    <w:rsid w:val="00FC7F52"/>
    <w:rsid w:val="00FD00A3"/>
    <w:rsid w:val="00FD0986"/>
    <w:rsid w:val="00FD09B0"/>
    <w:rsid w:val="00FD150F"/>
    <w:rsid w:val="00FD23EA"/>
    <w:rsid w:val="00FD2FBC"/>
    <w:rsid w:val="00FD3143"/>
    <w:rsid w:val="00FD3776"/>
    <w:rsid w:val="00FD4318"/>
    <w:rsid w:val="00FD4541"/>
    <w:rsid w:val="00FD580D"/>
    <w:rsid w:val="00FD6AFD"/>
    <w:rsid w:val="00FE06CA"/>
    <w:rsid w:val="00FE3A71"/>
    <w:rsid w:val="00FE4A9E"/>
    <w:rsid w:val="00FE7663"/>
    <w:rsid w:val="00FE77F2"/>
    <w:rsid w:val="00FE7929"/>
    <w:rsid w:val="00FE7B13"/>
    <w:rsid w:val="00FE7D06"/>
    <w:rsid w:val="00FF2E6F"/>
    <w:rsid w:val="00FF3D5B"/>
    <w:rsid w:val="00FF468A"/>
    <w:rsid w:val="00FF6725"/>
    <w:rsid w:val="00FF6D33"/>
    <w:rsid w:val="00FF762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0B51267"/>
  <w15:docId w15:val="{98D0FC19-9AB1-4271-9E14-73B95B52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754B9"/>
  </w:style>
  <w:style w:type="paragraph" w:styleId="Nadpis1">
    <w:name w:val="heading 1"/>
    <w:basedOn w:val="Normlny"/>
    <w:next w:val="Normlny"/>
    <w:link w:val="Nadpis1Char"/>
    <w:uiPriority w:val="9"/>
    <w:qFormat/>
    <w:rsid w:val="008E2BB2"/>
    <w:pPr>
      <w:keepNext/>
      <w:keepLines/>
      <w:spacing w:before="120" w:after="120"/>
      <w:outlineLvl w:val="0"/>
    </w:pPr>
    <w:rPr>
      <w:rFonts w:eastAsiaTheme="majorEastAsia" w:cstheme="majorBidi"/>
      <w:b/>
      <w:bCs/>
      <w:color w:val="0070C0"/>
      <w:sz w:val="28"/>
      <w:szCs w:val="28"/>
    </w:rPr>
  </w:style>
  <w:style w:type="paragraph" w:styleId="Nadpis2">
    <w:name w:val="heading 2"/>
    <w:basedOn w:val="Nadpis1"/>
    <w:next w:val="Normlny"/>
    <w:link w:val="Nadpis2Char"/>
    <w:uiPriority w:val="9"/>
    <w:unhideWhenUsed/>
    <w:qFormat/>
    <w:rsid w:val="008E2BB2"/>
    <w:pPr>
      <w:outlineLvl w:val="1"/>
    </w:pPr>
    <w:rPr>
      <w:bCs w:val="0"/>
      <w:sz w:val="24"/>
    </w:rPr>
  </w:style>
  <w:style w:type="paragraph" w:styleId="Nadpis3">
    <w:name w:val="heading 3"/>
    <w:basedOn w:val="Nadpis2"/>
    <w:next w:val="Normlny"/>
    <w:link w:val="Nadpis3Char"/>
    <w:uiPriority w:val="9"/>
    <w:unhideWhenUsed/>
    <w:qFormat/>
    <w:rsid w:val="00904284"/>
    <w:pPr>
      <w:outlineLvl w:val="2"/>
    </w:pPr>
    <w:rPr>
      <w:bCs/>
    </w:rPr>
  </w:style>
  <w:style w:type="paragraph" w:styleId="Nadpis4">
    <w:name w:val="heading 4"/>
    <w:basedOn w:val="Normlny"/>
    <w:next w:val="Normlny"/>
    <w:link w:val="Nadpis4Char"/>
    <w:uiPriority w:val="9"/>
    <w:unhideWhenUsed/>
    <w:qFormat/>
    <w:rsid w:val="00F416F9"/>
    <w:pPr>
      <w:keepNext/>
      <w:keepLines/>
      <w:outlineLvl w:val="3"/>
    </w:pPr>
    <w:rPr>
      <w:rFonts w:eastAsiaTheme="majorEastAsia" w:cstheme="majorBidi"/>
      <w:b/>
      <w:bCs/>
      <w:iCs/>
    </w:rPr>
  </w:style>
  <w:style w:type="paragraph" w:styleId="Nadpis8">
    <w:name w:val="heading 8"/>
    <w:basedOn w:val="Normlny"/>
    <w:next w:val="Normlny"/>
    <w:link w:val="Nadpis8Char"/>
    <w:uiPriority w:val="9"/>
    <w:semiHidden/>
    <w:unhideWhenUsed/>
    <w:qFormat/>
    <w:rsid w:val="00134AD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E2BB2"/>
    <w:rPr>
      <w:rFonts w:eastAsiaTheme="majorEastAsia" w:cstheme="majorBidi"/>
      <w:b/>
      <w:bCs/>
      <w:color w:val="0070C0"/>
      <w:sz w:val="28"/>
      <w:szCs w:val="28"/>
    </w:rPr>
  </w:style>
  <w:style w:type="character" w:customStyle="1" w:styleId="Nadpis2Char">
    <w:name w:val="Nadpis 2 Char"/>
    <w:basedOn w:val="Predvolenpsmoodseku"/>
    <w:link w:val="Nadpis2"/>
    <w:uiPriority w:val="9"/>
    <w:rsid w:val="008E2BB2"/>
    <w:rPr>
      <w:rFonts w:eastAsiaTheme="majorEastAsia" w:cstheme="majorBidi"/>
      <w:b/>
      <w:color w:val="0070C0"/>
      <w:sz w:val="24"/>
      <w:szCs w:val="28"/>
    </w:rPr>
  </w:style>
  <w:style w:type="character" w:customStyle="1" w:styleId="Nadpis3Char">
    <w:name w:val="Nadpis 3 Char"/>
    <w:basedOn w:val="Predvolenpsmoodseku"/>
    <w:link w:val="Nadpis3"/>
    <w:uiPriority w:val="9"/>
    <w:rsid w:val="00904284"/>
    <w:rPr>
      <w:rFonts w:eastAsiaTheme="majorEastAsia" w:cstheme="majorBidi"/>
      <w:b/>
      <w:color w:val="0070C0"/>
      <w:sz w:val="24"/>
    </w:rPr>
  </w:style>
  <w:style w:type="character" w:customStyle="1" w:styleId="Nadpis4Char">
    <w:name w:val="Nadpis 4 Char"/>
    <w:basedOn w:val="Predvolenpsmoodseku"/>
    <w:link w:val="Nadpis4"/>
    <w:uiPriority w:val="9"/>
    <w:rsid w:val="00F416F9"/>
    <w:rPr>
      <w:rFonts w:ascii="Arial Narrow" w:eastAsiaTheme="majorEastAsia" w:hAnsi="Arial Narrow" w:cstheme="majorBidi"/>
      <w:b/>
      <w:bCs/>
      <w:iCs/>
      <w:sz w:val="22"/>
    </w:rPr>
  </w:style>
  <w:style w:type="character" w:customStyle="1" w:styleId="Nadpis8Char">
    <w:name w:val="Nadpis 8 Char"/>
    <w:basedOn w:val="Predvolenpsmoodseku"/>
    <w:link w:val="Nadpis8"/>
    <w:uiPriority w:val="9"/>
    <w:semiHidden/>
    <w:rsid w:val="00134AD3"/>
    <w:rPr>
      <w:rFonts w:asciiTheme="majorHAnsi" w:eastAsiaTheme="majorEastAsia" w:hAnsiTheme="majorHAnsi" w:cstheme="majorBidi"/>
      <w:color w:val="272727" w:themeColor="text1" w:themeTint="D8"/>
      <w:sz w:val="21"/>
      <w:szCs w:val="21"/>
    </w:rPr>
  </w:style>
  <w:style w:type="paragraph" w:styleId="Zkladntext">
    <w:name w:val="Body Text"/>
    <w:basedOn w:val="Normlny"/>
    <w:link w:val="ZkladntextChar"/>
    <w:unhideWhenUsed/>
    <w:rsid w:val="009754B9"/>
    <w:pPr>
      <w:spacing w:after="120"/>
    </w:pPr>
    <w:rPr>
      <w:rFonts w:eastAsia="Times New Roman" w:cs="Times New Roman"/>
      <w:szCs w:val="24"/>
      <w:lang w:eastAsia="sk-SK"/>
    </w:rPr>
  </w:style>
  <w:style w:type="character" w:customStyle="1" w:styleId="ZkladntextChar">
    <w:name w:val="Základný text Char"/>
    <w:basedOn w:val="Predvolenpsmoodseku"/>
    <w:link w:val="Zkladntext"/>
    <w:rsid w:val="009754B9"/>
    <w:rPr>
      <w:rFonts w:eastAsia="Times New Roman" w:cs="Times New Roman"/>
      <w:szCs w:val="24"/>
      <w:lang w:eastAsia="sk-SK"/>
    </w:rPr>
  </w:style>
  <w:style w:type="character" w:customStyle="1" w:styleId="BezriadkovaniaChar">
    <w:name w:val="Bez riadkovania Char"/>
    <w:basedOn w:val="Predvolenpsmoodseku"/>
    <w:link w:val="Bezriadkovania"/>
    <w:uiPriority w:val="1"/>
    <w:locked/>
    <w:rsid w:val="009754B9"/>
    <w:rPr>
      <w:rFonts w:eastAsia="Times New Roman" w:cs="Times New Roman"/>
      <w:szCs w:val="24"/>
      <w:lang w:eastAsia="sk-SK"/>
    </w:rPr>
  </w:style>
  <w:style w:type="paragraph" w:styleId="Bezriadkovania">
    <w:name w:val="No Spacing"/>
    <w:link w:val="BezriadkovaniaChar"/>
    <w:uiPriority w:val="1"/>
    <w:qFormat/>
    <w:rsid w:val="009754B9"/>
    <w:rPr>
      <w:rFonts w:eastAsia="Times New Roman" w:cs="Times New Roman"/>
      <w:szCs w:val="24"/>
      <w:lang w:eastAsia="sk-SK"/>
    </w:rPr>
  </w:style>
  <w:style w:type="character" w:customStyle="1" w:styleId="OdsekzoznamuChar">
    <w:name w:val="Odsek zoznamu Char"/>
    <w:aliases w:val="body Char,Odsek zoznamu2 Char,Odsek Char,Odsek zoznamu1 Char,Dot pt Char,No Spacing1 Char,List Paragraph Char Char Char Char,Indicator Text Char,Numbered Para 1 Char,List Paragraph à moi Char,Odsek zoznamu4 Char,LISTA Char,3 Char"/>
    <w:basedOn w:val="Predvolenpsmoodseku"/>
    <w:link w:val="Odsekzoznamu"/>
    <w:uiPriority w:val="34"/>
    <w:qFormat/>
    <w:locked/>
    <w:rsid w:val="009754B9"/>
  </w:style>
  <w:style w:type="paragraph" w:styleId="Odsekzoznamu">
    <w:name w:val="List Paragraph"/>
    <w:aliases w:val="body,Odsek zoznamu2,Odsek,Odsek zoznamu1,Dot pt,No Spacing1,List Paragraph Char Char Char,Indicator Text,Numbered Para 1,List Paragraph à moi,Odsek zoznamu4,LISTA,Listaszerű bekezdés2,Listaszerű bekezdés3,Listaszerű bekezdés1,Bullet 1,3"/>
    <w:basedOn w:val="Normlny"/>
    <w:link w:val="OdsekzoznamuChar"/>
    <w:uiPriority w:val="34"/>
    <w:qFormat/>
    <w:rsid w:val="009754B9"/>
    <w:pPr>
      <w:ind w:left="720"/>
      <w:contextualSpacing/>
    </w:pPr>
  </w:style>
  <w:style w:type="character" w:customStyle="1" w:styleId="2stlpceChar">
    <w:name w:val="2 stlpce Char"/>
    <w:link w:val="2stlpce"/>
    <w:locked/>
    <w:rsid w:val="009754B9"/>
    <w:rPr>
      <w:rFonts w:ascii="Calibri" w:eastAsia="Times New Roman" w:hAnsi="Calibri" w:cs="Times New Roman"/>
      <w:sz w:val="22"/>
    </w:rPr>
  </w:style>
  <w:style w:type="paragraph" w:customStyle="1" w:styleId="2stlpce">
    <w:name w:val="2 stlpce"/>
    <w:basedOn w:val="Normlny"/>
    <w:link w:val="2stlpceChar"/>
    <w:qFormat/>
    <w:rsid w:val="009754B9"/>
    <w:pPr>
      <w:spacing w:after="120"/>
      <w:jc w:val="both"/>
    </w:pPr>
    <w:rPr>
      <w:rFonts w:ascii="Calibri" w:eastAsia="Times New Roman" w:hAnsi="Calibri" w:cs="Times New Roman"/>
    </w:rPr>
  </w:style>
  <w:style w:type="paragraph" w:customStyle="1" w:styleId="Default">
    <w:name w:val="Default"/>
    <w:rsid w:val="009754B9"/>
    <w:pPr>
      <w:autoSpaceDE w:val="0"/>
      <w:autoSpaceDN w:val="0"/>
      <w:adjustRightInd w:val="0"/>
    </w:pPr>
    <w:rPr>
      <w:rFonts w:cs="Times New Roman"/>
      <w:color w:val="000000"/>
      <w:szCs w:val="24"/>
    </w:rPr>
  </w:style>
  <w:style w:type="paragraph" w:styleId="Textbubliny">
    <w:name w:val="Balloon Text"/>
    <w:basedOn w:val="Normlny"/>
    <w:link w:val="TextbublinyChar"/>
    <w:uiPriority w:val="99"/>
    <w:semiHidden/>
    <w:unhideWhenUsed/>
    <w:rsid w:val="009754B9"/>
    <w:rPr>
      <w:rFonts w:ascii="Tahoma" w:hAnsi="Tahoma" w:cs="Tahoma"/>
      <w:sz w:val="16"/>
      <w:szCs w:val="16"/>
    </w:rPr>
  </w:style>
  <w:style w:type="character" w:customStyle="1" w:styleId="TextbublinyChar">
    <w:name w:val="Text bubliny Char"/>
    <w:basedOn w:val="Predvolenpsmoodseku"/>
    <w:link w:val="Textbubliny"/>
    <w:uiPriority w:val="99"/>
    <w:semiHidden/>
    <w:rsid w:val="009754B9"/>
    <w:rPr>
      <w:rFonts w:ascii="Tahoma" w:hAnsi="Tahoma" w:cs="Tahoma"/>
      <w:sz w:val="16"/>
      <w:szCs w:val="16"/>
    </w:rPr>
  </w:style>
  <w:style w:type="character" w:styleId="Odkaznakomentr">
    <w:name w:val="annotation reference"/>
    <w:basedOn w:val="Predvolenpsmoodseku"/>
    <w:uiPriority w:val="99"/>
    <w:semiHidden/>
    <w:unhideWhenUsed/>
    <w:rsid w:val="009754B9"/>
    <w:rPr>
      <w:sz w:val="16"/>
      <w:szCs w:val="16"/>
    </w:rPr>
  </w:style>
  <w:style w:type="paragraph" w:styleId="Textkomentra">
    <w:name w:val="annotation text"/>
    <w:basedOn w:val="Normlny"/>
    <w:link w:val="TextkomentraChar"/>
    <w:uiPriority w:val="99"/>
    <w:unhideWhenUsed/>
    <w:rsid w:val="009754B9"/>
    <w:rPr>
      <w:sz w:val="20"/>
      <w:szCs w:val="20"/>
    </w:rPr>
  </w:style>
  <w:style w:type="character" w:customStyle="1" w:styleId="TextkomentraChar">
    <w:name w:val="Text komentára Char"/>
    <w:basedOn w:val="Predvolenpsmoodseku"/>
    <w:link w:val="Textkomentra"/>
    <w:uiPriority w:val="99"/>
    <w:rsid w:val="009754B9"/>
    <w:rPr>
      <w:sz w:val="20"/>
      <w:szCs w:val="20"/>
    </w:rPr>
  </w:style>
  <w:style w:type="paragraph" w:styleId="Predmetkomentra">
    <w:name w:val="annotation subject"/>
    <w:basedOn w:val="Textkomentra"/>
    <w:next w:val="Textkomentra"/>
    <w:link w:val="PredmetkomentraChar"/>
    <w:uiPriority w:val="99"/>
    <w:semiHidden/>
    <w:unhideWhenUsed/>
    <w:rsid w:val="009754B9"/>
    <w:rPr>
      <w:b/>
      <w:bCs/>
    </w:rPr>
  </w:style>
  <w:style w:type="character" w:customStyle="1" w:styleId="PredmetkomentraChar">
    <w:name w:val="Predmet komentára Char"/>
    <w:basedOn w:val="TextkomentraChar"/>
    <w:link w:val="Predmetkomentra"/>
    <w:uiPriority w:val="99"/>
    <w:semiHidden/>
    <w:rsid w:val="009754B9"/>
    <w:rPr>
      <w:b/>
      <w:bCs/>
      <w:sz w:val="20"/>
      <w:szCs w:val="20"/>
    </w:rPr>
  </w:style>
  <w:style w:type="paragraph" w:styleId="Hlavika">
    <w:name w:val="header"/>
    <w:basedOn w:val="Normlny"/>
    <w:link w:val="HlavikaChar"/>
    <w:uiPriority w:val="99"/>
    <w:unhideWhenUsed/>
    <w:rsid w:val="009754B9"/>
    <w:pPr>
      <w:tabs>
        <w:tab w:val="center" w:pos="4536"/>
        <w:tab w:val="right" w:pos="9072"/>
      </w:tabs>
    </w:pPr>
  </w:style>
  <w:style w:type="character" w:customStyle="1" w:styleId="HlavikaChar">
    <w:name w:val="Hlavička Char"/>
    <w:basedOn w:val="Predvolenpsmoodseku"/>
    <w:link w:val="Hlavika"/>
    <w:uiPriority w:val="99"/>
    <w:rsid w:val="009754B9"/>
  </w:style>
  <w:style w:type="paragraph" w:styleId="Pta">
    <w:name w:val="footer"/>
    <w:basedOn w:val="Normlny"/>
    <w:link w:val="PtaChar"/>
    <w:uiPriority w:val="99"/>
    <w:unhideWhenUsed/>
    <w:rsid w:val="009754B9"/>
    <w:pPr>
      <w:tabs>
        <w:tab w:val="center" w:pos="4536"/>
        <w:tab w:val="right" w:pos="9072"/>
      </w:tabs>
    </w:pPr>
  </w:style>
  <w:style w:type="character" w:customStyle="1" w:styleId="PtaChar">
    <w:name w:val="Päta Char"/>
    <w:basedOn w:val="Predvolenpsmoodseku"/>
    <w:link w:val="Pta"/>
    <w:uiPriority w:val="99"/>
    <w:rsid w:val="009754B9"/>
  </w:style>
  <w:style w:type="table" w:styleId="Mriekatabuky">
    <w:name w:val="Table Grid"/>
    <w:basedOn w:val="Normlnatabuka"/>
    <w:uiPriority w:val="59"/>
    <w:rsid w:val="0097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unhideWhenUsed/>
    <w:rsid w:val="009754B9"/>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9754B9"/>
    <w:rPr>
      <w:sz w:val="20"/>
      <w:szCs w:val="20"/>
    </w:rPr>
  </w:style>
  <w:style w:type="character" w:styleId="Odkaznapoznmkupodiarou">
    <w:name w:val="footnote reference"/>
    <w:basedOn w:val="Predvolenpsmoodseku"/>
    <w:uiPriority w:val="99"/>
    <w:semiHidden/>
    <w:unhideWhenUsed/>
    <w:rsid w:val="009754B9"/>
    <w:rPr>
      <w:vertAlign w:val="superscript"/>
    </w:rPr>
  </w:style>
  <w:style w:type="paragraph" w:styleId="Zarkazkladnhotextu">
    <w:name w:val="Body Text Indent"/>
    <w:basedOn w:val="Normlny"/>
    <w:link w:val="ZarkazkladnhotextuChar"/>
    <w:uiPriority w:val="99"/>
    <w:unhideWhenUsed/>
    <w:rsid w:val="009754B9"/>
    <w:pPr>
      <w:spacing w:after="120"/>
      <w:ind w:left="283"/>
    </w:pPr>
  </w:style>
  <w:style w:type="character" w:customStyle="1" w:styleId="ZarkazkladnhotextuChar">
    <w:name w:val="Zarážka základného textu Char"/>
    <w:basedOn w:val="Predvolenpsmoodseku"/>
    <w:link w:val="Zarkazkladnhotextu"/>
    <w:uiPriority w:val="99"/>
    <w:rsid w:val="009754B9"/>
  </w:style>
  <w:style w:type="character" w:styleId="Hypertextovprepojenie">
    <w:name w:val="Hyperlink"/>
    <w:basedOn w:val="Predvolenpsmoodseku"/>
    <w:uiPriority w:val="99"/>
    <w:unhideWhenUsed/>
    <w:rsid w:val="009754B9"/>
    <w:rPr>
      <w:color w:val="0000FF" w:themeColor="hyperlink"/>
      <w:u w:val="single"/>
    </w:rPr>
  </w:style>
  <w:style w:type="paragraph" w:styleId="Nzov">
    <w:name w:val="Title"/>
    <w:basedOn w:val="Normlny"/>
    <w:next w:val="Normlny"/>
    <w:link w:val="NzovChar"/>
    <w:uiPriority w:val="10"/>
    <w:qFormat/>
    <w:rsid w:val="009754B9"/>
    <w:pPr>
      <w:spacing w:before="240" w:after="60"/>
      <w:jc w:val="center"/>
      <w:outlineLvl w:val="0"/>
    </w:pPr>
    <w:rPr>
      <w:rFonts w:ascii="Cambria" w:eastAsia="Times New Roman" w:hAnsi="Cambria" w:cs="Times New Roman"/>
      <w:b/>
      <w:bCs/>
      <w:kern w:val="28"/>
      <w:sz w:val="32"/>
      <w:szCs w:val="32"/>
    </w:rPr>
  </w:style>
  <w:style w:type="character" w:customStyle="1" w:styleId="NzovChar">
    <w:name w:val="Názov Char"/>
    <w:basedOn w:val="Predvolenpsmoodseku"/>
    <w:link w:val="Nzov"/>
    <w:uiPriority w:val="10"/>
    <w:rsid w:val="009754B9"/>
    <w:rPr>
      <w:rFonts w:ascii="Cambria" w:eastAsia="Times New Roman" w:hAnsi="Cambria" w:cs="Times New Roman"/>
      <w:b/>
      <w:bCs/>
      <w:kern w:val="28"/>
      <w:sz w:val="32"/>
      <w:szCs w:val="32"/>
    </w:rPr>
  </w:style>
  <w:style w:type="paragraph" w:styleId="Obsah1">
    <w:name w:val="toc 1"/>
    <w:basedOn w:val="Normlny"/>
    <w:next w:val="Normlny"/>
    <w:autoRedefine/>
    <w:uiPriority w:val="39"/>
    <w:unhideWhenUsed/>
    <w:qFormat/>
    <w:rsid w:val="0002327B"/>
    <w:pPr>
      <w:tabs>
        <w:tab w:val="left" w:pos="284"/>
        <w:tab w:val="right" w:pos="9346"/>
      </w:tabs>
    </w:pPr>
    <w:rPr>
      <w:b/>
      <w:bCs/>
      <w:noProof/>
      <w:szCs w:val="20"/>
    </w:rPr>
  </w:style>
  <w:style w:type="paragraph" w:styleId="Obsah2">
    <w:name w:val="toc 2"/>
    <w:basedOn w:val="Normlny"/>
    <w:next w:val="Normlny"/>
    <w:autoRedefine/>
    <w:uiPriority w:val="39"/>
    <w:unhideWhenUsed/>
    <w:qFormat/>
    <w:rsid w:val="007824C3"/>
    <w:pPr>
      <w:tabs>
        <w:tab w:val="left" w:pos="720"/>
        <w:tab w:val="right" w:pos="9346"/>
      </w:tabs>
      <w:ind w:left="238"/>
    </w:pPr>
    <w:rPr>
      <w:iCs/>
      <w:noProof/>
    </w:rPr>
  </w:style>
  <w:style w:type="paragraph" w:styleId="Obsah3">
    <w:name w:val="toc 3"/>
    <w:basedOn w:val="Normlny"/>
    <w:next w:val="Normlny"/>
    <w:autoRedefine/>
    <w:uiPriority w:val="39"/>
    <w:unhideWhenUsed/>
    <w:qFormat/>
    <w:rsid w:val="00813A29"/>
    <w:pPr>
      <w:tabs>
        <w:tab w:val="left" w:pos="1200"/>
        <w:tab w:val="right" w:pos="9346"/>
      </w:tabs>
      <w:ind w:left="480"/>
    </w:pPr>
    <w:rPr>
      <w:rFonts w:asciiTheme="minorHAnsi" w:hAnsiTheme="minorHAnsi"/>
      <w:sz w:val="20"/>
      <w:szCs w:val="20"/>
    </w:rPr>
  </w:style>
  <w:style w:type="paragraph" w:styleId="Hlavikaobsahu">
    <w:name w:val="TOC Heading"/>
    <w:basedOn w:val="Nadpis1"/>
    <w:next w:val="Normlny"/>
    <w:uiPriority w:val="39"/>
    <w:unhideWhenUsed/>
    <w:qFormat/>
    <w:rsid w:val="009754B9"/>
    <w:pPr>
      <w:outlineLvl w:val="9"/>
    </w:pPr>
    <w:rPr>
      <w:lang w:eastAsia="sk-SK"/>
    </w:rPr>
  </w:style>
  <w:style w:type="table" w:customStyle="1" w:styleId="Mriekatabuky1">
    <w:name w:val="Mriežka tabuľky1"/>
    <w:basedOn w:val="Normlnatabuka"/>
    <w:next w:val="Mriekatabuky"/>
    <w:uiPriority w:val="39"/>
    <w:rsid w:val="00A0182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y"/>
    <w:next w:val="Normlny"/>
    <w:autoRedefine/>
    <w:uiPriority w:val="39"/>
    <w:unhideWhenUsed/>
    <w:rsid w:val="00AF5D80"/>
    <w:pPr>
      <w:ind w:left="720"/>
    </w:pPr>
    <w:rPr>
      <w:rFonts w:asciiTheme="minorHAnsi" w:hAnsiTheme="minorHAnsi"/>
      <w:sz w:val="20"/>
      <w:szCs w:val="20"/>
    </w:rPr>
  </w:style>
  <w:style w:type="paragraph" w:styleId="Obsah5">
    <w:name w:val="toc 5"/>
    <w:basedOn w:val="Normlny"/>
    <w:next w:val="Normlny"/>
    <w:autoRedefine/>
    <w:uiPriority w:val="39"/>
    <w:unhideWhenUsed/>
    <w:rsid w:val="00AF5D80"/>
    <w:pPr>
      <w:ind w:left="960"/>
    </w:pPr>
    <w:rPr>
      <w:rFonts w:asciiTheme="minorHAnsi" w:hAnsiTheme="minorHAnsi"/>
      <w:sz w:val="20"/>
      <w:szCs w:val="20"/>
    </w:rPr>
  </w:style>
  <w:style w:type="paragraph" w:styleId="Obsah6">
    <w:name w:val="toc 6"/>
    <w:basedOn w:val="Normlny"/>
    <w:next w:val="Normlny"/>
    <w:autoRedefine/>
    <w:uiPriority w:val="39"/>
    <w:unhideWhenUsed/>
    <w:rsid w:val="00AF5D80"/>
    <w:pPr>
      <w:ind w:left="1200"/>
    </w:pPr>
    <w:rPr>
      <w:rFonts w:asciiTheme="minorHAnsi" w:hAnsiTheme="minorHAnsi"/>
      <w:sz w:val="20"/>
      <w:szCs w:val="20"/>
    </w:rPr>
  </w:style>
  <w:style w:type="paragraph" w:styleId="Obsah7">
    <w:name w:val="toc 7"/>
    <w:basedOn w:val="Normlny"/>
    <w:next w:val="Normlny"/>
    <w:autoRedefine/>
    <w:uiPriority w:val="39"/>
    <w:unhideWhenUsed/>
    <w:rsid w:val="00AF5D80"/>
    <w:pPr>
      <w:ind w:left="1440"/>
    </w:pPr>
    <w:rPr>
      <w:rFonts w:asciiTheme="minorHAnsi" w:hAnsiTheme="minorHAnsi"/>
      <w:sz w:val="20"/>
      <w:szCs w:val="20"/>
    </w:rPr>
  </w:style>
  <w:style w:type="paragraph" w:styleId="Obsah8">
    <w:name w:val="toc 8"/>
    <w:basedOn w:val="Normlny"/>
    <w:next w:val="Normlny"/>
    <w:autoRedefine/>
    <w:uiPriority w:val="39"/>
    <w:unhideWhenUsed/>
    <w:rsid w:val="00AF5D80"/>
    <w:pPr>
      <w:ind w:left="1680"/>
    </w:pPr>
    <w:rPr>
      <w:rFonts w:asciiTheme="minorHAnsi" w:hAnsiTheme="minorHAnsi"/>
      <w:sz w:val="20"/>
      <w:szCs w:val="20"/>
    </w:rPr>
  </w:style>
  <w:style w:type="paragraph" w:styleId="Obsah9">
    <w:name w:val="toc 9"/>
    <w:basedOn w:val="Normlny"/>
    <w:next w:val="Normlny"/>
    <w:autoRedefine/>
    <w:uiPriority w:val="39"/>
    <w:unhideWhenUsed/>
    <w:rsid w:val="00AF5D80"/>
    <w:pPr>
      <w:ind w:left="1920"/>
    </w:pPr>
    <w:rPr>
      <w:rFonts w:asciiTheme="minorHAnsi" w:hAnsiTheme="minorHAnsi"/>
      <w:sz w:val="20"/>
      <w:szCs w:val="20"/>
    </w:rPr>
  </w:style>
  <w:style w:type="paragraph" w:styleId="Normlnywebov">
    <w:name w:val="Normal (Web)"/>
    <w:basedOn w:val="Normlny"/>
    <w:uiPriority w:val="99"/>
    <w:unhideWhenUsed/>
    <w:rsid w:val="00066DA8"/>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CM1">
    <w:name w:val="CM1"/>
    <w:basedOn w:val="Default"/>
    <w:next w:val="Default"/>
    <w:uiPriority w:val="99"/>
    <w:rsid w:val="00A76D0F"/>
    <w:rPr>
      <w:rFonts w:ascii="EUAlbertina" w:hAnsi="EUAlbertina" w:cstheme="minorBidi"/>
      <w:color w:val="auto"/>
      <w:sz w:val="24"/>
    </w:rPr>
  </w:style>
  <w:style w:type="paragraph" w:customStyle="1" w:styleId="CM3">
    <w:name w:val="CM3"/>
    <w:basedOn w:val="Default"/>
    <w:next w:val="Default"/>
    <w:uiPriority w:val="99"/>
    <w:rsid w:val="00A76D0F"/>
    <w:rPr>
      <w:rFonts w:ascii="EUAlbertina" w:hAnsi="EUAlbertina" w:cstheme="minorBidi"/>
      <w:color w:val="auto"/>
      <w:sz w:val="24"/>
    </w:rPr>
  </w:style>
  <w:style w:type="character" w:styleId="Zstupntext">
    <w:name w:val="Placeholder Text"/>
    <w:basedOn w:val="Predvolenpsmoodseku"/>
    <w:uiPriority w:val="99"/>
    <w:semiHidden/>
    <w:rsid w:val="00A76D0F"/>
    <w:rPr>
      <w:color w:val="808080"/>
    </w:rPr>
  </w:style>
  <w:style w:type="paragraph" w:customStyle="1" w:styleId="Zkladntext22">
    <w:name w:val="Základný text 22"/>
    <w:basedOn w:val="Normlny"/>
    <w:rsid w:val="00F53999"/>
    <w:pPr>
      <w:jc w:val="both"/>
    </w:pPr>
    <w:rPr>
      <w:rFonts w:ascii="Times New Roman" w:eastAsia="Times New Roman" w:hAnsi="Times New Roman" w:cs="Times New Roman"/>
      <w:sz w:val="24"/>
      <w:szCs w:val="24"/>
      <w:lang w:eastAsia="cs-CZ"/>
    </w:rPr>
  </w:style>
  <w:style w:type="character" w:styleId="Siln">
    <w:name w:val="Strong"/>
    <w:basedOn w:val="Predvolenpsmoodseku"/>
    <w:uiPriority w:val="99"/>
    <w:qFormat/>
    <w:rsid w:val="00D24882"/>
    <w:rPr>
      <w:b/>
      <w:bCs/>
    </w:rPr>
  </w:style>
  <w:style w:type="paragraph" w:styleId="Revzia">
    <w:name w:val="Revision"/>
    <w:hidden/>
    <w:uiPriority w:val="99"/>
    <w:semiHidden/>
    <w:rsid w:val="009B4A04"/>
  </w:style>
  <w:style w:type="character" w:customStyle="1" w:styleId="line-height-150">
    <w:name w:val="line-height-150"/>
    <w:basedOn w:val="Predvolenpsmoodseku"/>
    <w:rsid w:val="009B4A04"/>
  </w:style>
  <w:style w:type="character" w:customStyle="1" w:styleId="Hypertextovprepojenie1">
    <w:name w:val="Hypertextové prepojenie1"/>
    <w:basedOn w:val="Predvolenpsmoodseku"/>
    <w:uiPriority w:val="99"/>
    <w:unhideWhenUsed/>
    <w:rsid w:val="00475F94"/>
    <w:rPr>
      <w:color w:val="0563C1"/>
      <w:u w:val="single"/>
    </w:rPr>
  </w:style>
  <w:style w:type="paragraph" w:customStyle="1" w:styleId="tl1">
    <w:name w:val="Štýl1"/>
    <w:basedOn w:val="Normlny"/>
    <w:link w:val="tl1Char"/>
    <w:qFormat/>
    <w:rsid w:val="00B13FA3"/>
  </w:style>
  <w:style w:type="character" w:customStyle="1" w:styleId="tl1Char">
    <w:name w:val="Štýl1 Char"/>
    <w:basedOn w:val="Predvolenpsmoodseku"/>
    <w:link w:val="tl1"/>
    <w:rsid w:val="00B13FA3"/>
  </w:style>
  <w:style w:type="character" w:styleId="Jemnzvraznenie">
    <w:name w:val="Subtle Emphasis"/>
    <w:basedOn w:val="Predvolenpsmoodseku"/>
    <w:uiPriority w:val="19"/>
    <w:qFormat/>
    <w:rsid w:val="00B13FA3"/>
    <w:rPr>
      <w:i/>
      <w:iCs/>
      <w:color w:val="404040" w:themeColor="text1" w:themeTint="BF"/>
    </w:rPr>
  </w:style>
  <w:style w:type="character" w:customStyle="1" w:styleId="spanr">
    <w:name w:val="span_r"/>
    <w:basedOn w:val="Predvolenpsmoodseku"/>
    <w:rsid w:val="002E2B1E"/>
  </w:style>
  <w:style w:type="table" w:customStyle="1" w:styleId="Mriekatabuky2">
    <w:name w:val="Mriežka tabuľky2"/>
    <w:basedOn w:val="Normlnatabuka"/>
    <w:next w:val="Mriekatabuky"/>
    <w:uiPriority w:val="59"/>
    <w:rsid w:val="0062190C"/>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riekatabuky3">
    <w:name w:val="Mriežka tabuľky3"/>
    <w:basedOn w:val="Normlnatabuka"/>
    <w:next w:val="Mriekatabuky"/>
    <w:uiPriority w:val="59"/>
    <w:rsid w:val="0062190C"/>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riekatabuky4">
    <w:name w:val="Mriežka tabuľky4"/>
    <w:basedOn w:val="Normlnatabuka"/>
    <w:next w:val="Mriekatabuky"/>
    <w:uiPriority w:val="59"/>
    <w:rsid w:val="0062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62190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
    <w:name w:val="Mriežka tabuľky6"/>
    <w:basedOn w:val="Normlnatabuka"/>
    <w:next w:val="Mriekatabuky"/>
    <w:uiPriority w:val="59"/>
    <w:rsid w:val="0062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59"/>
    <w:rsid w:val="0062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
    <w:name w:val="Iné_"/>
    <w:basedOn w:val="Predvolenpsmoodseku"/>
    <w:link w:val="In0"/>
    <w:rsid w:val="00165F0C"/>
    <w:rPr>
      <w:rFonts w:ascii="Times New Roman" w:eastAsia="Times New Roman" w:hAnsi="Times New Roman" w:cs="Times New Roman"/>
      <w:shd w:val="clear" w:color="auto" w:fill="FFFFFF"/>
      <w:lang w:val="en-US" w:bidi="en-US"/>
    </w:rPr>
  </w:style>
  <w:style w:type="paragraph" w:customStyle="1" w:styleId="In0">
    <w:name w:val="Iné"/>
    <w:basedOn w:val="Normlny"/>
    <w:link w:val="In"/>
    <w:rsid w:val="00165F0C"/>
    <w:pPr>
      <w:widowControl w:val="0"/>
      <w:shd w:val="clear" w:color="auto" w:fill="FFFFFF"/>
      <w:spacing w:after="100" w:line="336" w:lineRule="auto"/>
      <w:jc w:val="both"/>
    </w:pPr>
    <w:rPr>
      <w:rFonts w:ascii="Times New Roman" w:eastAsia="Times New Roman" w:hAnsi="Times New Roman" w:cs="Times New Roman"/>
      <w:lang w:val="en-US" w:bidi="en-US"/>
    </w:rPr>
  </w:style>
  <w:style w:type="character" w:customStyle="1" w:styleId="Zkladntext0">
    <w:name w:val="Základný text_"/>
    <w:basedOn w:val="Predvolenpsmoodseku"/>
    <w:link w:val="Zkladntext1"/>
    <w:rsid w:val="00165F0C"/>
    <w:rPr>
      <w:rFonts w:ascii="Times New Roman" w:eastAsia="Times New Roman" w:hAnsi="Times New Roman" w:cs="Times New Roman"/>
      <w:shd w:val="clear" w:color="auto" w:fill="FFFFFF"/>
    </w:rPr>
  </w:style>
  <w:style w:type="paragraph" w:customStyle="1" w:styleId="Zkladntext1">
    <w:name w:val="Základný text1"/>
    <w:basedOn w:val="Normlny"/>
    <w:link w:val="Zkladntext0"/>
    <w:rsid w:val="00165F0C"/>
    <w:pPr>
      <w:widowControl w:val="0"/>
      <w:shd w:val="clear" w:color="auto" w:fill="FFFFFF"/>
      <w:spacing w:after="100" w:line="336" w:lineRule="auto"/>
      <w:jc w:val="both"/>
    </w:pPr>
    <w:rPr>
      <w:rFonts w:ascii="Times New Roman" w:eastAsia="Times New Roman" w:hAnsi="Times New Roman" w:cs="Times New Roman"/>
    </w:rPr>
  </w:style>
  <w:style w:type="character" w:customStyle="1" w:styleId="Nzovtabuky">
    <w:name w:val="Názov tabuľky_"/>
    <w:basedOn w:val="Predvolenpsmoodseku"/>
    <w:link w:val="Nzovtabuky0"/>
    <w:rsid w:val="003E5EA4"/>
    <w:rPr>
      <w:rFonts w:ascii="Arial" w:eastAsia="Arial" w:hAnsi="Arial" w:cs="Arial"/>
      <w:sz w:val="14"/>
      <w:szCs w:val="14"/>
      <w:shd w:val="clear" w:color="auto" w:fill="FFFFFF"/>
      <w:lang w:val="en-US" w:bidi="en-US"/>
    </w:rPr>
  </w:style>
  <w:style w:type="paragraph" w:customStyle="1" w:styleId="Nzovtabuky0">
    <w:name w:val="Názov tabuľky"/>
    <w:basedOn w:val="Normlny"/>
    <w:link w:val="Nzovtabuky"/>
    <w:rsid w:val="003E5EA4"/>
    <w:pPr>
      <w:widowControl w:val="0"/>
      <w:shd w:val="clear" w:color="auto" w:fill="FFFFFF"/>
    </w:pPr>
    <w:rPr>
      <w:rFonts w:ascii="Arial" w:eastAsia="Arial" w:hAnsi="Arial" w:cs="Arial"/>
      <w:sz w:val="14"/>
      <w:szCs w:val="14"/>
      <w:lang w:val="en-US" w:bidi="en-US"/>
    </w:rPr>
  </w:style>
  <w:style w:type="table" w:customStyle="1" w:styleId="Tabukasmriekou7farebnzvraznenie11">
    <w:name w:val="Tabuľka s mriežkou 7 – farebná – zvýraznenie 11"/>
    <w:basedOn w:val="Normlnatabuka"/>
    <w:uiPriority w:val="52"/>
    <w:rsid w:val="0091013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Mriekatabuky8">
    <w:name w:val="Mriežka tabuľky8"/>
    <w:basedOn w:val="Normlnatabuka"/>
    <w:next w:val="Mriekatabuky"/>
    <w:uiPriority w:val="39"/>
    <w:rsid w:val="0099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E86116"/>
    <w:rPr>
      <w:color w:val="800080" w:themeColor="followedHyperlink"/>
      <w:u w:val="single"/>
    </w:rPr>
  </w:style>
  <w:style w:type="numbering" w:customStyle="1" w:styleId="tl2">
    <w:name w:val="Štýl2"/>
    <w:uiPriority w:val="99"/>
    <w:rsid w:val="0094430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828">
      <w:bodyDiv w:val="1"/>
      <w:marLeft w:val="0"/>
      <w:marRight w:val="0"/>
      <w:marTop w:val="0"/>
      <w:marBottom w:val="0"/>
      <w:divBdr>
        <w:top w:val="none" w:sz="0" w:space="0" w:color="auto"/>
        <w:left w:val="none" w:sz="0" w:space="0" w:color="auto"/>
        <w:bottom w:val="none" w:sz="0" w:space="0" w:color="auto"/>
        <w:right w:val="none" w:sz="0" w:space="0" w:color="auto"/>
      </w:divBdr>
    </w:div>
    <w:div w:id="80181793">
      <w:bodyDiv w:val="1"/>
      <w:marLeft w:val="0"/>
      <w:marRight w:val="0"/>
      <w:marTop w:val="0"/>
      <w:marBottom w:val="0"/>
      <w:divBdr>
        <w:top w:val="none" w:sz="0" w:space="0" w:color="auto"/>
        <w:left w:val="none" w:sz="0" w:space="0" w:color="auto"/>
        <w:bottom w:val="none" w:sz="0" w:space="0" w:color="auto"/>
        <w:right w:val="none" w:sz="0" w:space="0" w:color="auto"/>
      </w:divBdr>
    </w:div>
    <w:div w:id="168447695">
      <w:bodyDiv w:val="1"/>
      <w:marLeft w:val="0"/>
      <w:marRight w:val="0"/>
      <w:marTop w:val="0"/>
      <w:marBottom w:val="0"/>
      <w:divBdr>
        <w:top w:val="none" w:sz="0" w:space="0" w:color="auto"/>
        <w:left w:val="none" w:sz="0" w:space="0" w:color="auto"/>
        <w:bottom w:val="none" w:sz="0" w:space="0" w:color="auto"/>
        <w:right w:val="none" w:sz="0" w:space="0" w:color="auto"/>
      </w:divBdr>
    </w:div>
    <w:div w:id="207038835">
      <w:bodyDiv w:val="1"/>
      <w:marLeft w:val="0"/>
      <w:marRight w:val="0"/>
      <w:marTop w:val="0"/>
      <w:marBottom w:val="0"/>
      <w:divBdr>
        <w:top w:val="none" w:sz="0" w:space="0" w:color="auto"/>
        <w:left w:val="none" w:sz="0" w:space="0" w:color="auto"/>
        <w:bottom w:val="none" w:sz="0" w:space="0" w:color="auto"/>
        <w:right w:val="none" w:sz="0" w:space="0" w:color="auto"/>
      </w:divBdr>
    </w:div>
    <w:div w:id="228081594">
      <w:bodyDiv w:val="1"/>
      <w:marLeft w:val="0"/>
      <w:marRight w:val="0"/>
      <w:marTop w:val="0"/>
      <w:marBottom w:val="0"/>
      <w:divBdr>
        <w:top w:val="none" w:sz="0" w:space="0" w:color="auto"/>
        <w:left w:val="none" w:sz="0" w:space="0" w:color="auto"/>
        <w:bottom w:val="none" w:sz="0" w:space="0" w:color="auto"/>
        <w:right w:val="none" w:sz="0" w:space="0" w:color="auto"/>
      </w:divBdr>
    </w:div>
    <w:div w:id="306782776">
      <w:bodyDiv w:val="1"/>
      <w:marLeft w:val="0"/>
      <w:marRight w:val="0"/>
      <w:marTop w:val="0"/>
      <w:marBottom w:val="0"/>
      <w:divBdr>
        <w:top w:val="none" w:sz="0" w:space="0" w:color="auto"/>
        <w:left w:val="none" w:sz="0" w:space="0" w:color="auto"/>
        <w:bottom w:val="none" w:sz="0" w:space="0" w:color="auto"/>
        <w:right w:val="none" w:sz="0" w:space="0" w:color="auto"/>
      </w:divBdr>
    </w:div>
    <w:div w:id="407307918">
      <w:bodyDiv w:val="1"/>
      <w:marLeft w:val="0"/>
      <w:marRight w:val="0"/>
      <w:marTop w:val="0"/>
      <w:marBottom w:val="0"/>
      <w:divBdr>
        <w:top w:val="none" w:sz="0" w:space="0" w:color="auto"/>
        <w:left w:val="none" w:sz="0" w:space="0" w:color="auto"/>
        <w:bottom w:val="none" w:sz="0" w:space="0" w:color="auto"/>
        <w:right w:val="none" w:sz="0" w:space="0" w:color="auto"/>
      </w:divBdr>
    </w:div>
    <w:div w:id="555748246">
      <w:bodyDiv w:val="1"/>
      <w:marLeft w:val="0"/>
      <w:marRight w:val="0"/>
      <w:marTop w:val="0"/>
      <w:marBottom w:val="0"/>
      <w:divBdr>
        <w:top w:val="none" w:sz="0" w:space="0" w:color="auto"/>
        <w:left w:val="none" w:sz="0" w:space="0" w:color="auto"/>
        <w:bottom w:val="none" w:sz="0" w:space="0" w:color="auto"/>
        <w:right w:val="none" w:sz="0" w:space="0" w:color="auto"/>
      </w:divBdr>
    </w:div>
    <w:div w:id="574244330">
      <w:bodyDiv w:val="1"/>
      <w:marLeft w:val="0"/>
      <w:marRight w:val="0"/>
      <w:marTop w:val="0"/>
      <w:marBottom w:val="0"/>
      <w:divBdr>
        <w:top w:val="none" w:sz="0" w:space="0" w:color="auto"/>
        <w:left w:val="none" w:sz="0" w:space="0" w:color="auto"/>
        <w:bottom w:val="none" w:sz="0" w:space="0" w:color="auto"/>
        <w:right w:val="none" w:sz="0" w:space="0" w:color="auto"/>
      </w:divBdr>
    </w:div>
    <w:div w:id="595093794">
      <w:bodyDiv w:val="1"/>
      <w:marLeft w:val="0"/>
      <w:marRight w:val="0"/>
      <w:marTop w:val="0"/>
      <w:marBottom w:val="0"/>
      <w:divBdr>
        <w:top w:val="none" w:sz="0" w:space="0" w:color="auto"/>
        <w:left w:val="none" w:sz="0" w:space="0" w:color="auto"/>
        <w:bottom w:val="none" w:sz="0" w:space="0" w:color="auto"/>
        <w:right w:val="none" w:sz="0" w:space="0" w:color="auto"/>
      </w:divBdr>
    </w:div>
    <w:div w:id="609094283">
      <w:bodyDiv w:val="1"/>
      <w:marLeft w:val="0"/>
      <w:marRight w:val="0"/>
      <w:marTop w:val="0"/>
      <w:marBottom w:val="0"/>
      <w:divBdr>
        <w:top w:val="none" w:sz="0" w:space="0" w:color="auto"/>
        <w:left w:val="none" w:sz="0" w:space="0" w:color="auto"/>
        <w:bottom w:val="none" w:sz="0" w:space="0" w:color="auto"/>
        <w:right w:val="none" w:sz="0" w:space="0" w:color="auto"/>
      </w:divBdr>
    </w:div>
    <w:div w:id="778725092">
      <w:bodyDiv w:val="1"/>
      <w:marLeft w:val="0"/>
      <w:marRight w:val="0"/>
      <w:marTop w:val="0"/>
      <w:marBottom w:val="0"/>
      <w:divBdr>
        <w:top w:val="none" w:sz="0" w:space="0" w:color="auto"/>
        <w:left w:val="none" w:sz="0" w:space="0" w:color="auto"/>
        <w:bottom w:val="none" w:sz="0" w:space="0" w:color="auto"/>
        <w:right w:val="none" w:sz="0" w:space="0" w:color="auto"/>
      </w:divBdr>
    </w:div>
    <w:div w:id="1062673469">
      <w:bodyDiv w:val="1"/>
      <w:marLeft w:val="0"/>
      <w:marRight w:val="0"/>
      <w:marTop w:val="0"/>
      <w:marBottom w:val="0"/>
      <w:divBdr>
        <w:top w:val="none" w:sz="0" w:space="0" w:color="auto"/>
        <w:left w:val="none" w:sz="0" w:space="0" w:color="auto"/>
        <w:bottom w:val="none" w:sz="0" w:space="0" w:color="auto"/>
        <w:right w:val="none" w:sz="0" w:space="0" w:color="auto"/>
      </w:divBdr>
    </w:div>
    <w:div w:id="1159923020">
      <w:bodyDiv w:val="1"/>
      <w:marLeft w:val="0"/>
      <w:marRight w:val="0"/>
      <w:marTop w:val="0"/>
      <w:marBottom w:val="0"/>
      <w:divBdr>
        <w:top w:val="none" w:sz="0" w:space="0" w:color="auto"/>
        <w:left w:val="none" w:sz="0" w:space="0" w:color="auto"/>
        <w:bottom w:val="none" w:sz="0" w:space="0" w:color="auto"/>
        <w:right w:val="none" w:sz="0" w:space="0" w:color="auto"/>
      </w:divBdr>
    </w:div>
    <w:div w:id="1199199149">
      <w:bodyDiv w:val="1"/>
      <w:marLeft w:val="0"/>
      <w:marRight w:val="0"/>
      <w:marTop w:val="0"/>
      <w:marBottom w:val="0"/>
      <w:divBdr>
        <w:top w:val="none" w:sz="0" w:space="0" w:color="auto"/>
        <w:left w:val="none" w:sz="0" w:space="0" w:color="auto"/>
        <w:bottom w:val="none" w:sz="0" w:space="0" w:color="auto"/>
        <w:right w:val="none" w:sz="0" w:space="0" w:color="auto"/>
      </w:divBdr>
    </w:div>
    <w:div w:id="1235118725">
      <w:bodyDiv w:val="1"/>
      <w:marLeft w:val="0"/>
      <w:marRight w:val="0"/>
      <w:marTop w:val="0"/>
      <w:marBottom w:val="0"/>
      <w:divBdr>
        <w:top w:val="none" w:sz="0" w:space="0" w:color="auto"/>
        <w:left w:val="none" w:sz="0" w:space="0" w:color="auto"/>
        <w:bottom w:val="none" w:sz="0" w:space="0" w:color="auto"/>
        <w:right w:val="none" w:sz="0" w:space="0" w:color="auto"/>
      </w:divBdr>
    </w:div>
    <w:div w:id="1237280941">
      <w:bodyDiv w:val="1"/>
      <w:marLeft w:val="0"/>
      <w:marRight w:val="0"/>
      <w:marTop w:val="0"/>
      <w:marBottom w:val="0"/>
      <w:divBdr>
        <w:top w:val="none" w:sz="0" w:space="0" w:color="auto"/>
        <w:left w:val="none" w:sz="0" w:space="0" w:color="auto"/>
        <w:bottom w:val="none" w:sz="0" w:space="0" w:color="auto"/>
        <w:right w:val="none" w:sz="0" w:space="0" w:color="auto"/>
      </w:divBdr>
    </w:div>
    <w:div w:id="1268197295">
      <w:bodyDiv w:val="1"/>
      <w:marLeft w:val="0"/>
      <w:marRight w:val="0"/>
      <w:marTop w:val="0"/>
      <w:marBottom w:val="0"/>
      <w:divBdr>
        <w:top w:val="none" w:sz="0" w:space="0" w:color="auto"/>
        <w:left w:val="none" w:sz="0" w:space="0" w:color="auto"/>
        <w:bottom w:val="none" w:sz="0" w:space="0" w:color="auto"/>
        <w:right w:val="none" w:sz="0" w:space="0" w:color="auto"/>
      </w:divBdr>
    </w:div>
    <w:div w:id="1379746244">
      <w:bodyDiv w:val="1"/>
      <w:marLeft w:val="0"/>
      <w:marRight w:val="0"/>
      <w:marTop w:val="0"/>
      <w:marBottom w:val="0"/>
      <w:divBdr>
        <w:top w:val="none" w:sz="0" w:space="0" w:color="auto"/>
        <w:left w:val="none" w:sz="0" w:space="0" w:color="auto"/>
        <w:bottom w:val="none" w:sz="0" w:space="0" w:color="auto"/>
        <w:right w:val="none" w:sz="0" w:space="0" w:color="auto"/>
      </w:divBdr>
    </w:div>
    <w:div w:id="1407803056">
      <w:bodyDiv w:val="1"/>
      <w:marLeft w:val="0"/>
      <w:marRight w:val="0"/>
      <w:marTop w:val="0"/>
      <w:marBottom w:val="0"/>
      <w:divBdr>
        <w:top w:val="none" w:sz="0" w:space="0" w:color="auto"/>
        <w:left w:val="none" w:sz="0" w:space="0" w:color="auto"/>
        <w:bottom w:val="none" w:sz="0" w:space="0" w:color="auto"/>
        <w:right w:val="none" w:sz="0" w:space="0" w:color="auto"/>
      </w:divBdr>
    </w:div>
    <w:div w:id="1634292532">
      <w:bodyDiv w:val="1"/>
      <w:marLeft w:val="0"/>
      <w:marRight w:val="0"/>
      <w:marTop w:val="0"/>
      <w:marBottom w:val="0"/>
      <w:divBdr>
        <w:top w:val="none" w:sz="0" w:space="0" w:color="auto"/>
        <w:left w:val="none" w:sz="0" w:space="0" w:color="auto"/>
        <w:bottom w:val="none" w:sz="0" w:space="0" w:color="auto"/>
        <w:right w:val="none" w:sz="0" w:space="0" w:color="auto"/>
      </w:divBdr>
    </w:div>
    <w:div w:id="1737237387">
      <w:bodyDiv w:val="1"/>
      <w:marLeft w:val="0"/>
      <w:marRight w:val="0"/>
      <w:marTop w:val="0"/>
      <w:marBottom w:val="0"/>
      <w:divBdr>
        <w:top w:val="none" w:sz="0" w:space="0" w:color="auto"/>
        <w:left w:val="none" w:sz="0" w:space="0" w:color="auto"/>
        <w:bottom w:val="none" w:sz="0" w:space="0" w:color="auto"/>
        <w:right w:val="none" w:sz="0" w:space="0" w:color="auto"/>
      </w:divBdr>
    </w:div>
    <w:div w:id="1741371077">
      <w:bodyDiv w:val="1"/>
      <w:marLeft w:val="0"/>
      <w:marRight w:val="0"/>
      <w:marTop w:val="0"/>
      <w:marBottom w:val="0"/>
      <w:divBdr>
        <w:top w:val="none" w:sz="0" w:space="0" w:color="auto"/>
        <w:left w:val="none" w:sz="0" w:space="0" w:color="auto"/>
        <w:bottom w:val="none" w:sz="0" w:space="0" w:color="auto"/>
        <w:right w:val="none" w:sz="0" w:space="0" w:color="auto"/>
      </w:divBdr>
    </w:div>
    <w:div w:id="1809979637">
      <w:bodyDiv w:val="1"/>
      <w:marLeft w:val="0"/>
      <w:marRight w:val="0"/>
      <w:marTop w:val="0"/>
      <w:marBottom w:val="0"/>
      <w:divBdr>
        <w:top w:val="none" w:sz="0" w:space="0" w:color="auto"/>
        <w:left w:val="none" w:sz="0" w:space="0" w:color="auto"/>
        <w:bottom w:val="none" w:sz="0" w:space="0" w:color="auto"/>
        <w:right w:val="none" w:sz="0" w:space="0" w:color="auto"/>
      </w:divBdr>
    </w:div>
    <w:div w:id="1888369938">
      <w:bodyDiv w:val="1"/>
      <w:marLeft w:val="0"/>
      <w:marRight w:val="0"/>
      <w:marTop w:val="0"/>
      <w:marBottom w:val="0"/>
      <w:divBdr>
        <w:top w:val="none" w:sz="0" w:space="0" w:color="auto"/>
        <w:left w:val="none" w:sz="0" w:space="0" w:color="auto"/>
        <w:bottom w:val="none" w:sz="0" w:space="0" w:color="auto"/>
        <w:right w:val="none" w:sz="0" w:space="0" w:color="auto"/>
      </w:divBdr>
    </w:div>
    <w:div w:id="1888712787">
      <w:bodyDiv w:val="1"/>
      <w:marLeft w:val="0"/>
      <w:marRight w:val="0"/>
      <w:marTop w:val="0"/>
      <w:marBottom w:val="0"/>
      <w:divBdr>
        <w:top w:val="none" w:sz="0" w:space="0" w:color="auto"/>
        <w:left w:val="none" w:sz="0" w:space="0" w:color="auto"/>
        <w:bottom w:val="none" w:sz="0" w:space="0" w:color="auto"/>
        <w:right w:val="none" w:sz="0" w:space="0" w:color="auto"/>
      </w:divBdr>
    </w:div>
    <w:div w:id="1924294615">
      <w:bodyDiv w:val="1"/>
      <w:marLeft w:val="0"/>
      <w:marRight w:val="0"/>
      <w:marTop w:val="0"/>
      <w:marBottom w:val="0"/>
      <w:divBdr>
        <w:top w:val="none" w:sz="0" w:space="0" w:color="auto"/>
        <w:left w:val="none" w:sz="0" w:space="0" w:color="auto"/>
        <w:bottom w:val="none" w:sz="0" w:space="0" w:color="auto"/>
        <w:right w:val="none" w:sz="0" w:space="0" w:color="auto"/>
      </w:divBdr>
    </w:div>
    <w:div w:id="1977222820">
      <w:bodyDiv w:val="1"/>
      <w:marLeft w:val="0"/>
      <w:marRight w:val="0"/>
      <w:marTop w:val="0"/>
      <w:marBottom w:val="0"/>
      <w:divBdr>
        <w:top w:val="none" w:sz="0" w:space="0" w:color="auto"/>
        <w:left w:val="none" w:sz="0" w:space="0" w:color="auto"/>
        <w:bottom w:val="none" w:sz="0" w:space="0" w:color="auto"/>
        <w:right w:val="none" w:sz="0" w:space="0" w:color="auto"/>
      </w:divBdr>
    </w:div>
    <w:div w:id="1998414172">
      <w:bodyDiv w:val="1"/>
      <w:marLeft w:val="0"/>
      <w:marRight w:val="0"/>
      <w:marTop w:val="0"/>
      <w:marBottom w:val="0"/>
      <w:divBdr>
        <w:top w:val="none" w:sz="0" w:space="0" w:color="auto"/>
        <w:left w:val="none" w:sz="0" w:space="0" w:color="auto"/>
        <w:bottom w:val="none" w:sz="0" w:space="0" w:color="auto"/>
        <w:right w:val="none" w:sz="0" w:space="0" w:color="auto"/>
      </w:divBdr>
    </w:div>
    <w:div w:id="2030401080">
      <w:bodyDiv w:val="1"/>
      <w:marLeft w:val="0"/>
      <w:marRight w:val="0"/>
      <w:marTop w:val="0"/>
      <w:marBottom w:val="0"/>
      <w:divBdr>
        <w:top w:val="none" w:sz="0" w:space="0" w:color="auto"/>
        <w:left w:val="none" w:sz="0" w:space="0" w:color="auto"/>
        <w:bottom w:val="none" w:sz="0" w:space="0" w:color="auto"/>
        <w:right w:val="none" w:sz="0" w:space="0" w:color="auto"/>
      </w:divBdr>
    </w:div>
    <w:div w:id="2096975900">
      <w:bodyDiv w:val="1"/>
      <w:marLeft w:val="0"/>
      <w:marRight w:val="0"/>
      <w:marTop w:val="0"/>
      <w:marBottom w:val="0"/>
      <w:divBdr>
        <w:top w:val="none" w:sz="0" w:space="0" w:color="auto"/>
        <w:left w:val="none" w:sz="0" w:space="0" w:color="auto"/>
        <w:bottom w:val="none" w:sz="0" w:space="0" w:color="auto"/>
        <w:right w:val="none" w:sz="0" w:space="0" w:color="auto"/>
      </w:divBdr>
    </w:div>
    <w:div w:id="21276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2.png"/><Relationship Id="rId39" Type="http://schemas.openxmlformats.org/officeDocument/2006/relationships/footer" Target="footer2.xml"/><Relationship Id="rId21" Type="http://schemas.openxmlformats.org/officeDocument/2006/relationships/chart" Target="charts/chart11.xml"/><Relationship Id="rId34" Type="http://schemas.openxmlformats.org/officeDocument/2006/relationships/chart" Target="charts/chart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footer" Target="footer1.xml"/><Relationship Id="rId19" Type="http://schemas.openxmlformats.org/officeDocument/2006/relationships/chart" Target="charts/chart9.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2.xml"/><Relationship Id="rId38" Type="http://schemas.openxmlformats.org/officeDocument/2006/relationships/chart" Target="charts/chart27.xml"/></Relationships>
</file>

<file path=word/_rels/footnotes.xml.rels><?xml version="1.0" encoding="UTF-8" standalone="yes"?>
<Relationships xmlns="http://schemas.openxmlformats.org/package/2006/relationships"><Relationship Id="rId3" Type="http://schemas.openxmlformats.org/officeDocument/2006/relationships/hyperlink" Target="https://www.mfsr.sk/sk/financie/hodnota-za-peniaze/revizia-vydavkov/zamestnanost-mzdy-vo-verejnej-sprave/" TargetMode="External"/><Relationship Id="rId2" Type="http://schemas.openxmlformats.org/officeDocument/2006/relationships/hyperlink" Target="https://data.europa.eu/euodp/en/data/dataset/S2215_90_3_STD90_ENG" TargetMode="External"/><Relationship Id="rId1" Type="http://schemas.openxmlformats.org/officeDocument/2006/relationships/hyperlink" Target="https://www.mfsr.sk/sk/financie/hodnota-za-peniaze/revizia-vydavkov/zamestnanost-mzdy-vo-verejnej-sprave/" TargetMode="External"/><Relationship Id="rId5" Type="http://schemas.openxmlformats.org/officeDocument/2006/relationships/hyperlink" Target="https://www.ssc.sk/files/documents/shv/hl_prehl_ciest-2019.pdf" TargetMode="External"/><Relationship Id="rId4" Type="http://schemas.openxmlformats.org/officeDocument/2006/relationships/hyperlink" Target="https://www.mfsr.sk/files/archiv/44/revizia_zdravotnictvo_2.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_rok_programu_Microsoft_Excel.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D:\MOJE%20DOKUMENTY\&#352;t&#225;tny%20z&#225;vere&#269;n&#253;%20&#250;&#269;et\2019\Gestor\Ga&#353;par\Spr&#225;va%20o%20deficite,%20prebytku%20a%20&#250;rovni%20dlhu%20v%20sektore%20verejnej%20spr&#225;vy%20(nu1049rs).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_rok_programu_Microsoft_Excel7.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D:\MOJE%20DOKUMENTY\&#352;t&#225;tny%20z&#225;vere&#269;n&#253;%20&#250;&#269;et\2019\Gestor\Ga&#353;par\Spr&#225;va%20o%20deficite,%20prebytku%20a%20&#250;rovni%20dlhu%20v%20sektore%20verejnej%20spr&#225;vy%20(nu1049rs).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H_rok_programu_Microsoft_Excel8.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D:\SYST&#201;MOV&#201;%20PRIE&#268;INKY\Do&#269;asn&#233;%20internetov&#233;%20s&#250;bory\Content.Outlook\M2IEO0N0\RO_graf.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D:\DATA\OSA\---KNIZNICA---\STANOVISKA\&#352;ZU\Stanovisko%20k%20n&#225;vrhu%20&#352;ZU%20za%20rok%202019\KA%20SZU%20MV%20SR%20ESO\KA%20SZU%20MV%20SR%20-%20ESO%2029052020.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D:\SYST&#201;MOV&#201;%20PRIE&#268;INKY\Desktop\infovek\po&#382;iadavka%20NK&#218;%20spracovanie.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mtjvt\Documents\NK&#218;\TALIS\TALIS.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mtjvt\Documents\NK&#218;\TALIS\TALIS.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D:\MOJE%20DOKUMENTY\U&#269;ebnice\podklady.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H_rok_programu_Microsoft_Excel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SYST&#201;MOV&#201;%20PRIE&#268;INKY\Desktop\Stanovisko%20k%20&#352;ZU%202019\u&#269;ebnice\u&#269;ebnice%20d&#225;ta%20dokopy.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D:\MOJE%20DOKUMENTY\U&#269;ebnice\podklady.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D:\MOJE%20DOKUMENTY\Odbor%20analytick&#253;_9.12.15\Ukazovatele%201_6.2.18\JJ_&#353;abl&#243;ny%20grafov_z&#225;v&#228;zky%20FUN.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D:\Stanovisk&#225;\Stanovisko%20k%20n&#225;vrhu%20&#352;Z&#218;%20za%202019\Final\graf-po&#269;et%20rezidentov.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oleObject" Target="file:///D:\MOJE%20DOKUMENTY\Odbor%20rozpo&#269;tovej%20politiky\Rozpocet\Stanovisko%20k%20rozpoctu%202019\Doprava.xlsx" TargetMode="External"/><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oleObject" Target="Zo&#353;it1" TargetMode="External"/><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oleObject" Target="file:///D:\SYST&#201;MOV&#201;%20PRIE&#268;INKY\Desktop\Pracovn&#233;%20zlo&#382;ky\V&#221;PO&#268;TY%20pre%20EU%20fondy\V&#253;po&#269;ty%20EU%20-%20zdroj%20za%20EU.xlsx" TargetMode="External"/><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oleObject" Target="file:///D:\SYST&#201;MOV&#201;%20PRIE&#268;INKY\Desktop\Pracovn&#233;%20zlo&#382;ky\V&#221;PO&#268;TY%20pre%20EU%20fondy\V&#253;po&#269;ty%20EU%20-%20zdroj%20za%20EU.xlsx" TargetMode="External"/><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package" Target="../embeddings/H_rok_programu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2.xml"/><Relationship Id="rId4" Type="http://schemas.openxmlformats.org/officeDocument/2006/relationships/package" Target="../embeddings/H_rok_programu_Microsoft_Excel3.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SYST&#201;MOV&#201;%20PRIE&#268;INKY\Desktop\K&#243;pia%20-%20VpDP_tabulky_apr2020.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H_rok_programu_Microsoft_Excel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SYST&#201;MOV&#201;%20PRIE&#268;INKY\Desktop\K&#243;pia%20-%20DPH_GAP_manual_final_Tabulky_grafy.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H_rok_programu_Microsoft_Excel5.xlsx"/></Relationships>
</file>

<file path=word/charts/_rels/chart9.xml.rels><?xml version="1.0" encoding="UTF-8" standalone="yes"?>
<Relationships xmlns="http://schemas.openxmlformats.org/package/2006/relationships"><Relationship Id="rId3" Type="http://schemas.openxmlformats.org/officeDocument/2006/relationships/package" Target="../embeddings/H_rok_programu_Microsoft_Excel6.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589722337339412"/>
          <c:y val="5.5724417426545089E-2"/>
          <c:w val="0.73310753918918026"/>
          <c:h val="0.76034391977598548"/>
        </c:manualLayout>
      </c:layout>
      <c:barChart>
        <c:barDir val="bar"/>
        <c:grouping val="clustered"/>
        <c:varyColors val="0"/>
        <c:ser>
          <c:idx val="0"/>
          <c:order val="0"/>
          <c:tx>
            <c:strRef>
              <c:f>Hárok1!$B$1</c:f>
              <c:strCache>
                <c:ptCount val="1"/>
                <c:pt idx="0">
                  <c:v>2019 OS</c:v>
                </c:pt>
              </c:strCache>
            </c:strRef>
          </c:tx>
          <c:spPr>
            <a:solidFill>
              <a:srgbClr val="0070C0"/>
            </a:solidFill>
            <a:ln>
              <a:noFill/>
            </a:ln>
            <a:effectLst/>
          </c:spPr>
          <c:invertIfNegative val="0"/>
          <c:dLbls>
            <c:dLbl>
              <c:idx val="0"/>
              <c:tx>
                <c:rich>
                  <a:bodyPr/>
                  <a:lstStyle/>
                  <a:p>
                    <a:fld id="{A197E0F2-728F-480C-9C13-B317D61408BB}"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7CC0-4987-A0B0-CD097F8DCF0A}"/>
                </c:ext>
              </c:extLst>
            </c:dLbl>
            <c:dLbl>
              <c:idx val="1"/>
              <c:tx>
                <c:rich>
                  <a:bodyPr/>
                  <a:lstStyle/>
                  <a:p>
                    <a:fld id="{3C8F63D7-2393-46C2-A5CA-A67E97A7586B}"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CC0-4987-A0B0-CD097F8DCF0A}"/>
                </c:ext>
              </c:extLst>
            </c:dLbl>
            <c:dLbl>
              <c:idx val="2"/>
              <c:tx>
                <c:rich>
                  <a:bodyPr/>
                  <a:lstStyle/>
                  <a:p>
                    <a:fld id="{0F7E4C26-086A-4459-8C61-83636350F400}"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7CC0-4987-A0B0-CD097F8DCF0A}"/>
                </c:ext>
              </c:extLst>
            </c:dLbl>
            <c:dLbl>
              <c:idx val="3"/>
              <c:tx>
                <c:rich>
                  <a:bodyPr/>
                  <a:lstStyle/>
                  <a:p>
                    <a:fld id="{50D89388-9E08-4707-A94E-E724CAEC3225}"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7CC0-4987-A0B0-CD097F8DCF0A}"/>
                </c:ext>
              </c:extLst>
            </c:dLbl>
            <c:dLbl>
              <c:idx val="4"/>
              <c:tx>
                <c:rich>
                  <a:bodyPr/>
                  <a:lstStyle/>
                  <a:p>
                    <a:fld id="{148ACFE2-F146-4EB5-9CAD-1EBD09563B58}"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7CC0-4987-A0B0-CD097F8DCF0A}"/>
                </c:ext>
              </c:extLst>
            </c:dLbl>
            <c:dLbl>
              <c:idx val="5"/>
              <c:tx>
                <c:rich>
                  <a:bodyPr/>
                  <a:lstStyle/>
                  <a:p>
                    <a:fld id="{3D19A953-CF33-4DEB-B4C3-5869F95F55FC}"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7CC0-4987-A0B0-CD097F8DCF0A}"/>
                </c:ext>
              </c:extLst>
            </c:dLbl>
            <c:dLbl>
              <c:idx val="6"/>
              <c:tx>
                <c:rich>
                  <a:bodyPr/>
                  <a:lstStyle/>
                  <a:p>
                    <a:fld id="{A451F13E-2F09-4031-ABD7-7E4ACF174109}"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7CC0-4987-A0B0-CD097F8DCF0A}"/>
                </c:ext>
              </c:extLst>
            </c:dLbl>
            <c:dLbl>
              <c:idx val="7"/>
              <c:tx>
                <c:rich>
                  <a:bodyPr/>
                  <a:lstStyle/>
                  <a:p>
                    <a:fld id="{DF2796B0-3C5E-4BE3-8E7F-1B20E03860BC}"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7CC0-4987-A0B0-CD097F8DCF0A}"/>
                </c:ext>
              </c:extLst>
            </c:dLbl>
            <c:dLbl>
              <c:idx val="8"/>
              <c:tx>
                <c:rich>
                  <a:bodyPr/>
                  <a:lstStyle/>
                  <a:p>
                    <a:fld id="{8070F511-DAA5-4854-91A7-C65644BF39E4}"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7CC0-4987-A0B0-CD097F8DCF0A}"/>
                </c:ext>
              </c:extLst>
            </c:dLbl>
            <c:dLbl>
              <c:idx val="9"/>
              <c:tx>
                <c:rich>
                  <a:bodyPr/>
                  <a:lstStyle/>
                  <a:p>
                    <a:fld id="{19A484FD-CFA8-448A-8C1C-418F3A6F3EE3}"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7CC0-4987-A0B0-CD097F8DCF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Hárok1!$A$2:$A$11</c:f>
              <c:strCache>
                <c:ptCount val="10"/>
                <c:pt idx="0">
                  <c:v>Indes spotrebiteľských cien (CPI)</c:v>
                </c:pt>
                <c:pt idx="1">
                  <c:v>Miera nezamestnanosti (VZPS)</c:v>
                </c:pt>
                <c:pt idx="2">
                  <c:v>Priem. mesač.reálna mzda</c:v>
                </c:pt>
                <c:pt idx="3">
                  <c:v>Priem. mesač.nominálna mzda</c:v>
                </c:pt>
                <c:pt idx="4">
                  <c:v>Import tovarov a služieb, s.c.</c:v>
                </c:pt>
                <c:pt idx="5">
                  <c:v>Export tovarov a služieb, s.c.</c:v>
                </c:pt>
                <c:pt idx="6">
                  <c:v>Fixné investície, s.c.</c:v>
                </c:pt>
                <c:pt idx="7">
                  <c:v>Vládna spotreba, s.c.</c:v>
                </c:pt>
                <c:pt idx="8">
                  <c:v>Súkromná spotreba, s.c.</c:v>
                </c:pt>
                <c:pt idx="9">
                  <c:v>HDP, s.c. (YoY zmena)</c:v>
                </c:pt>
              </c:strCache>
            </c:strRef>
          </c:cat>
          <c:val>
            <c:numRef>
              <c:f>Hárok1!$B$2:$B$11</c:f>
              <c:numCache>
                <c:formatCode>General</c:formatCode>
                <c:ptCount val="10"/>
                <c:pt idx="0">
                  <c:v>2.68</c:v>
                </c:pt>
                <c:pt idx="1">
                  <c:v>5.75</c:v>
                </c:pt>
                <c:pt idx="2">
                  <c:v>4.99</c:v>
                </c:pt>
                <c:pt idx="3">
                  <c:v>7.8</c:v>
                </c:pt>
                <c:pt idx="4">
                  <c:v>2.58</c:v>
                </c:pt>
                <c:pt idx="5">
                  <c:v>1.72</c:v>
                </c:pt>
                <c:pt idx="6">
                  <c:v>4.42</c:v>
                </c:pt>
                <c:pt idx="7">
                  <c:v>3.78</c:v>
                </c:pt>
                <c:pt idx="8">
                  <c:v>2.17</c:v>
                </c:pt>
                <c:pt idx="9">
                  <c:v>2.2799999999999998</c:v>
                </c:pt>
              </c:numCache>
            </c:numRef>
          </c:val>
          <c:extLst>
            <c:ext xmlns:c15="http://schemas.microsoft.com/office/drawing/2012/chart" uri="{02D57815-91ED-43cb-92C2-25804820EDAC}">
              <c15:datalabelsRange>
                <c15:f>Hárok1!$E$2:$E$11</c15:f>
                <c15:dlblRangeCache>
                  <c:ptCount val="10"/>
                  <c:pt idx="0">
                    <c:v>0,18</c:v>
                  </c:pt>
                  <c:pt idx="1">
                    <c:v>-0,62</c:v>
                  </c:pt>
                  <c:pt idx="2">
                    <c:v>1,26</c:v>
                  </c:pt>
                  <c:pt idx="3">
                    <c:v>1,48</c:v>
                  </c:pt>
                  <c:pt idx="4">
                    <c:v>-4,2</c:v>
                  </c:pt>
                  <c:pt idx="5">
                    <c:v>-6,22</c:v>
                  </c:pt>
                  <c:pt idx="6">
                    <c:v>1,33</c:v>
                  </c:pt>
                  <c:pt idx="7">
                    <c:v>2,29</c:v>
                  </c:pt>
                  <c:pt idx="8">
                    <c:v>-1,07</c:v>
                  </c:pt>
                  <c:pt idx="9">
                    <c:v>-2,22</c:v>
                  </c:pt>
                </c15:dlblRangeCache>
              </c15:datalabelsRange>
            </c:ext>
            <c:ext xmlns:c16="http://schemas.microsoft.com/office/drawing/2014/chart" uri="{C3380CC4-5D6E-409C-BE32-E72D297353CC}">
              <c16:uniqueId val="{0000000A-7CC0-4987-A0B0-CD097F8DCF0A}"/>
            </c:ext>
          </c:extLst>
        </c:ser>
        <c:ser>
          <c:idx val="1"/>
          <c:order val="1"/>
          <c:tx>
            <c:strRef>
              <c:f>Hárok1!$C$1</c:f>
              <c:strCache>
                <c:ptCount val="1"/>
                <c:pt idx="0">
                  <c:v>Zasad. Sep 2018 odhad 2019</c:v>
                </c:pt>
              </c:strCache>
            </c:strRef>
          </c:tx>
          <c:spPr>
            <a:solidFill>
              <a:schemeClr val="accent1">
                <a:lumMod val="40000"/>
                <a:lumOff val="60000"/>
              </a:schemeClr>
            </a:solidFill>
            <a:ln w="12700">
              <a:noFill/>
              <a:prstDash val="sysDot"/>
            </a:ln>
            <a:effectLst/>
          </c:spPr>
          <c:invertIfNegative val="0"/>
          <c:dLbls>
            <c:delete val="1"/>
          </c:dLbls>
          <c:cat>
            <c:strRef>
              <c:f>Hárok1!$A$2:$A$11</c:f>
              <c:strCache>
                <c:ptCount val="10"/>
                <c:pt idx="0">
                  <c:v>Indes spotrebiteľských cien (CPI)</c:v>
                </c:pt>
                <c:pt idx="1">
                  <c:v>Miera nezamestnanosti (VZPS)</c:v>
                </c:pt>
                <c:pt idx="2">
                  <c:v>Priem. mesač.reálna mzda</c:v>
                </c:pt>
                <c:pt idx="3">
                  <c:v>Priem. mesač.nominálna mzda</c:v>
                </c:pt>
                <c:pt idx="4">
                  <c:v>Import tovarov a služieb, s.c.</c:v>
                </c:pt>
                <c:pt idx="5">
                  <c:v>Export tovarov a služieb, s.c.</c:v>
                </c:pt>
                <c:pt idx="6">
                  <c:v>Fixné investície, s.c.</c:v>
                </c:pt>
                <c:pt idx="7">
                  <c:v>Vládna spotreba, s.c.</c:v>
                </c:pt>
                <c:pt idx="8">
                  <c:v>Súkromná spotreba, s.c.</c:v>
                </c:pt>
                <c:pt idx="9">
                  <c:v>HDP, s.c. (YoY zmena)</c:v>
                </c:pt>
              </c:strCache>
            </c:strRef>
          </c:cat>
          <c:val>
            <c:numRef>
              <c:f>Hárok1!$C$2:$C$11</c:f>
              <c:numCache>
                <c:formatCode>General</c:formatCode>
                <c:ptCount val="10"/>
                <c:pt idx="0">
                  <c:v>2.5</c:v>
                </c:pt>
                <c:pt idx="1">
                  <c:v>6.37</c:v>
                </c:pt>
                <c:pt idx="2">
                  <c:v>3.73</c:v>
                </c:pt>
                <c:pt idx="3">
                  <c:v>6.32</c:v>
                </c:pt>
                <c:pt idx="4">
                  <c:v>6.78</c:v>
                </c:pt>
                <c:pt idx="5">
                  <c:v>7.94</c:v>
                </c:pt>
                <c:pt idx="6">
                  <c:v>3.09</c:v>
                </c:pt>
                <c:pt idx="7">
                  <c:v>1.49</c:v>
                </c:pt>
                <c:pt idx="8">
                  <c:v>3.24</c:v>
                </c:pt>
                <c:pt idx="9">
                  <c:v>4.5</c:v>
                </c:pt>
              </c:numCache>
            </c:numRef>
          </c:val>
          <c:extLst>
            <c:ext xmlns:c16="http://schemas.microsoft.com/office/drawing/2014/chart" uri="{C3380CC4-5D6E-409C-BE32-E72D297353CC}">
              <c16:uniqueId val="{0000000B-7CC0-4987-A0B0-CD097F8DCF0A}"/>
            </c:ext>
          </c:extLst>
        </c:ser>
        <c:dLbls>
          <c:showLegendKey val="0"/>
          <c:showVal val="1"/>
          <c:showCatName val="0"/>
          <c:showSerName val="0"/>
          <c:showPercent val="0"/>
          <c:showBubbleSize val="0"/>
        </c:dLbls>
        <c:gapWidth val="100"/>
        <c:axId val="74318240"/>
        <c:axId val="2092458832"/>
      </c:barChart>
      <c:catAx>
        <c:axId val="7431824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2092458832"/>
        <c:crosses val="autoZero"/>
        <c:auto val="1"/>
        <c:lblAlgn val="ctr"/>
        <c:lblOffset val="100"/>
        <c:noMultiLvlLbl val="0"/>
      </c:catAx>
      <c:valAx>
        <c:axId val="20924588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74318240"/>
        <c:crosses val="autoZero"/>
        <c:crossBetween val="between"/>
      </c:valAx>
      <c:spPr>
        <a:noFill/>
        <a:ln>
          <a:noFill/>
        </a:ln>
        <a:effectLst/>
      </c:spPr>
    </c:plotArea>
    <c:legend>
      <c:legendPos val="b"/>
      <c:layout>
        <c:manualLayout>
          <c:xMode val="edge"/>
          <c:yMode val="edge"/>
          <c:x val="0.24970184647971636"/>
          <c:y val="0.8881048113666643"/>
          <c:w val="0.36275169551174524"/>
          <c:h val="8.150005185522023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7.7513194698011323E-2"/>
          <c:y val="6.4782096584216728E-2"/>
          <c:w val="0.85875235198440225"/>
          <c:h val="0.72138922122367211"/>
        </c:manualLayout>
      </c:layout>
      <c:barChart>
        <c:barDir val="col"/>
        <c:grouping val="clustered"/>
        <c:varyColors val="0"/>
        <c:ser>
          <c:idx val="1"/>
          <c:order val="1"/>
          <c:tx>
            <c:strRef>
              <c:f>'DLH VS'!$A$20:$B$20</c:f>
              <c:strCache>
                <c:ptCount val="2"/>
                <c:pt idx="0">
                  <c:v>Dlh VS</c:v>
                </c:pt>
                <c:pt idx="1">
                  <c:v>v mil. eur</c:v>
                </c:pt>
              </c:strCache>
            </c:strRef>
          </c:tx>
          <c:spPr>
            <a:solidFill>
              <a:schemeClr val="accent1">
                <a:lumMod val="40000"/>
                <a:lumOff val="60000"/>
              </a:schemeClr>
            </a:solidFill>
            <a:ln>
              <a:noFill/>
            </a:ln>
            <a:effectLst/>
          </c:spPr>
          <c:invertIfNegative val="0"/>
          <c:cat>
            <c:strRef>
              <c:f>'DLH VS'!$C$18:$AB$18</c:f>
              <c:strCach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strCache>
            </c:strRef>
          </c:cat>
          <c:val>
            <c:numRef>
              <c:f>'DLH VS'!$C$20:$AB$20</c:f>
              <c:numCache>
                <c:formatCode>#\ ##0.0</c:formatCode>
                <c:ptCount val="13"/>
                <c:pt idx="0">
                  <c:v>19616.058000000001</c:v>
                </c:pt>
                <c:pt idx="1">
                  <c:v>23305.742999999999</c:v>
                </c:pt>
                <c:pt idx="2">
                  <c:v>27910.302</c:v>
                </c:pt>
                <c:pt idx="3">
                  <c:v>30952.735000000001</c:v>
                </c:pt>
                <c:pt idx="4">
                  <c:v>38030.625</c:v>
                </c:pt>
                <c:pt idx="5">
                  <c:v>40677.525000000001</c:v>
                </c:pt>
                <c:pt idx="6">
                  <c:v>40802.353999999999</c:v>
                </c:pt>
                <c:pt idx="7">
                  <c:v>41384.239999999998</c:v>
                </c:pt>
                <c:pt idx="8">
                  <c:v>42159.762000000002</c:v>
                </c:pt>
                <c:pt idx="9">
                  <c:v>43369.53</c:v>
                </c:pt>
                <c:pt idx="10">
                  <c:v>44321.851999999999</c:v>
                </c:pt>
                <c:pt idx="11">
                  <c:v>45201.758000000002</c:v>
                </c:pt>
                <c:pt idx="12">
                  <c:v>45894.9</c:v>
                </c:pt>
              </c:numCache>
            </c:numRef>
          </c:val>
          <c:extLst>
            <c:ext xmlns:c16="http://schemas.microsoft.com/office/drawing/2014/chart" uri="{C3380CC4-5D6E-409C-BE32-E72D297353CC}">
              <c16:uniqueId val="{00000000-A43C-4470-9E0D-DCD219F120B9}"/>
            </c:ext>
          </c:extLst>
        </c:ser>
        <c:dLbls>
          <c:showLegendKey val="0"/>
          <c:showVal val="0"/>
          <c:showCatName val="0"/>
          <c:showSerName val="0"/>
          <c:showPercent val="0"/>
          <c:showBubbleSize val="0"/>
        </c:dLbls>
        <c:gapWidth val="100"/>
        <c:axId val="1812411343"/>
        <c:axId val="1812413007"/>
        <c:extLst>
          <c:ext xmlns:c15="http://schemas.microsoft.com/office/drawing/2012/chart" uri="{02D57815-91ED-43cb-92C2-25804820EDAC}">
            <c15:filteredBarSeries>
              <c15:ser>
                <c:idx val="0"/>
                <c:order val="0"/>
                <c:tx>
                  <c:strRef>
                    <c:extLst>
                      <c:ext uri="{02D57815-91ED-43cb-92C2-25804820EDAC}">
                        <c15:formulaRef>
                          <c15:sqref>'DLH VS'!$A$19:$B$19</c15:sqref>
                        </c15:formulaRef>
                      </c:ext>
                    </c:extLst>
                    <c:strCache>
                      <c:ptCount val="2"/>
                      <c:pt idx="0">
                        <c:v>Čisté pôžičky prijaté (-); čisté pôžičky poskytnuté (+) (B.9)</c:v>
                      </c:pt>
                      <c:pt idx="1">
                        <c:v>Verejná správa (S.13)</c:v>
                      </c:pt>
                    </c:strCache>
                  </c:strRef>
                </c:tx>
                <c:spPr>
                  <a:solidFill>
                    <a:schemeClr val="accent1">
                      <a:shade val="58000"/>
                    </a:schemeClr>
                  </a:solidFill>
                  <a:ln>
                    <a:noFill/>
                  </a:ln>
                  <a:effectLst/>
                </c:spPr>
                <c:invertIfNegative val="0"/>
                <c:cat>
                  <c:strRef>
                    <c:extLst>
                      <c:ext uri="{02D57815-91ED-43cb-92C2-25804820EDAC}">
                        <c15:formulaRef>
                          <c15:sqref>'DLH VS'!$C$18:$AB$18</c15:sqref>
                        </c15:formulaRef>
                      </c:ext>
                    </c:extLst>
                    <c:strCach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strCache>
                  </c:strRef>
                </c:cat>
                <c:val>
                  <c:numRef>
                    <c:extLst>
                      <c:ext uri="{02D57815-91ED-43cb-92C2-25804820EDAC}">
                        <c15:formulaRef>
                          <c15:sqref>'DLH VS'!$C$19:$AB$19</c15:sqref>
                        </c15:formulaRef>
                      </c:ext>
                    </c:extLst>
                    <c:numCache>
                      <c:formatCode>#\ ##0.0</c:formatCode>
                      <c:ptCount val="13"/>
                      <c:pt idx="0">
                        <c:v>-1730.828</c:v>
                      </c:pt>
                      <c:pt idx="1">
                        <c:v>-5223.3590000000004</c:v>
                      </c:pt>
                      <c:pt idx="2">
                        <c:v>-5077.0330000000004</c:v>
                      </c:pt>
                      <c:pt idx="3">
                        <c:v>-3173.2109999999998</c:v>
                      </c:pt>
                      <c:pt idx="4">
                        <c:v>-3209.136</c:v>
                      </c:pt>
                      <c:pt idx="5">
                        <c:v>-2133.6729999999998</c:v>
                      </c:pt>
                      <c:pt idx="6">
                        <c:v>-2371.364</c:v>
                      </c:pt>
                      <c:pt idx="7">
                        <c:v>-2131.2130000000002</c:v>
                      </c:pt>
                      <c:pt idx="8">
                        <c:v>-2006.604</c:v>
                      </c:pt>
                      <c:pt idx="9">
                        <c:v>-804.96100000000001</c:v>
                      </c:pt>
                      <c:pt idx="10">
                        <c:v>-940.62800000000004</c:v>
                      </c:pt>
                      <c:pt idx="11">
                        <c:v>-1219.73</c:v>
                      </c:pt>
                      <c:pt idx="12">
                        <c:v>-480.40899999999999</c:v>
                      </c:pt>
                    </c:numCache>
                  </c:numRef>
                </c:val>
                <c:extLst>
                  <c:ext xmlns:c16="http://schemas.microsoft.com/office/drawing/2014/chart" uri="{C3380CC4-5D6E-409C-BE32-E72D297353CC}">
                    <c16:uniqueId val="{00000004-A43C-4470-9E0D-DCD219F120B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'DLH VS'!$A$21:$B$21</c15:sqref>
                        </c15:formulaRef>
                      </c:ext>
                    </c:extLst>
                    <c:strCache>
                      <c:ptCount val="2"/>
                      <c:pt idx="0">
                        <c:v>Hrubý domáci produkt v trhových cenách</c:v>
                      </c:pt>
                      <c:pt idx="1">
                        <c:v>Hrubý domáci produkt v trhových cenách (B.1*g)</c:v>
                      </c:pt>
                    </c:strCache>
                  </c:strRef>
                </c:tx>
                <c:spPr>
                  <a:solidFill>
                    <a:schemeClr val="accent1">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'DLH VS'!$C$18:$AB$18</c15:sqref>
                        </c15:formulaRef>
                      </c:ext>
                    </c:extLst>
                    <c:strCach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strCache>
                  </c:strRef>
                </c:cat>
                <c:val>
                  <c:numRef>
                    <c:extLst xmlns:c15="http://schemas.microsoft.com/office/drawing/2012/chart">
                      <c:ext xmlns:c15="http://schemas.microsoft.com/office/drawing/2012/chart" uri="{02D57815-91ED-43cb-92C2-25804820EDAC}">
                        <c15:formulaRef>
                          <c15:sqref>'DLH VS'!$C$21:$AB$21</c15:sqref>
                        </c15:formulaRef>
                      </c:ext>
                    </c:extLst>
                    <c:numCache>
                      <c:formatCode>#\ ##0.0</c:formatCode>
                      <c:ptCount val="13"/>
                      <c:pt idx="0">
                        <c:v>68590.534</c:v>
                      </c:pt>
                      <c:pt idx="1">
                        <c:v>64095.519</c:v>
                      </c:pt>
                      <c:pt idx="2">
                        <c:v>68092.964000000007</c:v>
                      </c:pt>
                      <c:pt idx="3">
                        <c:v>71214.387000000002</c:v>
                      </c:pt>
                      <c:pt idx="4">
                        <c:v>73483.822</c:v>
                      </c:pt>
                      <c:pt idx="5">
                        <c:v>74354.845000000001</c:v>
                      </c:pt>
                      <c:pt idx="6">
                        <c:v>76255.856</c:v>
                      </c:pt>
                      <c:pt idx="7">
                        <c:v>79758.198000000004</c:v>
                      </c:pt>
                      <c:pt idx="8">
                        <c:v>81038.379000000001</c:v>
                      </c:pt>
                      <c:pt idx="9">
                        <c:v>84517.005000000005</c:v>
                      </c:pt>
                      <c:pt idx="10">
                        <c:v>89720.960999999996</c:v>
                      </c:pt>
                      <c:pt idx="11">
                        <c:v>94177.047999999995</c:v>
                      </c:pt>
                      <c:pt idx="12">
                        <c:v>98043.7</c:v>
                      </c:pt>
                    </c:numCache>
                  </c:numRef>
                </c:val>
                <c:extLst xmlns:c15="http://schemas.microsoft.com/office/drawing/2012/chart">
                  <c:ext xmlns:c16="http://schemas.microsoft.com/office/drawing/2014/chart" uri="{C3380CC4-5D6E-409C-BE32-E72D297353CC}">
                    <c16:uniqueId val="{00000005-A43C-4470-9E0D-DCD219F120B9}"/>
                  </c:ext>
                </c:extLst>
              </c15:ser>
            </c15:filteredBarSeries>
          </c:ext>
        </c:extLst>
      </c:barChart>
      <c:lineChart>
        <c:grouping val="standard"/>
        <c:varyColors val="0"/>
        <c:ser>
          <c:idx val="3"/>
          <c:order val="3"/>
          <c:tx>
            <c:strRef>
              <c:f>'DLH VS'!$A$22:$B$22</c:f>
              <c:strCache>
                <c:ptCount val="2"/>
                <c:pt idx="0">
                  <c:v>Dlh VS </c:v>
                </c:pt>
                <c:pt idx="1">
                  <c:v>v % HDP</c:v>
                </c:pt>
              </c:strCache>
            </c:strRef>
          </c:tx>
          <c:spPr>
            <a:ln w="12700" cap="rnd">
              <a:solidFill>
                <a:schemeClr val="tx1"/>
              </a:solidFill>
              <a:prstDash val="dash"/>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'DLH VS'!$C$18:$AB$18</c:f>
              <c:strCach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strCache>
            </c:strRef>
          </c:cat>
          <c:val>
            <c:numRef>
              <c:f>'DLH VS'!$C$22:$AB$22</c:f>
              <c:numCache>
                <c:formatCode>0.0</c:formatCode>
                <c:ptCount val="13"/>
                <c:pt idx="0">
                  <c:v>28.598783033238963</c:v>
                </c:pt>
                <c:pt idx="1">
                  <c:v>36.360955279884692</c:v>
                </c:pt>
                <c:pt idx="2">
                  <c:v>40.988525627992928</c:v>
                </c:pt>
                <c:pt idx="3">
                  <c:v>43.464159847363426</c:v>
                </c:pt>
                <c:pt idx="4">
                  <c:v>51.753738394282209</c:v>
                </c:pt>
                <c:pt idx="5">
                  <c:v>54.707295805673461</c:v>
                </c:pt>
                <c:pt idx="6">
                  <c:v>53.507174583418227</c:v>
                </c:pt>
                <c:pt idx="7">
                  <c:v>51.88713014805073</c:v>
                </c:pt>
                <c:pt idx="8">
                  <c:v>52.024438938987174</c:v>
                </c:pt>
                <c:pt idx="9">
                  <c:v>51.314560898129315</c:v>
                </c:pt>
                <c:pt idx="10">
                  <c:v>49.399662582749201</c:v>
                </c:pt>
                <c:pt idx="11">
                  <c:v>47.996575556286288</c:v>
                </c:pt>
                <c:pt idx="12">
                  <c:v>46.810656880554284</c:v>
                </c:pt>
              </c:numCache>
            </c:numRef>
          </c:val>
          <c:smooth val="0"/>
          <c:extLst>
            <c:ext xmlns:c16="http://schemas.microsoft.com/office/drawing/2014/chart" uri="{C3380CC4-5D6E-409C-BE32-E72D297353CC}">
              <c16:uniqueId val="{00000003-A43C-4470-9E0D-DCD219F120B9}"/>
            </c:ext>
          </c:extLst>
        </c:ser>
        <c:dLbls>
          <c:showLegendKey val="0"/>
          <c:showVal val="0"/>
          <c:showCatName val="0"/>
          <c:showSerName val="0"/>
          <c:showPercent val="0"/>
          <c:showBubbleSize val="0"/>
        </c:dLbls>
        <c:marker val="1"/>
        <c:smooth val="0"/>
        <c:axId val="1944751935"/>
        <c:axId val="1944751103"/>
      </c:lineChart>
      <c:catAx>
        <c:axId val="1812411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1812413007"/>
        <c:crosses val="autoZero"/>
        <c:auto val="1"/>
        <c:lblAlgn val="ctr"/>
        <c:lblOffset val="100"/>
        <c:noMultiLvlLbl val="0"/>
      </c:catAx>
      <c:valAx>
        <c:axId val="18124130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1812411343"/>
        <c:crosses val="autoZero"/>
        <c:crossBetween val="between"/>
        <c:majorUnit val="7500"/>
      </c:valAx>
      <c:valAx>
        <c:axId val="1944751103"/>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1944751935"/>
        <c:crosses val="max"/>
        <c:crossBetween val="between"/>
      </c:valAx>
      <c:catAx>
        <c:axId val="1944751935"/>
        <c:scaling>
          <c:orientation val="minMax"/>
        </c:scaling>
        <c:delete val="1"/>
        <c:axPos val="b"/>
        <c:numFmt formatCode="General" sourceLinked="1"/>
        <c:majorTickMark val="out"/>
        <c:minorTickMark val="none"/>
        <c:tickLblPos val="nextTo"/>
        <c:crossAx val="1944751103"/>
        <c:crosses val="autoZero"/>
        <c:auto val="1"/>
        <c:lblAlgn val="ctr"/>
        <c:lblOffset val="100"/>
        <c:noMultiLvlLbl val="0"/>
      </c:catAx>
      <c:spPr>
        <a:noFill/>
        <a:ln w="25400">
          <a:noFill/>
        </a:ln>
        <a:effectLst/>
      </c:spPr>
    </c:plotArea>
    <c:legend>
      <c:legendPos val="b"/>
      <c:layout>
        <c:manualLayout>
          <c:xMode val="edge"/>
          <c:yMode val="edge"/>
          <c:x val="0.267128473817631"/>
          <c:y val="0.88169546386207032"/>
          <c:w val="0.46574305236473795"/>
          <c:h val="9.474741010730548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072719647157504E-2"/>
          <c:y val="7.2751322751322747E-2"/>
          <c:w val="0.90928731363476467"/>
          <c:h val="0.77206320493722069"/>
        </c:manualLayout>
      </c:layout>
      <c:barChart>
        <c:barDir val="col"/>
        <c:grouping val="clustered"/>
        <c:varyColors val="0"/>
        <c:ser>
          <c:idx val="0"/>
          <c:order val="0"/>
          <c:tx>
            <c:strRef>
              <c:f>Hárok1!$B$1</c:f>
              <c:strCache>
                <c:ptCount val="1"/>
                <c:pt idx="0">
                  <c:v>2019 OS</c:v>
                </c:pt>
              </c:strCache>
            </c:strRef>
          </c:tx>
          <c:spPr>
            <a:solidFill>
              <a:srgbClr val="0070C0"/>
            </a:solidFill>
            <a:ln>
              <a:noFill/>
            </a:ln>
            <a:effectLst/>
          </c:spPr>
          <c:invertIfNegative val="0"/>
          <c:dPt>
            <c:idx val="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1-31AC-46A8-912C-F37CB1B1980A}"/>
              </c:ext>
            </c:extLst>
          </c:dPt>
          <c:dPt>
            <c:idx val="6"/>
            <c:invertIfNegative val="0"/>
            <c:bubble3D val="0"/>
            <c:spPr>
              <a:solidFill>
                <a:srgbClr val="0070C0"/>
              </a:solidFill>
              <a:ln>
                <a:noFill/>
              </a:ln>
              <a:effectLst/>
            </c:spPr>
            <c:extLst>
              <c:ext xmlns:c16="http://schemas.microsoft.com/office/drawing/2014/chart" uri="{C3380CC4-5D6E-409C-BE32-E72D297353CC}">
                <c16:uniqueId val="{00000003-31AC-46A8-912C-F37CB1B1980A}"/>
              </c:ext>
            </c:extLst>
          </c:dPt>
          <c:dPt>
            <c:idx val="10"/>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5-31AC-46A8-912C-F37CB1B1980A}"/>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07-31AC-46A8-912C-F37CB1B1980A}"/>
              </c:ext>
            </c:extLst>
          </c:dPt>
          <c:dPt>
            <c:idx val="13"/>
            <c:invertIfNegative val="0"/>
            <c:bubble3D val="0"/>
            <c:spPr>
              <a:solidFill>
                <a:srgbClr val="0070C0"/>
              </a:solidFill>
              <a:ln>
                <a:noFill/>
              </a:ln>
              <a:effectLst/>
            </c:spPr>
            <c:extLst>
              <c:ext xmlns:c16="http://schemas.microsoft.com/office/drawing/2014/chart" uri="{C3380CC4-5D6E-409C-BE32-E72D297353CC}">
                <c16:uniqueId val="{00000009-31AC-46A8-912C-F37CB1B1980A}"/>
              </c:ext>
            </c:extLst>
          </c:dPt>
          <c:dPt>
            <c:idx val="14"/>
            <c:invertIfNegative val="0"/>
            <c:bubble3D val="0"/>
            <c:spPr>
              <a:solidFill>
                <a:srgbClr val="0070C0"/>
              </a:solidFill>
              <a:ln>
                <a:noFill/>
              </a:ln>
              <a:effectLst/>
            </c:spPr>
            <c:extLst>
              <c:ext xmlns:c16="http://schemas.microsoft.com/office/drawing/2014/chart" uri="{C3380CC4-5D6E-409C-BE32-E72D297353CC}">
                <c16:uniqueId val="{0000000B-31AC-46A8-912C-F37CB1B1980A}"/>
              </c:ext>
            </c:extLst>
          </c:dPt>
          <c:dPt>
            <c:idx val="15"/>
            <c:invertIfNegative val="0"/>
            <c:bubble3D val="0"/>
            <c:spPr>
              <a:solidFill>
                <a:srgbClr val="0070C0"/>
              </a:solidFill>
              <a:ln>
                <a:noFill/>
              </a:ln>
              <a:effectLst/>
            </c:spPr>
            <c:extLst>
              <c:ext xmlns:c16="http://schemas.microsoft.com/office/drawing/2014/chart" uri="{C3380CC4-5D6E-409C-BE32-E72D297353CC}">
                <c16:uniqueId val="{0000000D-31AC-46A8-912C-F37CB1B1980A}"/>
              </c:ext>
            </c:extLst>
          </c:dPt>
          <c:dPt>
            <c:idx val="16"/>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F-31AC-46A8-912C-F37CB1B1980A}"/>
              </c:ext>
            </c:extLst>
          </c:dPt>
          <c:dPt>
            <c:idx val="17"/>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1-31AC-46A8-912C-F37CB1B1980A}"/>
              </c:ext>
            </c:extLst>
          </c:dPt>
          <c:dPt>
            <c:idx val="18"/>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3-31AC-46A8-912C-F37CB1B1980A}"/>
              </c:ext>
            </c:extLst>
          </c:dPt>
          <c:dPt>
            <c:idx val="21"/>
            <c:invertIfNegative val="0"/>
            <c:bubble3D val="0"/>
            <c:spPr>
              <a:solidFill>
                <a:srgbClr val="0070C0"/>
              </a:solidFill>
              <a:ln>
                <a:noFill/>
              </a:ln>
              <a:effectLst/>
            </c:spPr>
            <c:extLst>
              <c:ext xmlns:c16="http://schemas.microsoft.com/office/drawing/2014/chart" uri="{C3380CC4-5D6E-409C-BE32-E72D297353CC}">
                <c16:uniqueId val="{00000015-31AC-46A8-912C-F37CB1B1980A}"/>
              </c:ext>
            </c:extLst>
          </c:dPt>
          <c:dPt>
            <c:idx val="29"/>
            <c:invertIfNegative val="0"/>
            <c:bubble3D val="0"/>
            <c:spPr>
              <a:solidFill>
                <a:srgbClr val="0070C0"/>
              </a:solidFill>
              <a:ln>
                <a:noFill/>
              </a:ln>
              <a:effectLst/>
            </c:spPr>
            <c:extLst>
              <c:ext xmlns:c16="http://schemas.microsoft.com/office/drawing/2014/chart" uri="{C3380CC4-5D6E-409C-BE32-E72D297353CC}">
                <c16:uniqueId val="{00000017-31AC-46A8-912C-F37CB1B1980A}"/>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31AC-46A8-912C-F37CB1B1980A}"/>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AC-46A8-912C-F37CB1B1980A}"/>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AC-46A8-912C-F37CB1B1980A}"/>
                </c:ext>
              </c:extLst>
            </c:dLbl>
            <c:dLbl>
              <c:idx val="1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1AC-46A8-912C-F37CB1B1980A}"/>
                </c:ext>
              </c:extLst>
            </c:dLbl>
            <c:dLbl>
              <c:idx val="17"/>
              <c:layout>
                <c:manualLayout>
                  <c:x val="-7.8750522111463869E-17"/>
                  <c:y val="-7.50750750750750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1AC-46A8-912C-F37CB1B1980A}"/>
                </c:ext>
              </c:extLst>
            </c:dLbl>
            <c:dLbl>
              <c:idx val="2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31AC-46A8-912C-F37CB1B198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Hárok1!$A$2:$A$29</c:f>
              <c:strCache>
                <c:ptCount val="28"/>
                <c:pt idx="0">
                  <c:v>EE</c:v>
                </c:pt>
                <c:pt idx="1">
                  <c:v>BG</c:v>
                </c:pt>
                <c:pt idx="2">
                  <c:v>LU</c:v>
                </c:pt>
                <c:pt idx="3">
                  <c:v>CZ</c:v>
                </c:pt>
                <c:pt idx="4">
                  <c:v>DK</c:v>
                </c:pt>
                <c:pt idx="5">
                  <c:v>SE</c:v>
                </c:pt>
                <c:pt idx="6">
                  <c:v>RO</c:v>
                </c:pt>
                <c:pt idx="7">
                  <c:v>LT</c:v>
                </c:pt>
                <c:pt idx="8">
                  <c:v>LV</c:v>
                </c:pt>
                <c:pt idx="9">
                  <c:v>MT</c:v>
                </c:pt>
                <c:pt idx="10">
                  <c:v>PL</c:v>
                </c:pt>
                <c:pt idx="11">
                  <c:v>SK</c:v>
                </c:pt>
                <c:pt idx="12">
                  <c:v>NL</c:v>
                </c:pt>
                <c:pt idx="13">
                  <c:v>IE</c:v>
                </c:pt>
                <c:pt idx="14">
                  <c:v>FI</c:v>
                </c:pt>
                <c:pt idx="15">
                  <c:v>DE</c:v>
                </c:pt>
                <c:pt idx="16">
                  <c:v>SI</c:v>
                </c:pt>
                <c:pt idx="17">
                  <c:v>HU</c:v>
                </c:pt>
                <c:pt idx="18">
                  <c:v>AT</c:v>
                </c:pt>
                <c:pt idx="19">
                  <c:v>HR</c:v>
                </c:pt>
                <c:pt idx="20">
                  <c:v>UK</c:v>
                </c:pt>
                <c:pt idx="21">
                  <c:v>CY</c:v>
                </c:pt>
                <c:pt idx="22">
                  <c:v>ES</c:v>
                </c:pt>
                <c:pt idx="23">
                  <c:v>FR</c:v>
                </c:pt>
                <c:pt idx="24">
                  <c:v>BE</c:v>
                </c:pt>
                <c:pt idx="25">
                  <c:v>PT</c:v>
                </c:pt>
                <c:pt idx="26">
                  <c:v>IT</c:v>
                </c:pt>
                <c:pt idx="27">
                  <c:v>EL</c:v>
                </c:pt>
              </c:strCache>
            </c:strRef>
          </c:cat>
          <c:val>
            <c:numRef>
              <c:f>Hárok1!$B$2:$B$29</c:f>
              <c:numCache>
                <c:formatCode>General</c:formatCode>
                <c:ptCount val="28"/>
                <c:pt idx="0">
                  <c:v>8.4</c:v>
                </c:pt>
                <c:pt idx="1">
                  <c:v>20.399999999999999</c:v>
                </c:pt>
                <c:pt idx="2">
                  <c:v>22.1</c:v>
                </c:pt>
                <c:pt idx="3">
                  <c:v>30.8</c:v>
                </c:pt>
                <c:pt idx="4">
                  <c:v>33.200000000000003</c:v>
                </c:pt>
                <c:pt idx="5">
                  <c:v>35.1</c:v>
                </c:pt>
                <c:pt idx="6">
                  <c:v>35.200000000000003</c:v>
                </c:pt>
                <c:pt idx="7">
                  <c:v>36.299999999999997</c:v>
                </c:pt>
                <c:pt idx="8">
                  <c:v>36.9</c:v>
                </c:pt>
                <c:pt idx="9">
                  <c:v>43.1</c:v>
                </c:pt>
                <c:pt idx="10">
                  <c:v>46</c:v>
                </c:pt>
                <c:pt idx="11">
                  <c:v>48</c:v>
                </c:pt>
                <c:pt idx="12">
                  <c:v>48.6</c:v>
                </c:pt>
                <c:pt idx="13">
                  <c:v>58.8</c:v>
                </c:pt>
                <c:pt idx="14">
                  <c:v>59.4</c:v>
                </c:pt>
                <c:pt idx="15">
                  <c:v>59.8</c:v>
                </c:pt>
                <c:pt idx="16">
                  <c:v>66.099999999999994</c:v>
                </c:pt>
                <c:pt idx="17">
                  <c:v>66.3</c:v>
                </c:pt>
                <c:pt idx="18">
                  <c:v>70.400000000000006</c:v>
                </c:pt>
                <c:pt idx="19">
                  <c:v>73.2</c:v>
                </c:pt>
                <c:pt idx="20">
                  <c:v>85.1</c:v>
                </c:pt>
                <c:pt idx="21">
                  <c:v>95.5</c:v>
                </c:pt>
                <c:pt idx="22">
                  <c:v>95.5</c:v>
                </c:pt>
                <c:pt idx="23">
                  <c:v>98.1</c:v>
                </c:pt>
                <c:pt idx="24">
                  <c:v>98.6</c:v>
                </c:pt>
                <c:pt idx="25">
                  <c:v>117.7</c:v>
                </c:pt>
                <c:pt idx="26">
                  <c:v>134.80000000000001</c:v>
                </c:pt>
                <c:pt idx="27">
                  <c:v>176.6</c:v>
                </c:pt>
              </c:numCache>
            </c:numRef>
          </c:val>
          <c:extLst>
            <c:ext xmlns:c16="http://schemas.microsoft.com/office/drawing/2014/chart" uri="{C3380CC4-5D6E-409C-BE32-E72D297353CC}">
              <c16:uniqueId val="{0000001A-31AC-46A8-912C-F37CB1B1980A}"/>
            </c:ext>
          </c:extLst>
        </c:ser>
        <c:dLbls>
          <c:showLegendKey val="0"/>
          <c:showVal val="0"/>
          <c:showCatName val="0"/>
          <c:showSerName val="0"/>
          <c:showPercent val="0"/>
          <c:showBubbleSize val="0"/>
        </c:dLbls>
        <c:gapWidth val="75"/>
        <c:axId val="74318240"/>
        <c:axId val="2092458832"/>
      </c:barChart>
      <c:lineChart>
        <c:grouping val="standard"/>
        <c:varyColors val="0"/>
        <c:ser>
          <c:idx val="1"/>
          <c:order val="1"/>
          <c:tx>
            <c:strRef>
              <c:f>Hárok1!$C$1</c:f>
              <c:strCache>
                <c:ptCount val="1"/>
                <c:pt idx="0">
                  <c:v>EÚ 27</c:v>
                </c:pt>
              </c:strCache>
            </c:strRef>
          </c:tx>
          <c:spPr>
            <a:ln w="12700" cap="rnd">
              <a:solidFill>
                <a:schemeClr val="tx1"/>
              </a:solidFill>
              <a:prstDash val="dash"/>
              <a:round/>
            </a:ln>
            <a:effectLst/>
          </c:spPr>
          <c:marker>
            <c:symbol val="none"/>
          </c:marker>
          <c:cat>
            <c:strRef>
              <c:f>Hárok1!$A$2:$A$29</c:f>
              <c:strCache>
                <c:ptCount val="28"/>
                <c:pt idx="0">
                  <c:v>EE</c:v>
                </c:pt>
                <c:pt idx="1">
                  <c:v>BG</c:v>
                </c:pt>
                <c:pt idx="2">
                  <c:v>LU</c:v>
                </c:pt>
                <c:pt idx="3">
                  <c:v>CZ</c:v>
                </c:pt>
                <c:pt idx="4">
                  <c:v>DK</c:v>
                </c:pt>
                <c:pt idx="5">
                  <c:v>SE</c:v>
                </c:pt>
                <c:pt idx="6">
                  <c:v>RO</c:v>
                </c:pt>
                <c:pt idx="7">
                  <c:v>LT</c:v>
                </c:pt>
                <c:pt idx="8">
                  <c:v>LV</c:v>
                </c:pt>
                <c:pt idx="9">
                  <c:v>MT</c:v>
                </c:pt>
                <c:pt idx="10">
                  <c:v>PL</c:v>
                </c:pt>
                <c:pt idx="11">
                  <c:v>SK</c:v>
                </c:pt>
                <c:pt idx="12">
                  <c:v>NL</c:v>
                </c:pt>
                <c:pt idx="13">
                  <c:v>IE</c:v>
                </c:pt>
                <c:pt idx="14">
                  <c:v>FI</c:v>
                </c:pt>
                <c:pt idx="15">
                  <c:v>DE</c:v>
                </c:pt>
                <c:pt idx="16">
                  <c:v>SI</c:v>
                </c:pt>
                <c:pt idx="17">
                  <c:v>HU</c:v>
                </c:pt>
                <c:pt idx="18">
                  <c:v>AT</c:v>
                </c:pt>
                <c:pt idx="19">
                  <c:v>HR</c:v>
                </c:pt>
                <c:pt idx="20">
                  <c:v>UK</c:v>
                </c:pt>
                <c:pt idx="21">
                  <c:v>CY</c:v>
                </c:pt>
                <c:pt idx="22">
                  <c:v>ES</c:v>
                </c:pt>
                <c:pt idx="23">
                  <c:v>FR</c:v>
                </c:pt>
                <c:pt idx="24">
                  <c:v>BE</c:v>
                </c:pt>
                <c:pt idx="25">
                  <c:v>PT</c:v>
                </c:pt>
                <c:pt idx="26">
                  <c:v>IT</c:v>
                </c:pt>
                <c:pt idx="27">
                  <c:v>EL</c:v>
                </c:pt>
              </c:strCache>
            </c:strRef>
          </c:cat>
          <c:val>
            <c:numRef>
              <c:f>Hárok1!$C$2:$C$29</c:f>
              <c:numCache>
                <c:formatCode>General</c:formatCode>
                <c:ptCount val="28"/>
                <c:pt idx="0">
                  <c:v>77.8</c:v>
                </c:pt>
                <c:pt idx="1">
                  <c:v>77.8</c:v>
                </c:pt>
                <c:pt idx="2">
                  <c:v>77.8</c:v>
                </c:pt>
                <c:pt idx="3">
                  <c:v>77.8</c:v>
                </c:pt>
                <c:pt idx="4">
                  <c:v>77.8</c:v>
                </c:pt>
                <c:pt idx="5">
                  <c:v>77.8</c:v>
                </c:pt>
                <c:pt idx="6">
                  <c:v>77.8</c:v>
                </c:pt>
                <c:pt idx="7">
                  <c:v>77.8</c:v>
                </c:pt>
                <c:pt idx="8">
                  <c:v>77.8</c:v>
                </c:pt>
                <c:pt idx="9">
                  <c:v>77.8</c:v>
                </c:pt>
                <c:pt idx="10">
                  <c:v>77.8</c:v>
                </c:pt>
                <c:pt idx="11">
                  <c:v>77.8</c:v>
                </c:pt>
                <c:pt idx="12">
                  <c:v>77.8</c:v>
                </c:pt>
                <c:pt idx="13">
                  <c:v>77.8</c:v>
                </c:pt>
                <c:pt idx="14">
                  <c:v>77.8</c:v>
                </c:pt>
                <c:pt idx="15">
                  <c:v>77.8</c:v>
                </c:pt>
                <c:pt idx="16">
                  <c:v>77.8</c:v>
                </c:pt>
                <c:pt idx="17">
                  <c:v>77.8</c:v>
                </c:pt>
                <c:pt idx="18">
                  <c:v>77.8</c:v>
                </c:pt>
                <c:pt idx="19">
                  <c:v>77.8</c:v>
                </c:pt>
                <c:pt idx="20">
                  <c:v>77.8</c:v>
                </c:pt>
                <c:pt idx="21">
                  <c:v>77.8</c:v>
                </c:pt>
                <c:pt idx="22">
                  <c:v>77.8</c:v>
                </c:pt>
                <c:pt idx="23">
                  <c:v>77.8</c:v>
                </c:pt>
                <c:pt idx="24">
                  <c:v>77.8</c:v>
                </c:pt>
                <c:pt idx="25">
                  <c:v>77.8</c:v>
                </c:pt>
                <c:pt idx="26">
                  <c:v>77.8</c:v>
                </c:pt>
                <c:pt idx="27">
                  <c:v>77.8</c:v>
                </c:pt>
              </c:numCache>
            </c:numRef>
          </c:val>
          <c:smooth val="0"/>
          <c:extLst>
            <c:ext xmlns:c16="http://schemas.microsoft.com/office/drawing/2014/chart" uri="{C3380CC4-5D6E-409C-BE32-E72D297353CC}">
              <c16:uniqueId val="{0000001B-31AC-46A8-912C-F37CB1B1980A}"/>
            </c:ext>
          </c:extLst>
        </c:ser>
        <c:dLbls>
          <c:showLegendKey val="0"/>
          <c:showVal val="0"/>
          <c:showCatName val="0"/>
          <c:showSerName val="0"/>
          <c:showPercent val="0"/>
          <c:showBubbleSize val="0"/>
        </c:dLbls>
        <c:marker val="1"/>
        <c:smooth val="0"/>
        <c:axId val="74318240"/>
        <c:axId val="2092458832"/>
      </c:lineChart>
      <c:catAx>
        <c:axId val="743182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2092458832"/>
        <c:crosses val="autoZero"/>
        <c:auto val="1"/>
        <c:lblAlgn val="ctr"/>
        <c:lblOffset val="100"/>
        <c:noMultiLvlLbl val="0"/>
      </c:catAx>
      <c:valAx>
        <c:axId val="2092458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 HDP</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74318240"/>
        <c:crosses val="autoZero"/>
        <c:crossBetween val="between"/>
        <c:majorUnit val="25"/>
      </c:valAx>
      <c:spPr>
        <a:noFill/>
        <a:ln>
          <a:noFill/>
        </a:ln>
        <a:effectLst/>
      </c:spPr>
    </c:plotArea>
    <c:legend>
      <c:legendPos val="r"/>
      <c:layout>
        <c:manualLayout>
          <c:xMode val="edge"/>
          <c:yMode val="edge"/>
          <c:x val="6.2209628757745501E-2"/>
          <c:y val="4.1380553782128585E-2"/>
          <c:w val="0.14311683172335418"/>
          <c:h val="0.2415632167600671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4.410143329658214E-3"/>
          <c:y val="8.3713850837138504E-2"/>
          <c:w val="0.9845644983461963"/>
          <c:h val="0.78523592085235916"/>
        </c:manualLayout>
      </c:layout>
      <c:barChart>
        <c:barDir val="col"/>
        <c:grouping val="clustered"/>
        <c:varyColors val="0"/>
        <c:ser>
          <c:idx val="5"/>
          <c:order val="5"/>
          <c:tx>
            <c:strRef>
              <c:f>'Prepočet na obyvatreľa'!$A$24:$B$24</c:f>
              <c:strCache>
                <c:ptCount val="2"/>
                <c:pt idx="0">
                  <c:v>Dlh na 1 obyvateľa</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'Prepočet na obyvatreľa'!$C$18:$AB$18</c:f>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f>'Prepočet na obyvatreľa'!$C$24:$AB$24</c:f>
              <c:numCache>
                <c:formatCode>#,##0</c:formatCode>
                <c:ptCount val="15"/>
                <c:pt idx="0">
                  <c:v>3284.0039105338383</c:v>
                </c:pt>
                <c:pt idx="1">
                  <c:v>3548.8176444427495</c:v>
                </c:pt>
                <c:pt idx="2">
                  <c:v>3624.3786784581803</c:v>
                </c:pt>
                <c:pt idx="3">
                  <c:v>4296.0488854684627</c:v>
                </c:pt>
                <c:pt idx="4">
                  <c:v>5135.0322237723849</c:v>
                </c:pt>
                <c:pt idx="5">
                  <c:v>5727.4039185673983</c:v>
                </c:pt>
                <c:pt idx="6">
                  <c:v>7028.6042674366772</c:v>
                </c:pt>
                <c:pt idx="7">
                  <c:v>7510.6920319966084</c:v>
                </c:pt>
                <c:pt idx="8">
                  <c:v>7526.2363666312576</c:v>
                </c:pt>
                <c:pt idx="9">
                  <c:v>7626.6712272117111</c:v>
                </c:pt>
                <c:pt idx="10">
                  <c:v>7756.5964098309896</c:v>
                </c:pt>
                <c:pt idx="11">
                  <c:v>7967.7703229030412</c:v>
                </c:pt>
                <c:pt idx="12">
                  <c:v>8131.8217436781488</c:v>
                </c:pt>
                <c:pt idx="13">
                  <c:v>8281.936571261369</c:v>
                </c:pt>
                <c:pt idx="14">
                  <c:v>8408.9351291244784</c:v>
                </c:pt>
              </c:numCache>
            </c:numRef>
          </c:val>
          <c:extLst>
            <c:ext xmlns:c16="http://schemas.microsoft.com/office/drawing/2014/chart" uri="{C3380CC4-5D6E-409C-BE32-E72D297353CC}">
              <c16:uniqueId val="{00000000-46EB-4FDD-9658-905A63C0886E}"/>
            </c:ext>
          </c:extLst>
        </c:ser>
        <c:dLbls>
          <c:showLegendKey val="0"/>
          <c:showVal val="0"/>
          <c:showCatName val="0"/>
          <c:showSerName val="0"/>
          <c:showPercent val="0"/>
          <c:showBubbleSize val="0"/>
        </c:dLbls>
        <c:gapWidth val="100"/>
        <c:axId val="914960639"/>
        <c:axId val="914963551"/>
        <c:extLst>
          <c:ext xmlns:c15="http://schemas.microsoft.com/office/drawing/2012/chart" uri="{02D57815-91ED-43cb-92C2-25804820EDAC}">
            <c15:filteredBarSeries>
              <c15:ser>
                <c:idx val="0"/>
                <c:order val="0"/>
                <c:tx>
                  <c:strRef>
                    <c:extLst>
                      <c:ext uri="{02D57815-91ED-43cb-92C2-25804820EDAC}">
                        <c15:formulaRef>
                          <c15:sqref>'Prepočet na obyvatreľa'!$A$19:$B$19</c15:sqref>
                        </c15:formulaRef>
                      </c:ext>
                    </c:extLst>
                    <c:strCache>
                      <c:ptCount val="2"/>
                      <c:pt idx="0">
                        <c:v>Čisté pôžičky prijaté (-); čisté pôžičky poskytnuté (+) (B.9)</c:v>
                      </c:pt>
                      <c:pt idx="1">
                        <c:v>Verejná správa (S.13)</c:v>
                      </c:pt>
                    </c:strCache>
                  </c:strRef>
                </c:tx>
                <c:spPr>
                  <a:solidFill>
                    <a:schemeClr val="accent1">
                      <a:tint val="48000"/>
                    </a:schemeClr>
                  </a:solidFill>
                  <a:ln>
                    <a:noFill/>
                  </a:ln>
                  <a:effectLst/>
                </c:spPr>
                <c:invertIfNegative val="0"/>
                <c:cat>
                  <c:strRef>
                    <c:extLst>
                      <c:ext uri="{02D57815-91ED-43cb-92C2-25804820EDAC}">
                        <c15:formulaRef>
                          <c15:sqref>'Prepočet na obyvatreľa'!$C$18:$AB$18</c15:sqref>
                        </c15:formulaRef>
                      </c:ext>
                    </c:extLst>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extLst>
                      <c:ext uri="{02D57815-91ED-43cb-92C2-25804820EDAC}">
                        <c15:formulaRef>
                          <c15:sqref>'Prepočet na obyvatreľa'!$C$19:$AB$19</c15:sqref>
                        </c15:formulaRef>
                      </c:ext>
                    </c:extLst>
                    <c:numCache>
                      <c:formatCode>#\ ##0.0</c:formatCode>
                      <c:ptCount val="15"/>
                      <c:pt idx="0">
                        <c:v>-2016.877</c:v>
                      </c:pt>
                      <c:pt idx="1">
                        <c:v>-1295.0830000000001</c:v>
                      </c:pt>
                      <c:pt idx="2">
                        <c:v>-1730.828</c:v>
                      </c:pt>
                      <c:pt idx="3">
                        <c:v>-5223.3590000000004</c:v>
                      </c:pt>
                      <c:pt idx="4">
                        <c:v>-5077.0330000000004</c:v>
                      </c:pt>
                      <c:pt idx="5">
                        <c:v>-3173.2109999999998</c:v>
                      </c:pt>
                      <c:pt idx="6">
                        <c:v>-3209.136</c:v>
                      </c:pt>
                      <c:pt idx="7">
                        <c:v>-2133.6729999999998</c:v>
                      </c:pt>
                      <c:pt idx="8">
                        <c:v>-2371.364</c:v>
                      </c:pt>
                      <c:pt idx="9">
                        <c:v>-2131.2130000000002</c:v>
                      </c:pt>
                      <c:pt idx="10">
                        <c:v>-2006.604</c:v>
                      </c:pt>
                      <c:pt idx="11">
                        <c:v>-804.96100000000001</c:v>
                      </c:pt>
                      <c:pt idx="12">
                        <c:v>-940.62800000000004</c:v>
                      </c:pt>
                      <c:pt idx="13">
                        <c:v>-1219.73</c:v>
                      </c:pt>
                      <c:pt idx="14">
                        <c:v>-480.40899999999999</c:v>
                      </c:pt>
                    </c:numCache>
                  </c:numRef>
                </c:val>
                <c:extLst>
                  <c:ext xmlns:c16="http://schemas.microsoft.com/office/drawing/2014/chart" uri="{C3380CC4-5D6E-409C-BE32-E72D297353CC}">
                    <c16:uniqueId val="{00000001-46EB-4FDD-9658-905A63C0886E}"/>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'Prepočet na obyvatreľa'!$A$20:$B$20</c15:sqref>
                        </c15:formulaRef>
                      </c:ext>
                    </c:extLst>
                    <c:strCache>
                      <c:ptCount val="2"/>
                      <c:pt idx="0">
                        <c:v>Dlh VS</c:v>
                      </c:pt>
                      <c:pt idx="1">
                        <c:v>v mil. eur</c:v>
                      </c:pt>
                    </c:strCache>
                  </c:strRef>
                </c:tx>
                <c:spPr>
                  <a:solidFill>
                    <a:schemeClr val="accent1">
                      <a:tint val="65000"/>
                    </a:schemeClr>
                  </a:solidFill>
                  <a:ln>
                    <a:noFill/>
                  </a:ln>
                  <a:effectLst/>
                </c:spPr>
                <c:invertIfNegative val="0"/>
                <c:cat>
                  <c:strRef>
                    <c:extLst xmlns:c15="http://schemas.microsoft.com/office/drawing/2012/chart">
                      <c:ext xmlns:c15="http://schemas.microsoft.com/office/drawing/2012/chart" uri="{02D57815-91ED-43cb-92C2-25804820EDAC}">
                        <c15:formulaRef>
                          <c15:sqref>'Prepočet na obyvatreľa'!$C$18:$AB$18</c15:sqref>
                        </c15:formulaRef>
                      </c:ext>
                    </c:extLst>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extLst xmlns:c15="http://schemas.microsoft.com/office/drawing/2012/chart">
                      <c:ext xmlns:c15="http://schemas.microsoft.com/office/drawing/2012/chart" uri="{02D57815-91ED-43cb-92C2-25804820EDAC}">
                        <c15:formulaRef>
                          <c15:sqref>'Prepočet na obyvatreľa'!$C$20:$AB$20</c15:sqref>
                        </c15:formulaRef>
                      </c:ext>
                    </c:extLst>
                    <c:numCache>
                      <c:formatCode>#\ ##0.0</c:formatCode>
                      <c:ptCount val="15"/>
                      <c:pt idx="0">
                        <c:v>17712.724999999999</c:v>
                      </c:pt>
                      <c:pt idx="1">
                        <c:v>19167.156999999999</c:v>
                      </c:pt>
                      <c:pt idx="2">
                        <c:v>19616.058000000001</c:v>
                      </c:pt>
                      <c:pt idx="3">
                        <c:v>23305.742999999999</c:v>
                      </c:pt>
                      <c:pt idx="4">
                        <c:v>27910.302</c:v>
                      </c:pt>
                      <c:pt idx="5">
                        <c:v>30952.735000000001</c:v>
                      </c:pt>
                      <c:pt idx="6">
                        <c:v>38030.625</c:v>
                      </c:pt>
                      <c:pt idx="7">
                        <c:v>40677.525000000001</c:v>
                      </c:pt>
                      <c:pt idx="8">
                        <c:v>40802.353999999999</c:v>
                      </c:pt>
                      <c:pt idx="9">
                        <c:v>41384.239999999998</c:v>
                      </c:pt>
                      <c:pt idx="10">
                        <c:v>42159.762000000002</c:v>
                      </c:pt>
                      <c:pt idx="11">
                        <c:v>43369.53</c:v>
                      </c:pt>
                      <c:pt idx="12">
                        <c:v>44321.851999999999</c:v>
                      </c:pt>
                      <c:pt idx="13">
                        <c:v>45201.758000000002</c:v>
                      </c:pt>
                      <c:pt idx="14">
                        <c:v>45894.9</c:v>
                      </c:pt>
                    </c:numCache>
                  </c:numRef>
                </c:val>
                <c:extLst xmlns:c15="http://schemas.microsoft.com/office/drawing/2012/chart">
                  <c:ext xmlns:c16="http://schemas.microsoft.com/office/drawing/2014/chart" uri="{C3380CC4-5D6E-409C-BE32-E72D297353CC}">
                    <c16:uniqueId val="{00000002-46EB-4FDD-9658-905A63C0886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'Prepočet na obyvatreľa'!$A$21:$B$21</c15:sqref>
                        </c15:formulaRef>
                      </c:ext>
                    </c:extLst>
                    <c:strCache>
                      <c:ptCount val="2"/>
                      <c:pt idx="0">
                        <c:v>Hrubý domáci produkt v trhových cenách</c:v>
                      </c:pt>
                      <c:pt idx="1">
                        <c:v>Hrubý domáci produkt v trhových cenách (B.1*g)</c:v>
                      </c:pt>
                    </c:strCache>
                  </c:strRef>
                </c:tx>
                <c:spPr>
                  <a:solidFill>
                    <a:schemeClr val="accent1">
                      <a:tint val="83000"/>
                    </a:schemeClr>
                  </a:solidFill>
                  <a:ln>
                    <a:noFill/>
                  </a:ln>
                  <a:effectLst/>
                </c:spPr>
                <c:invertIfNegative val="0"/>
                <c:cat>
                  <c:strRef>
                    <c:extLst xmlns:c15="http://schemas.microsoft.com/office/drawing/2012/chart">
                      <c:ext xmlns:c15="http://schemas.microsoft.com/office/drawing/2012/chart" uri="{02D57815-91ED-43cb-92C2-25804820EDAC}">
                        <c15:formulaRef>
                          <c15:sqref>'Prepočet na obyvatreľa'!$C$18:$AB$18</c15:sqref>
                        </c15:formulaRef>
                      </c:ext>
                    </c:extLst>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extLst xmlns:c15="http://schemas.microsoft.com/office/drawing/2012/chart">
                      <c:ext xmlns:c15="http://schemas.microsoft.com/office/drawing/2012/chart" uri="{02D57815-91ED-43cb-92C2-25804820EDAC}">
                        <c15:formulaRef>
                          <c15:sqref>'Prepočet na obyvatreľa'!$C$21:$AB$21</c15:sqref>
                        </c15:formulaRef>
                      </c:ext>
                    </c:extLst>
                    <c:numCache>
                      <c:formatCode>#\ ##0.0</c:formatCode>
                      <c:ptCount val="15"/>
                      <c:pt idx="0">
                        <c:v>56361.425000000003</c:v>
                      </c:pt>
                      <c:pt idx="1">
                        <c:v>63163.351999999999</c:v>
                      </c:pt>
                      <c:pt idx="2">
                        <c:v>68590.534</c:v>
                      </c:pt>
                      <c:pt idx="3">
                        <c:v>64095.519</c:v>
                      </c:pt>
                      <c:pt idx="4">
                        <c:v>68092.964000000007</c:v>
                      </c:pt>
                      <c:pt idx="5">
                        <c:v>71214.387000000002</c:v>
                      </c:pt>
                      <c:pt idx="6">
                        <c:v>73483.822</c:v>
                      </c:pt>
                      <c:pt idx="7">
                        <c:v>74354.845000000001</c:v>
                      </c:pt>
                      <c:pt idx="8">
                        <c:v>76255.856</c:v>
                      </c:pt>
                      <c:pt idx="9">
                        <c:v>79758.198000000004</c:v>
                      </c:pt>
                      <c:pt idx="10">
                        <c:v>81038.379000000001</c:v>
                      </c:pt>
                      <c:pt idx="11">
                        <c:v>84517.005000000005</c:v>
                      </c:pt>
                      <c:pt idx="12">
                        <c:v>89720.960999999996</c:v>
                      </c:pt>
                      <c:pt idx="13">
                        <c:v>94177.047999999995</c:v>
                      </c:pt>
                      <c:pt idx="14">
                        <c:v>98043.7</c:v>
                      </c:pt>
                    </c:numCache>
                  </c:numRef>
                </c:val>
                <c:extLst xmlns:c15="http://schemas.microsoft.com/office/drawing/2012/chart">
                  <c:ext xmlns:c16="http://schemas.microsoft.com/office/drawing/2014/chart" uri="{C3380CC4-5D6E-409C-BE32-E72D297353CC}">
                    <c16:uniqueId val="{00000003-46EB-4FDD-9658-905A63C0886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'Prepočet na obyvatreľa'!$A$22:$B$22</c15:sqref>
                        </c15:formulaRef>
                      </c:ext>
                    </c:extLst>
                    <c:strCache>
                      <c:ptCount val="2"/>
                      <c:pt idx="0">
                        <c:v>Dlh VS </c:v>
                      </c:pt>
                      <c:pt idx="1">
                        <c:v>v % HDP</c:v>
                      </c:pt>
                    </c:strCache>
                  </c:strRef>
                </c:tx>
                <c:spPr>
                  <a:solidFill>
                    <a:schemeClr val="accent1"/>
                  </a:solidFill>
                  <a:ln>
                    <a:noFill/>
                  </a:ln>
                  <a:effectLst/>
                </c:spPr>
                <c:invertIfNegative val="0"/>
                <c:cat>
                  <c:strRef>
                    <c:extLst xmlns:c15="http://schemas.microsoft.com/office/drawing/2012/chart">
                      <c:ext xmlns:c15="http://schemas.microsoft.com/office/drawing/2012/chart" uri="{02D57815-91ED-43cb-92C2-25804820EDAC}">
                        <c15:formulaRef>
                          <c15:sqref>'Prepočet na obyvatreľa'!$C$18:$AB$18</c15:sqref>
                        </c15:formulaRef>
                      </c:ext>
                    </c:extLst>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extLst xmlns:c15="http://schemas.microsoft.com/office/drawing/2012/chart">
                      <c:ext xmlns:c15="http://schemas.microsoft.com/office/drawing/2012/chart" uri="{02D57815-91ED-43cb-92C2-25804820EDAC}">
                        <c15:formulaRef>
                          <c15:sqref>'Prepočet na obyvatreľa'!$C$22:$AB$22</c15:sqref>
                        </c15:formulaRef>
                      </c:ext>
                    </c:extLst>
                    <c:numCache>
                      <c:formatCode>0.0</c:formatCode>
                      <c:ptCount val="15"/>
                      <c:pt idx="0">
                        <c:v>31.427035423607542</c:v>
                      </c:pt>
                      <c:pt idx="1">
                        <c:v>30.345376540497725</c:v>
                      </c:pt>
                      <c:pt idx="2">
                        <c:v>28.598783033238963</c:v>
                      </c:pt>
                      <c:pt idx="3">
                        <c:v>36.360955279884692</c:v>
                      </c:pt>
                      <c:pt idx="4">
                        <c:v>40.988525627992928</c:v>
                      </c:pt>
                      <c:pt idx="5">
                        <c:v>43.464159847363426</c:v>
                      </c:pt>
                      <c:pt idx="6">
                        <c:v>51.753738394282209</c:v>
                      </c:pt>
                      <c:pt idx="7">
                        <c:v>54.707295805673461</c:v>
                      </c:pt>
                      <c:pt idx="8">
                        <c:v>53.507174583418227</c:v>
                      </c:pt>
                      <c:pt idx="9">
                        <c:v>51.88713014805073</c:v>
                      </c:pt>
                      <c:pt idx="10">
                        <c:v>52.024438938987174</c:v>
                      </c:pt>
                      <c:pt idx="11">
                        <c:v>51.314560898129315</c:v>
                      </c:pt>
                      <c:pt idx="12">
                        <c:v>49.399662582749201</c:v>
                      </c:pt>
                      <c:pt idx="13">
                        <c:v>47.996575556286288</c:v>
                      </c:pt>
                      <c:pt idx="14">
                        <c:v>46.810656880554284</c:v>
                      </c:pt>
                    </c:numCache>
                  </c:numRef>
                </c:val>
                <c:extLst xmlns:c15="http://schemas.microsoft.com/office/drawing/2012/chart">
                  <c:ext xmlns:c16="http://schemas.microsoft.com/office/drawing/2014/chart" uri="{C3380CC4-5D6E-409C-BE32-E72D297353CC}">
                    <c16:uniqueId val="{00000004-46EB-4FDD-9658-905A63C0886E}"/>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'Prepočet na obyvatreľa'!$A$23:$B$23</c15:sqref>
                        </c15:formulaRef>
                      </c:ext>
                    </c:extLst>
                    <c:strCache>
                      <c:ptCount val="2"/>
                      <c:pt idx="0">
                        <c:v>Počet obyvateľov SR</c:v>
                      </c:pt>
                      <c:pt idx="1">
                        <c:v>osoby</c:v>
                      </c:pt>
                    </c:strCache>
                  </c:strRef>
                </c:tx>
                <c:spPr>
                  <a:solidFill>
                    <a:schemeClr val="accent1">
                      <a:shade val="82000"/>
                    </a:schemeClr>
                  </a:solidFill>
                  <a:ln>
                    <a:noFill/>
                  </a:ln>
                  <a:effectLst/>
                </c:spPr>
                <c:invertIfNegative val="0"/>
                <c:cat>
                  <c:strRef>
                    <c:extLst xmlns:c15="http://schemas.microsoft.com/office/drawing/2012/chart">
                      <c:ext xmlns:c15="http://schemas.microsoft.com/office/drawing/2012/chart" uri="{02D57815-91ED-43cb-92C2-25804820EDAC}">
                        <c15:formulaRef>
                          <c15:sqref>'Prepočet na obyvatreľa'!$C$18:$AB$18</c15:sqref>
                        </c15:formulaRef>
                      </c:ext>
                    </c:extLst>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extLst xmlns:c15="http://schemas.microsoft.com/office/drawing/2012/chart">
                      <c:ext xmlns:c15="http://schemas.microsoft.com/office/drawing/2012/chart" uri="{02D57815-91ED-43cb-92C2-25804820EDAC}">
                        <c15:formulaRef>
                          <c15:sqref>'Prepočet na obyvatreľa'!$C$23:$AB$23</c15:sqref>
                        </c15:formulaRef>
                      </c:ext>
                    </c:extLst>
                    <c:numCache>
                      <c:formatCode>#,##0</c:formatCode>
                      <c:ptCount val="15"/>
                      <c:pt idx="0">
                        <c:v>5393637</c:v>
                      </c:pt>
                      <c:pt idx="1">
                        <c:v>5400998</c:v>
                      </c:pt>
                      <c:pt idx="2">
                        <c:v>5412254</c:v>
                      </c:pt>
                      <c:pt idx="3">
                        <c:v>5424925</c:v>
                      </c:pt>
                      <c:pt idx="4">
                        <c:v>5435273</c:v>
                      </c:pt>
                      <c:pt idx="5">
                        <c:v>5404322</c:v>
                      </c:pt>
                      <c:pt idx="6">
                        <c:v>5410836</c:v>
                      </c:pt>
                      <c:pt idx="7">
                        <c:v>5415949</c:v>
                      </c:pt>
                      <c:pt idx="8">
                        <c:v>5421349</c:v>
                      </c:pt>
                      <c:pt idx="9">
                        <c:v>5426252</c:v>
                      </c:pt>
                      <c:pt idx="10">
                        <c:v>5435343</c:v>
                      </c:pt>
                      <c:pt idx="11">
                        <c:v>5443120</c:v>
                      </c:pt>
                      <c:pt idx="12">
                        <c:v>5450421</c:v>
                      </c:pt>
                      <c:pt idx="13">
                        <c:v>5457873</c:v>
                      </c:pt>
                      <c:pt idx="14">
                        <c:v>5457873</c:v>
                      </c:pt>
                    </c:numCache>
                  </c:numRef>
                </c:val>
                <c:extLst xmlns:c15="http://schemas.microsoft.com/office/drawing/2012/chart">
                  <c:ext xmlns:c16="http://schemas.microsoft.com/office/drawing/2014/chart" uri="{C3380CC4-5D6E-409C-BE32-E72D297353CC}">
                    <c16:uniqueId val="{00000005-46EB-4FDD-9658-905A63C0886E}"/>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'Prepočet na obyvatreľa'!$A$25:$B$25</c15:sqref>
                        </c15:formulaRef>
                      </c:ext>
                    </c:extLst>
                    <c:strCache>
                      <c:ptCount val="2"/>
                      <c:pt idx="0">
                        <c:v>Poznámka:</c:v>
                      </c:pt>
                    </c:strCache>
                  </c:strRef>
                </c:tx>
                <c:spPr>
                  <a:solidFill>
                    <a:schemeClr val="accent1">
                      <a:shade val="47000"/>
                    </a:schemeClr>
                  </a:solidFill>
                  <a:ln>
                    <a:noFill/>
                  </a:ln>
                  <a:effectLst/>
                </c:spPr>
                <c:invertIfNegative val="0"/>
                <c:cat>
                  <c:strRef>
                    <c:extLst xmlns:c15="http://schemas.microsoft.com/office/drawing/2012/chart">
                      <c:ext xmlns:c15="http://schemas.microsoft.com/office/drawing/2012/chart" uri="{02D57815-91ED-43cb-92C2-25804820EDAC}">
                        <c15:formulaRef>
                          <c15:sqref>'Prepočet na obyvatreľa'!$C$18:$AB$18</c15:sqref>
                        </c15:formulaRef>
                      </c:ext>
                    </c:extLst>
                    <c:strCach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strCache>
                  </c:strRef>
                </c:cat>
                <c:val>
                  <c:numRef>
                    <c:extLst xmlns:c15="http://schemas.microsoft.com/office/drawing/2012/chart">
                      <c:ext xmlns:c15="http://schemas.microsoft.com/office/drawing/2012/chart" uri="{02D57815-91ED-43cb-92C2-25804820EDAC}">
                        <c15:formulaRef>
                          <c15:sqref>'Prepočet na obyvatreľa'!$C$25:$AB$25</c15:sqref>
                        </c15:formulaRef>
                      </c:ext>
                    </c:extLst>
                    <c:numCache>
                      <c:formatCode>#,##0</c:formatCode>
                      <c:ptCount val="15"/>
                      <c:pt idx="0">
                        <c:v>17712725000</c:v>
                      </c:pt>
                      <c:pt idx="1">
                        <c:v>19167157000</c:v>
                      </c:pt>
                      <c:pt idx="2">
                        <c:v>19616058000</c:v>
                      </c:pt>
                      <c:pt idx="3">
                        <c:v>23305743000</c:v>
                      </c:pt>
                      <c:pt idx="4">
                        <c:v>27910302000</c:v>
                      </c:pt>
                      <c:pt idx="5">
                        <c:v>30952735000</c:v>
                      </c:pt>
                      <c:pt idx="6">
                        <c:v>38030625000</c:v>
                      </c:pt>
                      <c:pt idx="7">
                        <c:v>40677525000</c:v>
                      </c:pt>
                      <c:pt idx="8">
                        <c:v>40802354000</c:v>
                      </c:pt>
                      <c:pt idx="9">
                        <c:v>41384240000</c:v>
                      </c:pt>
                      <c:pt idx="10">
                        <c:v>42159762000</c:v>
                      </c:pt>
                      <c:pt idx="11">
                        <c:v>43369530000</c:v>
                      </c:pt>
                      <c:pt idx="12">
                        <c:v>44321852000</c:v>
                      </c:pt>
                      <c:pt idx="13">
                        <c:v>45201758000</c:v>
                      </c:pt>
                      <c:pt idx="14">
                        <c:v>45894900000</c:v>
                      </c:pt>
                    </c:numCache>
                  </c:numRef>
                </c:val>
                <c:extLst xmlns:c15="http://schemas.microsoft.com/office/drawing/2012/chart">
                  <c:ext xmlns:c16="http://schemas.microsoft.com/office/drawing/2014/chart" uri="{C3380CC4-5D6E-409C-BE32-E72D297353CC}">
                    <c16:uniqueId val="{00000006-46EB-4FDD-9658-905A63C0886E}"/>
                  </c:ext>
                </c:extLst>
              </c15:ser>
            </c15:filteredBarSeries>
          </c:ext>
        </c:extLst>
      </c:barChart>
      <c:catAx>
        <c:axId val="914960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914963551"/>
        <c:crosses val="autoZero"/>
        <c:auto val="1"/>
        <c:lblAlgn val="ctr"/>
        <c:lblOffset val="100"/>
        <c:noMultiLvlLbl val="0"/>
      </c:catAx>
      <c:valAx>
        <c:axId val="91496355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1496063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72675000676463E-2"/>
          <c:y val="7.2751322751322747E-2"/>
          <c:w val="0.88927131531239012"/>
          <c:h val="0.65945059232460812"/>
        </c:manualLayout>
      </c:layout>
      <c:barChart>
        <c:barDir val="col"/>
        <c:grouping val="clustered"/>
        <c:varyColors val="0"/>
        <c:ser>
          <c:idx val="0"/>
          <c:order val="0"/>
          <c:tx>
            <c:strRef>
              <c:f>Hárok1!$B$1</c:f>
              <c:strCache>
                <c:ptCount val="1"/>
                <c:pt idx="0">
                  <c:v>Výdavky spojené so správou štátneho dlhu (v mil. eur)</c:v>
                </c:pt>
              </c:strCache>
            </c:strRef>
          </c:tx>
          <c:spPr>
            <a:solidFill>
              <a:schemeClr val="accent1">
                <a:lumMod val="40000"/>
                <a:lumOff val="60000"/>
              </a:schemeClr>
            </a:solidFill>
            <a:ln>
              <a:noFill/>
            </a:ln>
            <a:effectLst/>
          </c:spPr>
          <c:invertIfNegative val="0"/>
          <c:dPt>
            <c:idx val="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1-79DB-4C41-BD50-E7B749CB1F6E}"/>
              </c:ext>
            </c:extLst>
          </c:dPt>
          <c:dPt>
            <c:idx val="6"/>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79DB-4C41-BD50-E7B749CB1F6E}"/>
              </c:ext>
            </c:extLst>
          </c:dPt>
          <c:dPt>
            <c:idx val="10"/>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5-79DB-4C41-BD50-E7B749CB1F6E}"/>
              </c:ext>
            </c:extLst>
          </c:dPt>
          <c:dPt>
            <c:idx val="1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7-79DB-4C41-BD50-E7B749CB1F6E}"/>
              </c:ext>
            </c:extLst>
          </c:dPt>
          <c:dPt>
            <c:idx val="1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9-79DB-4C41-BD50-E7B749CB1F6E}"/>
              </c:ext>
            </c:extLst>
          </c:dPt>
          <c:dPt>
            <c:idx val="14"/>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B-79DB-4C41-BD50-E7B749CB1F6E}"/>
              </c:ext>
            </c:extLst>
          </c:dPt>
          <c:dPt>
            <c:idx val="15"/>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D-79DB-4C41-BD50-E7B749CB1F6E}"/>
              </c:ext>
            </c:extLst>
          </c:dPt>
          <c:dPt>
            <c:idx val="16"/>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F-79DB-4C41-BD50-E7B749CB1F6E}"/>
              </c:ext>
            </c:extLst>
          </c:dPt>
          <c:dPt>
            <c:idx val="17"/>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1-79DB-4C41-BD50-E7B749CB1F6E}"/>
              </c:ext>
            </c:extLst>
          </c:dPt>
          <c:dPt>
            <c:idx val="18"/>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3-79DB-4C41-BD50-E7B749CB1F6E}"/>
              </c:ext>
            </c:extLst>
          </c:dPt>
          <c:dPt>
            <c:idx val="2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5-79DB-4C41-BD50-E7B749CB1F6E}"/>
              </c:ext>
            </c:extLst>
          </c:dPt>
          <c:dPt>
            <c:idx val="29"/>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7-79DB-4C41-BD50-E7B749CB1F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Hárok1!$B$2:$B$11</c:f>
              <c:numCache>
                <c:formatCode>General</c:formatCode>
                <c:ptCount val="10"/>
                <c:pt idx="0">
                  <c:v>864</c:v>
                </c:pt>
                <c:pt idx="1">
                  <c:v>1007</c:v>
                </c:pt>
                <c:pt idx="2">
                  <c:v>1249</c:v>
                </c:pt>
                <c:pt idx="3">
                  <c:v>1166</c:v>
                </c:pt>
                <c:pt idx="4">
                  <c:v>1281</c:v>
                </c:pt>
                <c:pt idx="5">
                  <c:v>1160</c:v>
                </c:pt>
                <c:pt idx="6">
                  <c:v>1175</c:v>
                </c:pt>
                <c:pt idx="7">
                  <c:v>1167</c:v>
                </c:pt>
                <c:pt idx="8">
                  <c:v>1135</c:v>
                </c:pt>
                <c:pt idx="9">
                  <c:v>1037</c:v>
                </c:pt>
              </c:numCache>
            </c:numRef>
          </c:val>
          <c:extLst>
            <c:ext xmlns:c16="http://schemas.microsoft.com/office/drawing/2014/chart" uri="{C3380CC4-5D6E-409C-BE32-E72D297353CC}">
              <c16:uniqueId val="{0000001A-79DB-4C41-BD50-E7B749CB1F6E}"/>
            </c:ext>
          </c:extLst>
        </c:ser>
        <c:dLbls>
          <c:showLegendKey val="0"/>
          <c:showVal val="0"/>
          <c:showCatName val="0"/>
          <c:showSerName val="0"/>
          <c:showPercent val="0"/>
          <c:showBubbleSize val="0"/>
        </c:dLbls>
        <c:gapWidth val="100"/>
        <c:axId val="74318240"/>
        <c:axId val="2092458832"/>
      </c:barChart>
      <c:lineChart>
        <c:grouping val="standard"/>
        <c:varyColors val="0"/>
        <c:ser>
          <c:idx val="1"/>
          <c:order val="1"/>
          <c:tx>
            <c:strRef>
              <c:f>Hárok1!$C$1</c:f>
              <c:strCache>
                <c:ptCount val="1"/>
                <c:pt idx="0">
                  <c:v>Náklady na 1 euro dlhu (v eur)</c:v>
                </c:pt>
              </c:strCache>
            </c:strRef>
          </c:tx>
          <c:spPr>
            <a:ln w="12700" cap="rnd">
              <a:solidFill>
                <a:schemeClr val="tx1"/>
              </a:solidFill>
              <a:prstDash val="dash"/>
              <a:round/>
            </a:ln>
            <a:effectLst/>
          </c:spPr>
          <c:marker>
            <c:symbol val="none"/>
          </c:marker>
          <c:cat>
            <c:numRef>
              <c:f>Hárok1!$A$2:$A$11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Hárok1!$C$2:$C$11</c:f>
              <c:numCache>
                <c:formatCode>General</c:formatCode>
                <c:ptCount val="10"/>
                <c:pt idx="0">
                  <c:v>3.3000000000000002E-2</c:v>
                </c:pt>
                <c:pt idx="1">
                  <c:v>3.5000000000000003E-2</c:v>
                </c:pt>
                <c:pt idx="2">
                  <c:v>3.5000000000000003E-2</c:v>
                </c:pt>
                <c:pt idx="3">
                  <c:v>0.03</c:v>
                </c:pt>
                <c:pt idx="4">
                  <c:v>3.3000000000000002E-2</c:v>
                </c:pt>
                <c:pt idx="5">
                  <c:v>2.8000000000000001E-2</c:v>
                </c:pt>
                <c:pt idx="6">
                  <c:v>2.8000000000000001E-2</c:v>
                </c:pt>
                <c:pt idx="7">
                  <c:v>2.8000000000000001E-2</c:v>
                </c:pt>
                <c:pt idx="8">
                  <c:v>2.7E-2</c:v>
                </c:pt>
                <c:pt idx="9">
                  <c:v>2.4E-2</c:v>
                </c:pt>
              </c:numCache>
            </c:numRef>
          </c:val>
          <c:smooth val="0"/>
          <c:extLst>
            <c:ext xmlns:c16="http://schemas.microsoft.com/office/drawing/2014/chart" uri="{C3380CC4-5D6E-409C-BE32-E72D297353CC}">
              <c16:uniqueId val="{0000001B-79DB-4C41-BD50-E7B749CB1F6E}"/>
            </c:ext>
          </c:extLst>
        </c:ser>
        <c:dLbls>
          <c:showLegendKey val="0"/>
          <c:showVal val="0"/>
          <c:showCatName val="0"/>
          <c:showSerName val="0"/>
          <c:showPercent val="0"/>
          <c:showBubbleSize val="0"/>
        </c:dLbls>
        <c:marker val="1"/>
        <c:smooth val="0"/>
        <c:axId val="296922208"/>
        <c:axId val="296926368"/>
      </c:lineChart>
      <c:catAx>
        <c:axId val="743182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2092458832"/>
        <c:crosses val="autoZero"/>
        <c:auto val="1"/>
        <c:lblAlgn val="ctr"/>
        <c:lblOffset val="100"/>
        <c:noMultiLvlLbl val="0"/>
      </c:catAx>
      <c:valAx>
        <c:axId val="2092458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74318240"/>
        <c:crosses val="autoZero"/>
        <c:crossBetween val="between"/>
        <c:majorUnit val="250"/>
      </c:valAx>
      <c:valAx>
        <c:axId val="296926368"/>
        <c:scaling>
          <c:orientation val="minMax"/>
        </c:scaling>
        <c:delete val="0"/>
        <c:axPos val="r"/>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296922208"/>
        <c:crosses val="max"/>
        <c:crossBetween val="between"/>
      </c:valAx>
      <c:catAx>
        <c:axId val="296922208"/>
        <c:scaling>
          <c:orientation val="minMax"/>
        </c:scaling>
        <c:delete val="1"/>
        <c:axPos val="b"/>
        <c:numFmt formatCode="General" sourceLinked="1"/>
        <c:majorTickMark val="out"/>
        <c:minorTickMark val="none"/>
        <c:tickLblPos val="nextTo"/>
        <c:crossAx val="2969263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7.1525397560599044E-2"/>
          <c:y val="6.0506050605060507E-2"/>
          <c:w val="0.82977046986773717"/>
          <c:h val="0.73427882158294577"/>
        </c:manualLayout>
      </c:layout>
      <c:barChart>
        <c:barDir val="col"/>
        <c:grouping val="clustered"/>
        <c:varyColors val="0"/>
        <c:ser>
          <c:idx val="0"/>
          <c:order val="0"/>
          <c:tx>
            <c:strRef>
              <c:f>'Rozpočtové opatrenia'!$B$6</c:f>
              <c:strCache>
                <c:ptCount val="1"/>
                <c:pt idx="0">
                  <c:v>Počet rozpočtových opatrení (ľavá os)</c:v>
                </c:pt>
              </c:strCache>
            </c:strRef>
          </c:tx>
          <c:spPr>
            <a:solidFill>
              <a:schemeClr val="accent1">
                <a:lumMod val="40000"/>
                <a:lumOff val="60000"/>
              </a:schemeClr>
            </a:solidFill>
            <a:ln>
              <a:noFill/>
            </a:ln>
            <a:effectLst/>
          </c:spPr>
          <c:invertIfNegative val="0"/>
          <c:dLbls>
            <c:dLbl>
              <c:idx val="4"/>
              <c:layout>
                <c:manualLayout>
                  <c:x val="0"/>
                  <c:y val="2.20022002200220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9A-41E7-BE42-A3E5F28F9B8F}"/>
                </c:ext>
              </c:extLst>
            </c:dLbl>
            <c:dLbl>
              <c:idx val="6"/>
              <c:layout>
                <c:manualLayout>
                  <c:x val="0"/>
                  <c:y val="1.1001100110011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9A-41E7-BE42-A3E5F28F9B8F}"/>
                </c:ext>
              </c:extLst>
            </c:dLbl>
            <c:dLbl>
              <c:idx val="7"/>
              <c:layout>
                <c:manualLayout>
                  <c:x val="0"/>
                  <c:y val="2.2002200220021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9A-41E7-BE42-A3E5F28F9B8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'Rozpočtové opatrenia'!$C$5:$J$5</c:f>
              <c:numCache>
                <c:formatCode>General</c:formatCode>
                <c:ptCount val="8"/>
                <c:pt idx="0">
                  <c:v>2012</c:v>
                </c:pt>
                <c:pt idx="1">
                  <c:v>2013</c:v>
                </c:pt>
                <c:pt idx="2">
                  <c:v>2014</c:v>
                </c:pt>
                <c:pt idx="3">
                  <c:v>2015</c:v>
                </c:pt>
                <c:pt idx="4">
                  <c:v>2016</c:v>
                </c:pt>
                <c:pt idx="5">
                  <c:v>2017</c:v>
                </c:pt>
                <c:pt idx="6">
                  <c:v>2018</c:v>
                </c:pt>
                <c:pt idx="7">
                  <c:v>2019</c:v>
                </c:pt>
              </c:numCache>
            </c:numRef>
          </c:cat>
          <c:val>
            <c:numRef>
              <c:f>'Rozpočtové opatrenia'!$C$6:$J$6</c:f>
              <c:numCache>
                <c:formatCode>#,##0</c:formatCode>
                <c:ptCount val="8"/>
                <c:pt idx="0">
                  <c:v>1672</c:v>
                </c:pt>
                <c:pt idx="1">
                  <c:v>2303</c:v>
                </c:pt>
                <c:pt idx="2">
                  <c:v>2447</c:v>
                </c:pt>
                <c:pt idx="3">
                  <c:v>3442</c:v>
                </c:pt>
                <c:pt idx="4">
                  <c:v>2024</c:v>
                </c:pt>
                <c:pt idx="5">
                  <c:v>1787</c:v>
                </c:pt>
                <c:pt idx="6">
                  <c:v>2754</c:v>
                </c:pt>
                <c:pt idx="7" formatCode="General">
                  <c:v>3022</c:v>
                </c:pt>
              </c:numCache>
            </c:numRef>
          </c:val>
          <c:extLst>
            <c:ext xmlns:c16="http://schemas.microsoft.com/office/drawing/2014/chart" uri="{C3380CC4-5D6E-409C-BE32-E72D297353CC}">
              <c16:uniqueId val="{00000000-2149-4384-B1DA-6A63386A4964}"/>
            </c:ext>
          </c:extLst>
        </c:ser>
        <c:dLbls>
          <c:showLegendKey val="0"/>
          <c:showVal val="0"/>
          <c:showCatName val="0"/>
          <c:showSerName val="0"/>
          <c:showPercent val="0"/>
          <c:showBubbleSize val="0"/>
        </c:dLbls>
        <c:gapWidth val="100"/>
        <c:axId val="1208809072"/>
        <c:axId val="1208810736"/>
      </c:barChart>
      <c:lineChart>
        <c:grouping val="standard"/>
        <c:varyColors val="0"/>
        <c:ser>
          <c:idx val="1"/>
          <c:order val="1"/>
          <c:tx>
            <c:strRef>
              <c:f>'Rozpočtové opatrenia'!$B$7</c:f>
              <c:strCache>
                <c:ptCount val="1"/>
                <c:pt idx="0">
                  <c:v>Objem výdavkov na rozpočtové opatrenia v mil. eur (pravá os)</c:v>
                </c:pt>
              </c:strCache>
            </c:strRef>
          </c:tx>
          <c:spPr>
            <a:ln w="12700" cap="rnd">
              <a:solidFill>
                <a:schemeClr val="tx1"/>
              </a:solidFill>
              <a:prstDash val="dash"/>
              <a:round/>
            </a:ln>
            <a:effectLst/>
          </c:spPr>
          <c:marker>
            <c:symbol val="none"/>
          </c:marker>
          <c:cat>
            <c:numRef>
              <c:f>'Rozpočtové opatrenia'!$C$5:$J$5</c:f>
              <c:numCache>
                <c:formatCode>General</c:formatCode>
                <c:ptCount val="8"/>
                <c:pt idx="0">
                  <c:v>2012</c:v>
                </c:pt>
                <c:pt idx="1">
                  <c:v>2013</c:v>
                </c:pt>
                <c:pt idx="2">
                  <c:v>2014</c:v>
                </c:pt>
                <c:pt idx="3">
                  <c:v>2015</c:v>
                </c:pt>
                <c:pt idx="4">
                  <c:v>2016</c:v>
                </c:pt>
                <c:pt idx="5">
                  <c:v>2017</c:v>
                </c:pt>
                <c:pt idx="6">
                  <c:v>2018</c:v>
                </c:pt>
                <c:pt idx="7">
                  <c:v>2019</c:v>
                </c:pt>
              </c:numCache>
            </c:numRef>
          </c:cat>
          <c:val>
            <c:numRef>
              <c:f>'Rozpočtové opatrenia'!$C$7:$J$7</c:f>
              <c:numCache>
                <c:formatCode>_-* #\ ##0_-;\-* #\ ##0_-;_-* "-"??_-;_-@_-</c:formatCode>
                <c:ptCount val="8"/>
                <c:pt idx="0">
                  <c:v>1038462134.1199994</c:v>
                </c:pt>
                <c:pt idx="1">
                  <c:v>2088470716.8200004</c:v>
                </c:pt>
                <c:pt idx="2">
                  <c:v>3123650782.7599978</c:v>
                </c:pt>
                <c:pt idx="3">
                  <c:v>5810078079.9499998</c:v>
                </c:pt>
                <c:pt idx="4">
                  <c:v>4776142596.6799984</c:v>
                </c:pt>
                <c:pt idx="5">
                  <c:v>4660287919.2700005</c:v>
                </c:pt>
                <c:pt idx="6">
                  <c:v>6796787036.5299978</c:v>
                </c:pt>
                <c:pt idx="7">
                  <c:v>6690598811.5600004</c:v>
                </c:pt>
              </c:numCache>
            </c:numRef>
          </c:val>
          <c:smooth val="0"/>
          <c:extLst>
            <c:ext xmlns:c16="http://schemas.microsoft.com/office/drawing/2014/chart" uri="{C3380CC4-5D6E-409C-BE32-E72D297353CC}">
              <c16:uniqueId val="{00000001-2149-4384-B1DA-6A63386A4964}"/>
            </c:ext>
          </c:extLst>
        </c:ser>
        <c:dLbls>
          <c:showLegendKey val="0"/>
          <c:showVal val="0"/>
          <c:showCatName val="0"/>
          <c:showSerName val="0"/>
          <c:showPercent val="0"/>
          <c:showBubbleSize val="0"/>
        </c:dLbls>
        <c:marker val="1"/>
        <c:smooth val="0"/>
        <c:axId val="1208787856"/>
        <c:axId val="1208784112"/>
      </c:lineChart>
      <c:catAx>
        <c:axId val="120880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1208810736"/>
        <c:crosses val="autoZero"/>
        <c:auto val="1"/>
        <c:lblAlgn val="ctr"/>
        <c:lblOffset val="100"/>
        <c:noMultiLvlLbl val="0"/>
      </c:catAx>
      <c:valAx>
        <c:axId val="1208810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1208809072"/>
        <c:crosses val="autoZero"/>
        <c:crossBetween val="between"/>
      </c:valAx>
      <c:valAx>
        <c:axId val="1208784112"/>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1208787856"/>
        <c:crosses val="max"/>
        <c:crossBetween val="between"/>
        <c:dispUnits>
          <c:builtInUnit val="millions"/>
          <c:dispUnitsLbl>
            <c:layout>
              <c:manualLayout>
                <c:xMode val="edge"/>
                <c:yMode val="edge"/>
                <c:x val="0.95830837321805362"/>
                <c:y val="0.38004642983983439"/>
              </c:manualLayout>
            </c:layout>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mil. eur</a:t>
                  </a:r>
                </a:p>
              </c:rich>
            </c:tx>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ispUnitsLbl>
        </c:dispUnits>
      </c:valAx>
      <c:catAx>
        <c:axId val="1208787856"/>
        <c:scaling>
          <c:orientation val="minMax"/>
        </c:scaling>
        <c:delete val="1"/>
        <c:axPos val="b"/>
        <c:numFmt formatCode="General" sourceLinked="1"/>
        <c:majorTickMark val="out"/>
        <c:minorTickMark val="none"/>
        <c:tickLblPos val="nextTo"/>
        <c:crossAx val="12087841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751253143378457E-2"/>
          <c:y val="9.4307847760188621E-2"/>
          <c:w val="0.78298317135326023"/>
          <c:h val="0.78969349949477941"/>
        </c:manualLayout>
      </c:layout>
      <c:barChart>
        <c:barDir val="col"/>
        <c:grouping val="stacked"/>
        <c:varyColors val="0"/>
        <c:ser>
          <c:idx val="0"/>
          <c:order val="0"/>
          <c:tx>
            <c:strRef>
              <c:f>'BOD7'!$I$49</c:f>
              <c:strCache>
                <c:ptCount val="1"/>
                <c:pt idx="0">
                  <c:v>0D601 - Ochrana verejného poriadku a bezpečnosti</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Narrow" panose="020B0606020202030204" pitchFamily="34" charset="0"/>
                    <a:ea typeface="+mn-ea"/>
                    <a:cs typeface="+mn-cs"/>
                  </a:defRPr>
                </a:pPr>
                <a:endParaRPr lang="sk-SK"/>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'BOD7'!$H$50:$H$55</c:f>
              <c:numCache>
                <c:formatCode>@</c:formatCode>
                <c:ptCount val="6"/>
                <c:pt idx="0">
                  <c:v>2014</c:v>
                </c:pt>
                <c:pt idx="1">
                  <c:v>2015</c:v>
                </c:pt>
                <c:pt idx="2">
                  <c:v>2016</c:v>
                </c:pt>
                <c:pt idx="3">
                  <c:v>2017</c:v>
                </c:pt>
                <c:pt idx="4">
                  <c:v>2018</c:v>
                </c:pt>
                <c:pt idx="5">
                  <c:v>2019</c:v>
                </c:pt>
              </c:numCache>
            </c:numRef>
          </c:cat>
          <c:val>
            <c:numRef>
              <c:f>'BOD7'!$I$50:$I$55</c:f>
              <c:numCache>
                <c:formatCode>#,##0</c:formatCode>
                <c:ptCount val="6"/>
                <c:pt idx="0">
                  <c:v>23188</c:v>
                </c:pt>
                <c:pt idx="1">
                  <c:v>23197</c:v>
                </c:pt>
                <c:pt idx="2">
                  <c:v>23019</c:v>
                </c:pt>
                <c:pt idx="3">
                  <c:v>22813</c:v>
                </c:pt>
                <c:pt idx="4">
                  <c:v>22503</c:v>
                </c:pt>
                <c:pt idx="5">
                  <c:v>22637</c:v>
                </c:pt>
              </c:numCache>
            </c:numRef>
          </c:val>
          <c:extLst>
            <c:ext xmlns:c16="http://schemas.microsoft.com/office/drawing/2014/chart" uri="{C3380CC4-5D6E-409C-BE32-E72D297353CC}">
              <c16:uniqueId val="{00000000-36F4-422B-9901-D761CFF26194}"/>
            </c:ext>
          </c:extLst>
        </c:ser>
        <c:ser>
          <c:idx val="1"/>
          <c:order val="1"/>
          <c:tx>
            <c:strRef>
              <c:f>'BOD7'!$J$49</c:f>
              <c:strCache>
                <c:ptCount val="1"/>
                <c:pt idx="0">
                  <c:v>0D603 - Okresné úrady</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'BOD7'!$H$50:$H$55</c:f>
              <c:numCache>
                <c:formatCode>@</c:formatCode>
                <c:ptCount val="6"/>
                <c:pt idx="0">
                  <c:v>2014</c:v>
                </c:pt>
                <c:pt idx="1">
                  <c:v>2015</c:v>
                </c:pt>
                <c:pt idx="2">
                  <c:v>2016</c:v>
                </c:pt>
                <c:pt idx="3">
                  <c:v>2017</c:v>
                </c:pt>
                <c:pt idx="4">
                  <c:v>2018</c:v>
                </c:pt>
                <c:pt idx="5">
                  <c:v>2019</c:v>
                </c:pt>
              </c:numCache>
            </c:numRef>
          </c:cat>
          <c:val>
            <c:numRef>
              <c:f>'BOD7'!$J$50:$J$55</c:f>
              <c:numCache>
                <c:formatCode>#,##0</c:formatCode>
                <c:ptCount val="6"/>
                <c:pt idx="0">
                  <c:v>5762</c:v>
                </c:pt>
                <c:pt idx="1">
                  <c:v>5769</c:v>
                </c:pt>
                <c:pt idx="2">
                  <c:v>5745</c:v>
                </c:pt>
                <c:pt idx="3">
                  <c:v>5646</c:v>
                </c:pt>
                <c:pt idx="4">
                  <c:v>5688</c:v>
                </c:pt>
                <c:pt idx="5">
                  <c:v>5521</c:v>
                </c:pt>
              </c:numCache>
            </c:numRef>
          </c:val>
          <c:extLst>
            <c:ext xmlns:c16="http://schemas.microsoft.com/office/drawing/2014/chart" uri="{C3380CC4-5D6E-409C-BE32-E72D297353CC}">
              <c16:uniqueId val="{00000001-36F4-422B-9901-D761CFF26194}"/>
            </c:ext>
          </c:extLst>
        </c:ser>
        <c:ser>
          <c:idx val="2"/>
          <c:order val="2"/>
          <c:tx>
            <c:strRef>
              <c:f>'BOD7'!$K$49</c:f>
              <c:strCache>
                <c:ptCount val="1"/>
                <c:pt idx="0">
                  <c:v>0D607 - Centrálna podpora</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'BOD7'!$H$50:$H$55</c:f>
              <c:numCache>
                <c:formatCode>@</c:formatCode>
                <c:ptCount val="6"/>
                <c:pt idx="0">
                  <c:v>2014</c:v>
                </c:pt>
                <c:pt idx="1">
                  <c:v>2015</c:v>
                </c:pt>
                <c:pt idx="2">
                  <c:v>2016</c:v>
                </c:pt>
                <c:pt idx="3">
                  <c:v>2017</c:v>
                </c:pt>
                <c:pt idx="4">
                  <c:v>2018</c:v>
                </c:pt>
                <c:pt idx="5">
                  <c:v>2019</c:v>
                </c:pt>
              </c:numCache>
            </c:numRef>
          </c:cat>
          <c:val>
            <c:numRef>
              <c:f>'BOD7'!$K$50:$K$55</c:f>
              <c:numCache>
                <c:formatCode>#,##0</c:formatCode>
                <c:ptCount val="6"/>
                <c:pt idx="0">
                  <c:v>3936</c:v>
                </c:pt>
                <c:pt idx="1">
                  <c:v>3789</c:v>
                </c:pt>
                <c:pt idx="2">
                  <c:v>3796</c:v>
                </c:pt>
                <c:pt idx="3">
                  <c:v>3716</c:v>
                </c:pt>
                <c:pt idx="4">
                  <c:v>3980</c:v>
                </c:pt>
                <c:pt idx="5">
                  <c:v>4007</c:v>
                </c:pt>
              </c:numCache>
            </c:numRef>
          </c:val>
          <c:extLst>
            <c:ext xmlns:c16="http://schemas.microsoft.com/office/drawing/2014/chart" uri="{C3380CC4-5D6E-409C-BE32-E72D297353CC}">
              <c16:uniqueId val="{00000002-36F4-422B-9901-D761CFF26194}"/>
            </c:ext>
          </c:extLst>
        </c:ser>
        <c:dLbls>
          <c:showLegendKey val="0"/>
          <c:showVal val="1"/>
          <c:showCatName val="0"/>
          <c:showSerName val="0"/>
          <c:showPercent val="0"/>
          <c:showBubbleSize val="0"/>
        </c:dLbls>
        <c:gapWidth val="150"/>
        <c:overlap val="100"/>
        <c:axId val="278990816"/>
        <c:axId val="278992896"/>
      </c:barChart>
      <c:lineChart>
        <c:grouping val="stacked"/>
        <c:varyColors val="0"/>
        <c:ser>
          <c:idx val="3"/>
          <c:order val="3"/>
          <c:tx>
            <c:strRef>
              <c:f>'BOD7'!$L$49</c:f>
              <c:strCache>
                <c:ptCount val="1"/>
                <c:pt idx="0">
                  <c:v>Počet policajtov</c:v>
                </c:pt>
              </c:strCache>
            </c:strRef>
          </c:tx>
          <c:spPr>
            <a:ln w="28575" cap="rnd">
              <a:noFill/>
              <a:round/>
            </a:ln>
            <a:effectLst/>
          </c:spPr>
          <c:marker>
            <c:symbol val="circle"/>
            <c:size val="5"/>
            <c:spPr>
              <a:solidFill>
                <a:srgbClr val="FF000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'BOD7'!$H$50:$H$55</c:f>
              <c:numCache>
                <c:formatCode>@</c:formatCode>
                <c:ptCount val="6"/>
                <c:pt idx="0">
                  <c:v>2014</c:v>
                </c:pt>
                <c:pt idx="1">
                  <c:v>2015</c:v>
                </c:pt>
                <c:pt idx="2">
                  <c:v>2016</c:v>
                </c:pt>
                <c:pt idx="3">
                  <c:v>2017</c:v>
                </c:pt>
                <c:pt idx="4">
                  <c:v>2018</c:v>
                </c:pt>
                <c:pt idx="5">
                  <c:v>2019</c:v>
                </c:pt>
              </c:numCache>
            </c:numRef>
          </c:cat>
          <c:val>
            <c:numRef>
              <c:f>'BOD7'!$L$50:$L$55</c:f>
              <c:numCache>
                <c:formatCode>#,##0</c:formatCode>
                <c:ptCount val="6"/>
                <c:pt idx="0">
                  <c:v>22213.1</c:v>
                </c:pt>
                <c:pt idx="1">
                  <c:v>22186</c:v>
                </c:pt>
                <c:pt idx="2">
                  <c:v>21943.9</c:v>
                </c:pt>
                <c:pt idx="3">
                  <c:v>21716.799999999999</c:v>
                </c:pt>
                <c:pt idx="4">
                  <c:v>21699.5</c:v>
                </c:pt>
                <c:pt idx="5">
                  <c:v>21676</c:v>
                </c:pt>
              </c:numCache>
            </c:numRef>
          </c:val>
          <c:smooth val="0"/>
          <c:extLst>
            <c:ext xmlns:c16="http://schemas.microsoft.com/office/drawing/2014/chart" uri="{C3380CC4-5D6E-409C-BE32-E72D297353CC}">
              <c16:uniqueId val="{00000003-36F4-422B-9901-D761CFF26194}"/>
            </c:ext>
          </c:extLst>
        </c:ser>
        <c:dLbls>
          <c:showLegendKey val="0"/>
          <c:showVal val="1"/>
          <c:showCatName val="0"/>
          <c:showSerName val="0"/>
          <c:showPercent val="0"/>
          <c:showBubbleSize val="0"/>
        </c:dLbls>
        <c:marker val="1"/>
        <c:smooth val="0"/>
        <c:axId val="566767103"/>
        <c:axId val="566772927"/>
      </c:lineChart>
      <c:catAx>
        <c:axId val="278990816"/>
        <c:scaling>
          <c:orientation val="minMax"/>
        </c:scaling>
        <c:delete val="0"/>
        <c:axPos val="b"/>
        <c:numFmt formatCode="@"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k-SK"/>
          </a:p>
        </c:txPr>
        <c:crossAx val="278992896"/>
        <c:crosses val="autoZero"/>
        <c:auto val="1"/>
        <c:lblAlgn val="ctr"/>
        <c:lblOffset val="100"/>
        <c:noMultiLvlLbl val="0"/>
      </c:catAx>
      <c:valAx>
        <c:axId val="278992896"/>
        <c:scaling>
          <c:orientation val="minMax"/>
          <c:max val="3800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r>
                  <a:rPr lang="sk-SK"/>
                  <a:t>Počet zamestnancov</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k-SK"/>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k-SK"/>
          </a:p>
        </c:txPr>
        <c:crossAx val="278990816"/>
        <c:crosses val="autoZero"/>
        <c:crossBetween val="between"/>
      </c:valAx>
      <c:valAx>
        <c:axId val="566772927"/>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r>
                  <a:rPr lang="sk-SK"/>
                  <a:t>Počet policajtov</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k-SK"/>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k-SK"/>
          </a:p>
        </c:txPr>
        <c:crossAx val="566767103"/>
        <c:crosses val="max"/>
        <c:crossBetween val="between"/>
      </c:valAx>
      <c:catAx>
        <c:axId val="566767103"/>
        <c:scaling>
          <c:orientation val="minMax"/>
        </c:scaling>
        <c:delete val="1"/>
        <c:axPos val="t"/>
        <c:numFmt formatCode="@" sourceLinked="1"/>
        <c:majorTickMark val="out"/>
        <c:minorTickMark val="none"/>
        <c:tickLblPos val="nextTo"/>
        <c:crossAx val="566772927"/>
        <c:crosses val="max"/>
        <c:auto val="1"/>
        <c:lblAlgn val="ctr"/>
        <c:lblOffset val="100"/>
        <c:noMultiLvlLbl val="0"/>
      </c:catAx>
      <c:spPr>
        <a:noFill/>
        <a:ln>
          <a:noFill/>
        </a:ln>
        <a:effectLst/>
      </c:spPr>
    </c:plotArea>
    <c:legend>
      <c:legendPos val="t"/>
      <c:legendEntry>
        <c:idx val="3"/>
        <c:txPr>
          <a:bodyPr rot="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legendEntry>
      <c:layout>
        <c:manualLayout>
          <c:xMode val="edge"/>
          <c:yMode val="edge"/>
          <c:x val="5.1707776053431541E-2"/>
          <c:y val="6.5798023142021348E-3"/>
          <c:w val="0.8080461819335758"/>
          <c:h val="8.9892064760263929E-2"/>
        </c:manualLayout>
      </c:layout>
      <c:overlay val="1"/>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Narrow" panose="020B0606020202030204" pitchFamily="34" charset="0"/>
        </a:defRPr>
      </a:pPr>
      <a:endParaRPr lang="sk-SK"/>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3"/>
          <c:order val="3"/>
          <c:tx>
            <c:strRef>
              <c:f>mesiace!$E$1</c:f>
              <c:strCache>
                <c:ptCount val="1"/>
                <c:pt idx="0">
                  <c:v>platby ST v tis. eur</c:v>
                </c:pt>
              </c:strCache>
            </c:strRef>
          </c:tx>
          <c:spPr>
            <a:solidFill>
              <a:schemeClr val="accent1">
                <a:lumMod val="7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73A-4E92-9741-E5DA6C3FD6CF}"/>
                </c:ext>
              </c:extLst>
            </c:dLbl>
            <c:dLbl>
              <c:idx val="1"/>
              <c:delete val="1"/>
              <c:extLst>
                <c:ext xmlns:c15="http://schemas.microsoft.com/office/drawing/2012/chart" uri="{CE6537A1-D6FC-4f65-9D91-7224C49458BB}"/>
                <c:ext xmlns:c16="http://schemas.microsoft.com/office/drawing/2014/chart" uri="{C3380CC4-5D6E-409C-BE32-E72D297353CC}">
                  <c16:uniqueId val="{00000001-E73A-4E92-9741-E5DA6C3FD6CF}"/>
                </c:ext>
              </c:extLst>
            </c:dLbl>
            <c:dLbl>
              <c:idx val="2"/>
              <c:delete val="1"/>
              <c:extLst>
                <c:ext xmlns:c15="http://schemas.microsoft.com/office/drawing/2012/chart" uri="{CE6537A1-D6FC-4f65-9D91-7224C49458BB}"/>
                <c:ext xmlns:c16="http://schemas.microsoft.com/office/drawing/2014/chart" uri="{C3380CC4-5D6E-409C-BE32-E72D297353CC}">
                  <c16:uniqueId val="{00000002-E73A-4E92-9741-E5DA6C3FD6CF}"/>
                </c:ext>
              </c:extLst>
            </c:dLbl>
            <c:dLbl>
              <c:idx val="3"/>
              <c:delete val="1"/>
              <c:extLst>
                <c:ext xmlns:c15="http://schemas.microsoft.com/office/drawing/2012/chart" uri="{CE6537A1-D6FC-4f65-9D91-7224C49458BB}"/>
                <c:ext xmlns:c16="http://schemas.microsoft.com/office/drawing/2014/chart" uri="{C3380CC4-5D6E-409C-BE32-E72D297353CC}">
                  <c16:uniqueId val="{00000003-E73A-4E92-9741-E5DA6C3FD6CF}"/>
                </c:ext>
              </c:extLst>
            </c:dLbl>
            <c:dLbl>
              <c:idx val="4"/>
              <c:delete val="1"/>
              <c:extLst>
                <c:ext xmlns:c15="http://schemas.microsoft.com/office/drawing/2012/chart" uri="{CE6537A1-D6FC-4f65-9D91-7224C49458BB}"/>
                <c:ext xmlns:c16="http://schemas.microsoft.com/office/drawing/2014/chart" uri="{C3380CC4-5D6E-409C-BE32-E72D297353CC}">
                  <c16:uniqueId val="{00000004-E73A-4E92-9741-E5DA6C3FD6CF}"/>
                </c:ext>
              </c:extLst>
            </c:dLbl>
            <c:dLbl>
              <c:idx val="5"/>
              <c:delete val="1"/>
              <c:extLst>
                <c:ext xmlns:c15="http://schemas.microsoft.com/office/drawing/2012/chart" uri="{CE6537A1-D6FC-4f65-9D91-7224C49458BB}"/>
                <c:ext xmlns:c16="http://schemas.microsoft.com/office/drawing/2014/chart" uri="{C3380CC4-5D6E-409C-BE32-E72D297353CC}">
                  <c16:uniqueId val="{00000005-E73A-4E92-9741-E5DA6C3FD6CF}"/>
                </c:ext>
              </c:extLst>
            </c:dLbl>
            <c:dLbl>
              <c:idx val="6"/>
              <c:delete val="1"/>
              <c:extLst>
                <c:ext xmlns:c15="http://schemas.microsoft.com/office/drawing/2012/chart" uri="{CE6537A1-D6FC-4f65-9D91-7224C49458BB}"/>
                <c:ext xmlns:c16="http://schemas.microsoft.com/office/drawing/2014/chart" uri="{C3380CC4-5D6E-409C-BE32-E72D297353CC}">
                  <c16:uniqueId val="{00000006-E73A-4E92-9741-E5DA6C3FD6CF}"/>
                </c:ext>
              </c:extLst>
            </c:dLbl>
            <c:dLbl>
              <c:idx val="7"/>
              <c:delete val="1"/>
              <c:extLst>
                <c:ext xmlns:c15="http://schemas.microsoft.com/office/drawing/2012/chart" uri="{CE6537A1-D6FC-4f65-9D91-7224C49458BB}"/>
                <c:ext xmlns:c16="http://schemas.microsoft.com/office/drawing/2014/chart" uri="{C3380CC4-5D6E-409C-BE32-E72D297353CC}">
                  <c16:uniqueId val="{00000007-E73A-4E92-9741-E5DA6C3FD6CF}"/>
                </c:ext>
              </c:extLst>
            </c:dLbl>
            <c:dLbl>
              <c:idx val="8"/>
              <c:delete val="1"/>
              <c:extLst>
                <c:ext xmlns:c15="http://schemas.microsoft.com/office/drawing/2012/chart" uri="{CE6537A1-D6FC-4f65-9D91-7224C49458BB}"/>
                <c:ext xmlns:c16="http://schemas.microsoft.com/office/drawing/2014/chart" uri="{C3380CC4-5D6E-409C-BE32-E72D297353CC}">
                  <c16:uniqueId val="{00000008-E73A-4E92-9741-E5DA6C3FD6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mesiace!$A$2:$A$16</c:f>
              <c:strCache>
                <c:ptCount val="15"/>
                <c:pt idx="0">
                  <c:v>január 2019</c:v>
                </c:pt>
                <c:pt idx="1">
                  <c:v>február 2019</c:v>
                </c:pt>
                <c:pt idx="2">
                  <c:v>marec 2019</c:v>
                </c:pt>
                <c:pt idx="3">
                  <c:v>apríl 2019</c:v>
                </c:pt>
                <c:pt idx="4">
                  <c:v>máj 2019</c:v>
                </c:pt>
                <c:pt idx="5">
                  <c:v>jún 2019</c:v>
                </c:pt>
                <c:pt idx="6">
                  <c:v>júl 2019</c:v>
                </c:pt>
                <c:pt idx="7">
                  <c:v>august 2019</c:v>
                </c:pt>
                <c:pt idx="8">
                  <c:v>september 2019</c:v>
                </c:pt>
                <c:pt idx="9">
                  <c:v>október 2019</c:v>
                </c:pt>
                <c:pt idx="10">
                  <c:v>november 2019</c:v>
                </c:pt>
                <c:pt idx="11">
                  <c:v>december 2019</c:v>
                </c:pt>
                <c:pt idx="12">
                  <c:v>január 2020</c:v>
                </c:pt>
                <c:pt idx="13">
                  <c:v>február 2020</c:v>
                </c:pt>
                <c:pt idx="14">
                  <c:v>marec 2020</c:v>
                </c:pt>
              </c:strCache>
            </c:strRef>
          </c:cat>
          <c:val>
            <c:numRef>
              <c:f>mesiace!$E$2:$E$16</c:f>
              <c:numCache>
                <c:formatCode>#,##0</c:formatCode>
                <c:ptCount val="15"/>
                <c:pt idx="0">
                  <c:v>429.81074999999998</c:v>
                </c:pt>
                <c:pt idx="1">
                  <c:v>429.76091000000002</c:v>
                </c:pt>
                <c:pt idx="2">
                  <c:v>422.05090000000001</c:v>
                </c:pt>
                <c:pt idx="3">
                  <c:v>420.72322000000003</c:v>
                </c:pt>
                <c:pt idx="4">
                  <c:v>420.65287999999998</c:v>
                </c:pt>
                <c:pt idx="5">
                  <c:v>376.77986999999996</c:v>
                </c:pt>
                <c:pt idx="6">
                  <c:v>409.23296999999991</c:v>
                </c:pt>
                <c:pt idx="7">
                  <c:v>409.49943000000007</c:v>
                </c:pt>
                <c:pt idx="8">
                  <c:v>402.45538000000005</c:v>
                </c:pt>
                <c:pt idx="9">
                  <c:v>409.33430000000004</c:v>
                </c:pt>
                <c:pt idx="10">
                  <c:v>409.31925000000001</c:v>
                </c:pt>
                <c:pt idx="11">
                  <c:v>409.33430000000004</c:v>
                </c:pt>
                <c:pt idx="12">
                  <c:v>409.64186000000001</c:v>
                </c:pt>
                <c:pt idx="13">
                  <c:v>390.07925</c:v>
                </c:pt>
                <c:pt idx="14">
                  <c:v>390.07403000000005</c:v>
                </c:pt>
              </c:numCache>
            </c:numRef>
          </c:val>
          <c:extLst>
            <c:ext xmlns:c16="http://schemas.microsoft.com/office/drawing/2014/chart" uri="{C3380CC4-5D6E-409C-BE32-E72D297353CC}">
              <c16:uniqueId val="{00000009-E73A-4E92-9741-E5DA6C3FD6CF}"/>
            </c:ext>
          </c:extLst>
        </c:ser>
        <c:ser>
          <c:idx val="4"/>
          <c:order val="4"/>
          <c:tx>
            <c:strRef>
              <c:f>mesiace!$F$1</c:f>
              <c:strCache>
                <c:ptCount val="1"/>
                <c:pt idx="0">
                  <c:v>fixné platby SWAN v tis. eur</c:v>
                </c:pt>
              </c:strCache>
            </c:strRef>
          </c:tx>
          <c:spPr>
            <a:solidFill>
              <a:srgbClr val="00B050"/>
            </a:solidFill>
            <a:ln>
              <a:noFill/>
            </a:ln>
            <a:effectLst/>
          </c:spPr>
          <c:invertIfNegative val="0"/>
          <c:dLbls>
            <c:dLbl>
              <c:idx val="9"/>
              <c:layout>
                <c:manualLayout>
                  <c:x val="-5.3145734936189917E-2"/>
                  <c:y val="-0.105362676754893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73A-4E92-9741-E5DA6C3FD6CF}"/>
                </c:ext>
              </c:extLst>
            </c:dLbl>
            <c:spPr>
              <a:noFill/>
              <a:ln>
                <a:solidFill>
                  <a:srgbClr val="00B05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mesiace!$A$2:$A$16</c:f>
              <c:strCache>
                <c:ptCount val="15"/>
                <c:pt idx="0">
                  <c:v>január 2019</c:v>
                </c:pt>
                <c:pt idx="1">
                  <c:v>február 2019</c:v>
                </c:pt>
                <c:pt idx="2">
                  <c:v>marec 2019</c:v>
                </c:pt>
                <c:pt idx="3">
                  <c:v>apríl 2019</c:v>
                </c:pt>
                <c:pt idx="4">
                  <c:v>máj 2019</c:v>
                </c:pt>
                <c:pt idx="5">
                  <c:v>jún 2019</c:v>
                </c:pt>
                <c:pt idx="6">
                  <c:v>júl 2019</c:v>
                </c:pt>
                <c:pt idx="7">
                  <c:v>august 2019</c:v>
                </c:pt>
                <c:pt idx="8">
                  <c:v>september 2019</c:v>
                </c:pt>
                <c:pt idx="9">
                  <c:v>október 2019</c:v>
                </c:pt>
                <c:pt idx="10">
                  <c:v>november 2019</c:v>
                </c:pt>
                <c:pt idx="11">
                  <c:v>december 2019</c:v>
                </c:pt>
                <c:pt idx="12">
                  <c:v>január 2020</c:v>
                </c:pt>
                <c:pt idx="13">
                  <c:v>február 2020</c:v>
                </c:pt>
                <c:pt idx="14">
                  <c:v>marec 2020</c:v>
                </c:pt>
              </c:strCache>
            </c:strRef>
          </c:cat>
          <c:val>
            <c:numRef>
              <c:f>mesiace!$F$2:$F$16</c:f>
              <c:numCache>
                <c:formatCode>#,##0</c:formatCode>
                <c:ptCount val="15"/>
                <c:pt idx="0">
                  <c:v>0</c:v>
                </c:pt>
                <c:pt idx="1">
                  <c:v>0</c:v>
                </c:pt>
                <c:pt idx="2">
                  <c:v>0</c:v>
                </c:pt>
                <c:pt idx="3">
                  <c:v>0</c:v>
                </c:pt>
                <c:pt idx="4">
                  <c:v>0</c:v>
                </c:pt>
                <c:pt idx="5">
                  <c:v>0</c:v>
                </c:pt>
                <c:pt idx="6">
                  <c:v>0</c:v>
                </c:pt>
                <c:pt idx="7">
                  <c:v>0</c:v>
                </c:pt>
                <c:pt idx="8">
                  <c:v>0</c:v>
                </c:pt>
                <c:pt idx="9">
                  <c:v>149.99148000000002</c:v>
                </c:pt>
                <c:pt idx="10">
                  <c:v>149.99148000000002</c:v>
                </c:pt>
                <c:pt idx="11">
                  <c:v>149.99148000000002</c:v>
                </c:pt>
                <c:pt idx="12">
                  <c:v>149.99148000000002</c:v>
                </c:pt>
                <c:pt idx="13">
                  <c:v>149.99148000000002</c:v>
                </c:pt>
                <c:pt idx="14">
                  <c:v>149.99148000000002</c:v>
                </c:pt>
              </c:numCache>
            </c:numRef>
          </c:val>
          <c:extLst>
            <c:ext xmlns:c16="http://schemas.microsoft.com/office/drawing/2014/chart" uri="{C3380CC4-5D6E-409C-BE32-E72D297353CC}">
              <c16:uniqueId val="{0000000B-E73A-4E92-9741-E5DA6C3FD6CF}"/>
            </c:ext>
          </c:extLst>
        </c:ser>
        <c:ser>
          <c:idx val="5"/>
          <c:order val="5"/>
          <c:tx>
            <c:strRef>
              <c:f>mesiace!$G$1</c:f>
              <c:strCache>
                <c:ptCount val="1"/>
                <c:pt idx="0">
                  <c:v>variabilné platby SWAN v tis. eur</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E73A-4E92-9741-E5DA6C3FD6CF}"/>
                </c:ext>
              </c:extLst>
            </c:dLbl>
            <c:dLbl>
              <c:idx val="1"/>
              <c:delete val="1"/>
              <c:extLst>
                <c:ext xmlns:c15="http://schemas.microsoft.com/office/drawing/2012/chart" uri="{CE6537A1-D6FC-4f65-9D91-7224C49458BB}"/>
                <c:ext xmlns:c16="http://schemas.microsoft.com/office/drawing/2014/chart" uri="{C3380CC4-5D6E-409C-BE32-E72D297353CC}">
                  <c16:uniqueId val="{0000000D-E73A-4E92-9741-E5DA6C3FD6CF}"/>
                </c:ext>
              </c:extLst>
            </c:dLbl>
            <c:dLbl>
              <c:idx val="2"/>
              <c:delete val="1"/>
              <c:extLst>
                <c:ext xmlns:c15="http://schemas.microsoft.com/office/drawing/2012/chart" uri="{CE6537A1-D6FC-4f65-9D91-7224C49458BB}"/>
                <c:ext xmlns:c16="http://schemas.microsoft.com/office/drawing/2014/chart" uri="{C3380CC4-5D6E-409C-BE32-E72D297353CC}">
                  <c16:uniqueId val="{0000000E-E73A-4E92-9741-E5DA6C3FD6CF}"/>
                </c:ext>
              </c:extLst>
            </c:dLbl>
            <c:dLbl>
              <c:idx val="3"/>
              <c:delete val="1"/>
              <c:extLst>
                <c:ext xmlns:c15="http://schemas.microsoft.com/office/drawing/2012/chart" uri="{CE6537A1-D6FC-4f65-9D91-7224C49458BB}"/>
                <c:ext xmlns:c16="http://schemas.microsoft.com/office/drawing/2014/chart" uri="{C3380CC4-5D6E-409C-BE32-E72D297353CC}">
                  <c16:uniqueId val="{0000000F-E73A-4E92-9741-E5DA6C3FD6CF}"/>
                </c:ext>
              </c:extLst>
            </c:dLbl>
            <c:dLbl>
              <c:idx val="4"/>
              <c:delete val="1"/>
              <c:extLst>
                <c:ext xmlns:c15="http://schemas.microsoft.com/office/drawing/2012/chart" uri="{CE6537A1-D6FC-4f65-9D91-7224C49458BB}"/>
                <c:ext xmlns:c16="http://schemas.microsoft.com/office/drawing/2014/chart" uri="{C3380CC4-5D6E-409C-BE32-E72D297353CC}">
                  <c16:uniqueId val="{00000010-E73A-4E92-9741-E5DA6C3FD6CF}"/>
                </c:ext>
              </c:extLst>
            </c:dLbl>
            <c:dLbl>
              <c:idx val="5"/>
              <c:delete val="1"/>
              <c:extLst>
                <c:ext xmlns:c15="http://schemas.microsoft.com/office/drawing/2012/chart" uri="{CE6537A1-D6FC-4f65-9D91-7224C49458BB}"/>
                <c:ext xmlns:c16="http://schemas.microsoft.com/office/drawing/2014/chart" uri="{C3380CC4-5D6E-409C-BE32-E72D297353CC}">
                  <c16:uniqueId val="{00000011-E73A-4E92-9741-E5DA6C3FD6CF}"/>
                </c:ext>
              </c:extLst>
            </c:dLbl>
            <c:dLbl>
              <c:idx val="6"/>
              <c:delete val="1"/>
              <c:extLst>
                <c:ext xmlns:c15="http://schemas.microsoft.com/office/drawing/2012/chart" uri="{CE6537A1-D6FC-4f65-9D91-7224C49458BB}"/>
                <c:ext xmlns:c16="http://schemas.microsoft.com/office/drawing/2014/chart" uri="{C3380CC4-5D6E-409C-BE32-E72D297353CC}">
                  <c16:uniqueId val="{00000012-E73A-4E92-9741-E5DA6C3FD6CF}"/>
                </c:ext>
              </c:extLst>
            </c:dLbl>
            <c:dLbl>
              <c:idx val="7"/>
              <c:delete val="1"/>
              <c:extLst>
                <c:ext xmlns:c15="http://schemas.microsoft.com/office/drawing/2012/chart" uri="{CE6537A1-D6FC-4f65-9D91-7224C49458BB}"/>
                <c:ext xmlns:c16="http://schemas.microsoft.com/office/drawing/2014/chart" uri="{C3380CC4-5D6E-409C-BE32-E72D297353CC}">
                  <c16:uniqueId val="{00000013-E73A-4E92-9741-E5DA6C3FD6CF}"/>
                </c:ext>
              </c:extLst>
            </c:dLbl>
            <c:dLbl>
              <c:idx val="8"/>
              <c:delete val="1"/>
              <c:extLst>
                <c:ext xmlns:c15="http://schemas.microsoft.com/office/drawing/2012/chart" uri="{CE6537A1-D6FC-4f65-9D91-7224C49458BB}"/>
                <c:ext xmlns:c16="http://schemas.microsoft.com/office/drawing/2014/chart" uri="{C3380CC4-5D6E-409C-BE32-E72D297353CC}">
                  <c16:uniqueId val="{00000014-E73A-4E92-9741-E5DA6C3FD6CF}"/>
                </c:ext>
              </c:extLst>
            </c:dLbl>
            <c:spPr>
              <a:solidFill>
                <a:schemeClr val="accent3">
                  <a:lumMod val="40000"/>
                  <a:lumOff val="60000"/>
                  <a:alpha val="77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mesiace!$A$2:$A$16</c:f>
              <c:strCache>
                <c:ptCount val="15"/>
                <c:pt idx="0">
                  <c:v>január 2019</c:v>
                </c:pt>
                <c:pt idx="1">
                  <c:v>február 2019</c:v>
                </c:pt>
                <c:pt idx="2">
                  <c:v>marec 2019</c:v>
                </c:pt>
                <c:pt idx="3">
                  <c:v>apríl 2019</c:v>
                </c:pt>
                <c:pt idx="4">
                  <c:v>máj 2019</c:v>
                </c:pt>
                <c:pt idx="5">
                  <c:v>jún 2019</c:v>
                </c:pt>
                <c:pt idx="6">
                  <c:v>júl 2019</c:v>
                </c:pt>
                <c:pt idx="7">
                  <c:v>august 2019</c:v>
                </c:pt>
                <c:pt idx="8">
                  <c:v>september 2019</c:v>
                </c:pt>
                <c:pt idx="9">
                  <c:v>október 2019</c:v>
                </c:pt>
                <c:pt idx="10">
                  <c:v>november 2019</c:v>
                </c:pt>
                <c:pt idx="11">
                  <c:v>december 2019</c:v>
                </c:pt>
                <c:pt idx="12">
                  <c:v>január 2020</c:v>
                </c:pt>
                <c:pt idx="13">
                  <c:v>február 2020</c:v>
                </c:pt>
                <c:pt idx="14">
                  <c:v>marec 2020</c:v>
                </c:pt>
              </c:strCache>
            </c:strRef>
          </c:cat>
          <c:val>
            <c:numRef>
              <c:f>mesiace!$G$2:$G$16</c:f>
              <c:numCache>
                <c:formatCode>#,##0</c:formatCode>
                <c:ptCount val="15"/>
                <c:pt idx="0">
                  <c:v>0</c:v>
                </c:pt>
                <c:pt idx="1">
                  <c:v>0</c:v>
                </c:pt>
                <c:pt idx="2">
                  <c:v>0</c:v>
                </c:pt>
                <c:pt idx="3">
                  <c:v>0</c:v>
                </c:pt>
                <c:pt idx="4">
                  <c:v>0</c:v>
                </c:pt>
                <c:pt idx="5">
                  <c:v>0</c:v>
                </c:pt>
                <c:pt idx="6">
                  <c:v>0</c:v>
                </c:pt>
                <c:pt idx="7">
                  <c:v>0</c:v>
                </c:pt>
                <c:pt idx="8">
                  <c:v>0</c:v>
                </c:pt>
                <c:pt idx="9">
                  <c:v>231.21456000000001</c:v>
                </c:pt>
                <c:pt idx="10">
                  <c:v>8.6310599999999997</c:v>
                </c:pt>
                <c:pt idx="11">
                  <c:v>3536.8433200000004</c:v>
                </c:pt>
                <c:pt idx="12">
                  <c:v>941.44391000000007</c:v>
                </c:pt>
                <c:pt idx="13">
                  <c:v>655.04617000000007</c:v>
                </c:pt>
                <c:pt idx="14">
                  <c:v>663.73302000000001</c:v>
                </c:pt>
              </c:numCache>
            </c:numRef>
          </c:val>
          <c:extLst>
            <c:ext xmlns:c16="http://schemas.microsoft.com/office/drawing/2014/chart" uri="{C3380CC4-5D6E-409C-BE32-E72D297353CC}">
              <c16:uniqueId val="{00000015-E73A-4E92-9741-E5DA6C3FD6CF}"/>
            </c:ext>
          </c:extLst>
        </c:ser>
        <c:dLbls>
          <c:showLegendKey val="0"/>
          <c:showVal val="0"/>
          <c:showCatName val="0"/>
          <c:showSerName val="0"/>
          <c:showPercent val="0"/>
          <c:showBubbleSize val="0"/>
        </c:dLbls>
        <c:gapWidth val="83"/>
        <c:overlap val="100"/>
        <c:axId val="470426959"/>
        <c:axId val="470427791"/>
      </c:barChart>
      <c:lineChart>
        <c:grouping val="standard"/>
        <c:varyColors val="0"/>
        <c:ser>
          <c:idx val="7"/>
          <c:order val="6"/>
          <c:tx>
            <c:strRef>
              <c:f>mesiace!$I$1</c:f>
              <c:strCache>
                <c:ptCount val="1"/>
                <c:pt idx="0">
                  <c:v>platby celkom  v tis. eur</c:v>
                </c:pt>
              </c:strCache>
            </c:strRef>
          </c:tx>
          <c:spPr>
            <a:ln w="28575" cap="rnd">
              <a:noFill/>
              <a:round/>
            </a:ln>
            <a:effectLst/>
          </c:spPr>
          <c:marker>
            <c:symbol val="triangle"/>
            <c:size val="8"/>
            <c:spPr>
              <a:solidFill>
                <a:schemeClr val="tx1"/>
              </a:solidFill>
              <a:ln w="9525">
                <a:noFill/>
              </a:ln>
              <a:effectLst/>
            </c:spPr>
          </c:marker>
          <c:dLbls>
            <c:dLbl>
              <c:idx val="11"/>
              <c:layout>
                <c:manualLayout>
                  <c:x val="-4.9448246609190956E-2"/>
                  <c:y val="4.94266706837446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73A-4E92-9741-E5DA6C3FD6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mesiace!$A$2:$A$16</c:f>
              <c:strCache>
                <c:ptCount val="15"/>
                <c:pt idx="0">
                  <c:v>január 2019</c:v>
                </c:pt>
                <c:pt idx="1">
                  <c:v>február 2019</c:v>
                </c:pt>
                <c:pt idx="2">
                  <c:v>marec 2019</c:v>
                </c:pt>
                <c:pt idx="3">
                  <c:v>apríl 2019</c:v>
                </c:pt>
                <c:pt idx="4">
                  <c:v>máj 2019</c:v>
                </c:pt>
                <c:pt idx="5">
                  <c:v>jún 2019</c:v>
                </c:pt>
                <c:pt idx="6">
                  <c:v>júl 2019</c:v>
                </c:pt>
                <c:pt idx="7">
                  <c:v>august 2019</c:v>
                </c:pt>
                <c:pt idx="8">
                  <c:v>september 2019</c:v>
                </c:pt>
                <c:pt idx="9">
                  <c:v>október 2019</c:v>
                </c:pt>
                <c:pt idx="10">
                  <c:v>november 2019</c:v>
                </c:pt>
                <c:pt idx="11">
                  <c:v>december 2019</c:v>
                </c:pt>
                <c:pt idx="12">
                  <c:v>január 2020</c:v>
                </c:pt>
                <c:pt idx="13">
                  <c:v>február 2020</c:v>
                </c:pt>
                <c:pt idx="14">
                  <c:v>marec 2020</c:v>
                </c:pt>
              </c:strCache>
            </c:strRef>
          </c:cat>
          <c:val>
            <c:numRef>
              <c:f>mesiace!$I$2:$I$16</c:f>
              <c:numCache>
                <c:formatCode>#,##0</c:formatCode>
                <c:ptCount val="15"/>
                <c:pt idx="0">
                  <c:v>429.81074999999998</c:v>
                </c:pt>
                <c:pt idx="1">
                  <c:v>429.76091000000002</c:v>
                </c:pt>
                <c:pt idx="2">
                  <c:v>422.05090000000001</c:v>
                </c:pt>
                <c:pt idx="3">
                  <c:v>420.72322000000003</c:v>
                </c:pt>
                <c:pt idx="4">
                  <c:v>420.65287999999998</c:v>
                </c:pt>
                <c:pt idx="5">
                  <c:v>376.77986999999996</c:v>
                </c:pt>
                <c:pt idx="6">
                  <c:v>409.23296999999991</c:v>
                </c:pt>
                <c:pt idx="7">
                  <c:v>409.49943000000007</c:v>
                </c:pt>
                <c:pt idx="8">
                  <c:v>402.45538000000005</c:v>
                </c:pt>
                <c:pt idx="9">
                  <c:v>790.54034000000013</c:v>
                </c:pt>
                <c:pt idx="10">
                  <c:v>567.94179000000008</c:v>
                </c:pt>
                <c:pt idx="11">
                  <c:v>4096.1691000000001</c:v>
                </c:pt>
                <c:pt idx="12">
                  <c:v>1501.07725</c:v>
                </c:pt>
                <c:pt idx="13">
                  <c:v>1195.1169000000002</c:v>
                </c:pt>
                <c:pt idx="14">
                  <c:v>1203.79853</c:v>
                </c:pt>
              </c:numCache>
            </c:numRef>
          </c:val>
          <c:smooth val="0"/>
          <c:extLst>
            <c:ext xmlns:c16="http://schemas.microsoft.com/office/drawing/2014/chart" uri="{C3380CC4-5D6E-409C-BE32-E72D297353CC}">
              <c16:uniqueId val="{00000017-E73A-4E92-9741-E5DA6C3FD6CF}"/>
            </c:ext>
          </c:extLst>
        </c:ser>
        <c:dLbls>
          <c:showLegendKey val="0"/>
          <c:showVal val="0"/>
          <c:showCatName val="0"/>
          <c:showSerName val="0"/>
          <c:showPercent val="0"/>
          <c:showBubbleSize val="0"/>
        </c:dLbls>
        <c:marker val="1"/>
        <c:smooth val="0"/>
        <c:axId val="470426959"/>
        <c:axId val="470427791"/>
      </c:lineChart>
      <c:lineChart>
        <c:grouping val="stacked"/>
        <c:varyColors val="0"/>
        <c:ser>
          <c:idx val="0"/>
          <c:order val="0"/>
          <c:tx>
            <c:strRef>
              <c:f>mesiace!$B$1</c:f>
              <c:strCache>
                <c:ptCount val="1"/>
                <c:pt idx="0">
                  <c:v>počet škôl ST (pravá os)</c:v>
                </c:pt>
              </c:strCache>
            </c:strRef>
          </c:tx>
          <c:spPr>
            <a:ln w="28575" cap="rnd">
              <a:noFill/>
              <a:round/>
            </a:ln>
            <a:effectLst/>
          </c:spPr>
          <c:marker>
            <c:symbol val="triangle"/>
            <c:size val="8"/>
            <c:spPr>
              <a:solidFill>
                <a:schemeClr val="accent1">
                  <a:lumMod val="75000"/>
                </a:schemeClr>
              </a:solidFill>
              <a:ln w="9525">
                <a:noFill/>
              </a:ln>
              <a:effectLst/>
            </c:spPr>
          </c:marker>
          <c:dLbls>
            <c:spPr>
              <a:solidFill>
                <a:schemeClr val="accent1">
                  <a:lumMod val="40000"/>
                  <a:lumOff val="6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mesiace!$A$2:$A$16</c:f>
              <c:strCache>
                <c:ptCount val="15"/>
                <c:pt idx="0">
                  <c:v>január 2019</c:v>
                </c:pt>
                <c:pt idx="1">
                  <c:v>február 2019</c:v>
                </c:pt>
                <c:pt idx="2">
                  <c:v>marec 2019</c:v>
                </c:pt>
                <c:pt idx="3">
                  <c:v>apríl 2019</c:v>
                </c:pt>
                <c:pt idx="4">
                  <c:v>máj 2019</c:v>
                </c:pt>
                <c:pt idx="5">
                  <c:v>jún 2019</c:v>
                </c:pt>
                <c:pt idx="6">
                  <c:v>júl 2019</c:v>
                </c:pt>
                <c:pt idx="7">
                  <c:v>august 2019</c:v>
                </c:pt>
                <c:pt idx="8">
                  <c:v>september 2019</c:v>
                </c:pt>
                <c:pt idx="9">
                  <c:v>október 2019</c:v>
                </c:pt>
                <c:pt idx="10">
                  <c:v>november 2019</c:v>
                </c:pt>
                <c:pt idx="11">
                  <c:v>december 2019</c:v>
                </c:pt>
                <c:pt idx="12">
                  <c:v>január 2020</c:v>
                </c:pt>
                <c:pt idx="13">
                  <c:v>február 2020</c:v>
                </c:pt>
                <c:pt idx="14">
                  <c:v>marec 2020</c:v>
                </c:pt>
              </c:strCache>
            </c:strRef>
          </c:cat>
          <c:val>
            <c:numRef>
              <c:f>mesiace!$B$2:$B$16</c:f>
              <c:numCache>
                <c:formatCode>#\ ##0_ ;\-#\ ##0\ </c:formatCode>
                <c:ptCount val="15"/>
                <c:pt idx="0">
                  <c:v>2812</c:v>
                </c:pt>
                <c:pt idx="1">
                  <c:v>2812</c:v>
                </c:pt>
                <c:pt idx="2">
                  <c:v>2812</c:v>
                </c:pt>
                <c:pt idx="3">
                  <c:v>2812</c:v>
                </c:pt>
                <c:pt idx="4">
                  <c:v>2812</c:v>
                </c:pt>
                <c:pt idx="5">
                  <c:v>2806</c:v>
                </c:pt>
                <c:pt idx="6">
                  <c:v>2805</c:v>
                </c:pt>
                <c:pt idx="7">
                  <c:v>2803</c:v>
                </c:pt>
                <c:pt idx="8">
                  <c:v>2748</c:v>
                </c:pt>
                <c:pt idx="9">
                  <c:v>2748</c:v>
                </c:pt>
                <c:pt idx="10">
                  <c:v>2743</c:v>
                </c:pt>
                <c:pt idx="11">
                  <c:v>2743</c:v>
                </c:pt>
                <c:pt idx="12">
                  <c:v>2579</c:v>
                </c:pt>
                <c:pt idx="13">
                  <c:v>2474</c:v>
                </c:pt>
                <c:pt idx="14">
                  <c:v>2474</c:v>
                </c:pt>
              </c:numCache>
            </c:numRef>
          </c:val>
          <c:smooth val="0"/>
          <c:extLst>
            <c:ext xmlns:c16="http://schemas.microsoft.com/office/drawing/2014/chart" uri="{C3380CC4-5D6E-409C-BE32-E72D297353CC}">
              <c16:uniqueId val="{00000018-E73A-4E92-9741-E5DA6C3FD6CF}"/>
            </c:ext>
          </c:extLst>
        </c:ser>
        <c:ser>
          <c:idx val="1"/>
          <c:order val="1"/>
          <c:tx>
            <c:strRef>
              <c:f>mesiace!$C$1</c:f>
              <c:strCache>
                <c:ptCount val="1"/>
                <c:pt idx="0">
                  <c:v>počet škôl SWAN (pravá os)</c:v>
                </c:pt>
              </c:strCache>
            </c:strRef>
          </c:tx>
          <c:spPr>
            <a:ln w="28575" cap="rnd">
              <a:noFill/>
              <a:prstDash val="sysDot"/>
              <a:round/>
            </a:ln>
            <a:effectLst/>
          </c:spPr>
          <c:marker>
            <c:symbol val="diamond"/>
            <c:size val="5"/>
            <c:spPr>
              <a:solidFill>
                <a:srgbClr val="92D050"/>
              </a:solidFill>
              <a:ln w="9525">
                <a:noFill/>
              </a:ln>
              <a:effectLst/>
            </c:spPr>
          </c:marker>
          <c:dPt>
            <c:idx val="0"/>
            <c:marker>
              <c:symbol val="diamond"/>
              <c:size val="5"/>
              <c:spPr>
                <a:noFill/>
                <a:ln w="9525">
                  <a:noFill/>
                </a:ln>
                <a:effectLst/>
              </c:spPr>
            </c:marker>
            <c:bubble3D val="0"/>
            <c:extLst>
              <c:ext xmlns:c16="http://schemas.microsoft.com/office/drawing/2014/chart" uri="{C3380CC4-5D6E-409C-BE32-E72D297353CC}">
                <c16:uniqueId val="{00000019-E73A-4E92-9741-E5DA6C3FD6CF}"/>
              </c:ext>
            </c:extLst>
          </c:dPt>
          <c:dPt>
            <c:idx val="1"/>
            <c:marker>
              <c:symbol val="diamond"/>
              <c:size val="5"/>
              <c:spPr>
                <a:noFill/>
                <a:ln w="9525">
                  <a:noFill/>
                </a:ln>
                <a:effectLst/>
              </c:spPr>
            </c:marker>
            <c:bubble3D val="0"/>
            <c:extLst>
              <c:ext xmlns:c16="http://schemas.microsoft.com/office/drawing/2014/chart" uri="{C3380CC4-5D6E-409C-BE32-E72D297353CC}">
                <c16:uniqueId val="{0000001A-E73A-4E92-9741-E5DA6C3FD6CF}"/>
              </c:ext>
            </c:extLst>
          </c:dPt>
          <c:dPt>
            <c:idx val="2"/>
            <c:marker>
              <c:symbol val="diamond"/>
              <c:size val="5"/>
              <c:spPr>
                <a:noFill/>
                <a:ln w="9525">
                  <a:noFill/>
                </a:ln>
                <a:effectLst/>
              </c:spPr>
            </c:marker>
            <c:bubble3D val="0"/>
            <c:extLst>
              <c:ext xmlns:c16="http://schemas.microsoft.com/office/drawing/2014/chart" uri="{C3380CC4-5D6E-409C-BE32-E72D297353CC}">
                <c16:uniqueId val="{0000001B-E73A-4E92-9741-E5DA6C3FD6CF}"/>
              </c:ext>
            </c:extLst>
          </c:dPt>
          <c:dPt>
            <c:idx val="3"/>
            <c:marker>
              <c:symbol val="diamond"/>
              <c:size val="5"/>
              <c:spPr>
                <a:noFill/>
                <a:ln w="9525">
                  <a:noFill/>
                </a:ln>
                <a:effectLst/>
              </c:spPr>
            </c:marker>
            <c:bubble3D val="0"/>
            <c:extLst>
              <c:ext xmlns:c16="http://schemas.microsoft.com/office/drawing/2014/chart" uri="{C3380CC4-5D6E-409C-BE32-E72D297353CC}">
                <c16:uniqueId val="{0000001C-E73A-4E92-9741-E5DA6C3FD6CF}"/>
              </c:ext>
            </c:extLst>
          </c:dPt>
          <c:dPt>
            <c:idx val="4"/>
            <c:marker>
              <c:symbol val="diamond"/>
              <c:size val="5"/>
              <c:spPr>
                <a:noFill/>
                <a:ln w="9525">
                  <a:noFill/>
                </a:ln>
                <a:effectLst/>
              </c:spPr>
            </c:marker>
            <c:bubble3D val="0"/>
            <c:extLst>
              <c:ext xmlns:c16="http://schemas.microsoft.com/office/drawing/2014/chart" uri="{C3380CC4-5D6E-409C-BE32-E72D297353CC}">
                <c16:uniqueId val="{0000001D-E73A-4E92-9741-E5DA6C3FD6CF}"/>
              </c:ext>
            </c:extLst>
          </c:dPt>
          <c:dPt>
            <c:idx val="5"/>
            <c:marker>
              <c:symbol val="diamond"/>
              <c:size val="5"/>
              <c:spPr>
                <a:noFill/>
                <a:ln w="9525">
                  <a:noFill/>
                </a:ln>
                <a:effectLst/>
              </c:spPr>
            </c:marker>
            <c:bubble3D val="0"/>
            <c:extLst>
              <c:ext xmlns:c16="http://schemas.microsoft.com/office/drawing/2014/chart" uri="{C3380CC4-5D6E-409C-BE32-E72D297353CC}">
                <c16:uniqueId val="{0000001E-E73A-4E92-9741-E5DA6C3FD6CF}"/>
              </c:ext>
            </c:extLst>
          </c:dPt>
          <c:dPt>
            <c:idx val="6"/>
            <c:marker>
              <c:symbol val="diamond"/>
              <c:size val="5"/>
              <c:spPr>
                <a:noFill/>
                <a:ln w="9525">
                  <a:noFill/>
                </a:ln>
                <a:effectLst/>
              </c:spPr>
            </c:marker>
            <c:bubble3D val="0"/>
            <c:extLst>
              <c:ext xmlns:c16="http://schemas.microsoft.com/office/drawing/2014/chart" uri="{C3380CC4-5D6E-409C-BE32-E72D297353CC}">
                <c16:uniqueId val="{0000001F-E73A-4E92-9741-E5DA6C3FD6CF}"/>
              </c:ext>
            </c:extLst>
          </c:dPt>
          <c:dPt>
            <c:idx val="7"/>
            <c:marker>
              <c:symbol val="diamond"/>
              <c:size val="5"/>
              <c:spPr>
                <a:noFill/>
                <a:ln w="9525">
                  <a:noFill/>
                </a:ln>
                <a:effectLst/>
              </c:spPr>
            </c:marker>
            <c:bubble3D val="0"/>
            <c:extLst>
              <c:ext xmlns:c16="http://schemas.microsoft.com/office/drawing/2014/chart" uri="{C3380CC4-5D6E-409C-BE32-E72D297353CC}">
                <c16:uniqueId val="{00000020-E73A-4E92-9741-E5DA6C3FD6CF}"/>
              </c:ext>
            </c:extLst>
          </c:dPt>
          <c:dPt>
            <c:idx val="8"/>
            <c:marker>
              <c:symbol val="diamond"/>
              <c:size val="5"/>
              <c:spPr>
                <a:noFill/>
                <a:ln w="9525">
                  <a:noFill/>
                </a:ln>
                <a:effectLst/>
              </c:spPr>
            </c:marker>
            <c:bubble3D val="0"/>
            <c:extLst>
              <c:ext xmlns:c16="http://schemas.microsoft.com/office/drawing/2014/chart" uri="{C3380CC4-5D6E-409C-BE32-E72D297353CC}">
                <c16:uniqueId val="{00000021-E73A-4E92-9741-E5DA6C3FD6CF}"/>
              </c:ext>
            </c:extLst>
          </c:dPt>
          <c:dLbls>
            <c:dLbl>
              <c:idx val="0"/>
              <c:delete val="1"/>
              <c:extLst>
                <c:ext xmlns:c15="http://schemas.microsoft.com/office/drawing/2012/chart" uri="{CE6537A1-D6FC-4f65-9D91-7224C49458BB}"/>
                <c:ext xmlns:c16="http://schemas.microsoft.com/office/drawing/2014/chart" uri="{C3380CC4-5D6E-409C-BE32-E72D297353CC}">
                  <c16:uniqueId val="{00000019-E73A-4E92-9741-E5DA6C3FD6CF}"/>
                </c:ext>
              </c:extLst>
            </c:dLbl>
            <c:dLbl>
              <c:idx val="1"/>
              <c:delete val="1"/>
              <c:extLst>
                <c:ext xmlns:c15="http://schemas.microsoft.com/office/drawing/2012/chart" uri="{CE6537A1-D6FC-4f65-9D91-7224C49458BB}"/>
                <c:ext xmlns:c16="http://schemas.microsoft.com/office/drawing/2014/chart" uri="{C3380CC4-5D6E-409C-BE32-E72D297353CC}">
                  <c16:uniqueId val="{0000001A-E73A-4E92-9741-E5DA6C3FD6CF}"/>
                </c:ext>
              </c:extLst>
            </c:dLbl>
            <c:dLbl>
              <c:idx val="2"/>
              <c:delete val="1"/>
              <c:extLst>
                <c:ext xmlns:c15="http://schemas.microsoft.com/office/drawing/2012/chart" uri="{CE6537A1-D6FC-4f65-9D91-7224C49458BB}"/>
                <c:ext xmlns:c16="http://schemas.microsoft.com/office/drawing/2014/chart" uri="{C3380CC4-5D6E-409C-BE32-E72D297353CC}">
                  <c16:uniqueId val="{0000001B-E73A-4E92-9741-E5DA6C3FD6CF}"/>
                </c:ext>
              </c:extLst>
            </c:dLbl>
            <c:dLbl>
              <c:idx val="3"/>
              <c:delete val="1"/>
              <c:extLst>
                <c:ext xmlns:c15="http://schemas.microsoft.com/office/drawing/2012/chart" uri="{CE6537A1-D6FC-4f65-9D91-7224C49458BB}"/>
                <c:ext xmlns:c16="http://schemas.microsoft.com/office/drawing/2014/chart" uri="{C3380CC4-5D6E-409C-BE32-E72D297353CC}">
                  <c16:uniqueId val="{0000001C-E73A-4E92-9741-E5DA6C3FD6CF}"/>
                </c:ext>
              </c:extLst>
            </c:dLbl>
            <c:dLbl>
              <c:idx val="4"/>
              <c:delete val="1"/>
              <c:extLst>
                <c:ext xmlns:c15="http://schemas.microsoft.com/office/drawing/2012/chart" uri="{CE6537A1-D6FC-4f65-9D91-7224C49458BB}"/>
                <c:ext xmlns:c16="http://schemas.microsoft.com/office/drawing/2014/chart" uri="{C3380CC4-5D6E-409C-BE32-E72D297353CC}">
                  <c16:uniqueId val="{0000001D-E73A-4E92-9741-E5DA6C3FD6CF}"/>
                </c:ext>
              </c:extLst>
            </c:dLbl>
            <c:dLbl>
              <c:idx val="5"/>
              <c:delete val="1"/>
              <c:extLst>
                <c:ext xmlns:c15="http://schemas.microsoft.com/office/drawing/2012/chart" uri="{CE6537A1-D6FC-4f65-9D91-7224C49458BB}"/>
                <c:ext xmlns:c16="http://schemas.microsoft.com/office/drawing/2014/chart" uri="{C3380CC4-5D6E-409C-BE32-E72D297353CC}">
                  <c16:uniqueId val="{0000001E-E73A-4E92-9741-E5DA6C3FD6CF}"/>
                </c:ext>
              </c:extLst>
            </c:dLbl>
            <c:dLbl>
              <c:idx val="6"/>
              <c:delete val="1"/>
              <c:extLst>
                <c:ext xmlns:c15="http://schemas.microsoft.com/office/drawing/2012/chart" uri="{CE6537A1-D6FC-4f65-9D91-7224C49458BB}"/>
                <c:ext xmlns:c16="http://schemas.microsoft.com/office/drawing/2014/chart" uri="{C3380CC4-5D6E-409C-BE32-E72D297353CC}">
                  <c16:uniqueId val="{0000001F-E73A-4E92-9741-E5DA6C3FD6CF}"/>
                </c:ext>
              </c:extLst>
            </c:dLbl>
            <c:dLbl>
              <c:idx val="7"/>
              <c:delete val="1"/>
              <c:extLst>
                <c:ext xmlns:c15="http://schemas.microsoft.com/office/drawing/2012/chart" uri="{CE6537A1-D6FC-4f65-9D91-7224C49458BB}"/>
                <c:ext xmlns:c16="http://schemas.microsoft.com/office/drawing/2014/chart" uri="{C3380CC4-5D6E-409C-BE32-E72D297353CC}">
                  <c16:uniqueId val="{00000020-E73A-4E92-9741-E5DA6C3FD6CF}"/>
                </c:ext>
              </c:extLst>
            </c:dLbl>
            <c:dLbl>
              <c:idx val="8"/>
              <c:delete val="1"/>
              <c:extLst>
                <c:ext xmlns:c15="http://schemas.microsoft.com/office/drawing/2012/chart" uri="{CE6537A1-D6FC-4f65-9D91-7224C49458BB}"/>
                <c:ext xmlns:c16="http://schemas.microsoft.com/office/drawing/2014/chart" uri="{C3380CC4-5D6E-409C-BE32-E72D297353CC}">
                  <c16:uniqueId val="{00000021-E73A-4E92-9741-E5DA6C3FD6CF}"/>
                </c:ext>
              </c:extLst>
            </c:dLbl>
            <c:spPr>
              <a:solidFill>
                <a:schemeClr val="accent3">
                  <a:lumMod val="40000"/>
                  <a:lumOff val="6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mesiace!$A$2:$A$16</c:f>
              <c:strCache>
                <c:ptCount val="15"/>
                <c:pt idx="0">
                  <c:v>január 2019</c:v>
                </c:pt>
                <c:pt idx="1">
                  <c:v>február 2019</c:v>
                </c:pt>
                <c:pt idx="2">
                  <c:v>marec 2019</c:v>
                </c:pt>
                <c:pt idx="3">
                  <c:v>apríl 2019</c:v>
                </c:pt>
                <c:pt idx="4">
                  <c:v>máj 2019</c:v>
                </c:pt>
                <c:pt idx="5">
                  <c:v>jún 2019</c:v>
                </c:pt>
                <c:pt idx="6">
                  <c:v>júl 2019</c:v>
                </c:pt>
                <c:pt idx="7">
                  <c:v>august 2019</c:v>
                </c:pt>
                <c:pt idx="8">
                  <c:v>september 2019</c:v>
                </c:pt>
                <c:pt idx="9">
                  <c:v>október 2019</c:v>
                </c:pt>
                <c:pt idx="10">
                  <c:v>november 2019</c:v>
                </c:pt>
                <c:pt idx="11">
                  <c:v>december 2019</c:v>
                </c:pt>
                <c:pt idx="12">
                  <c:v>január 2020</c:v>
                </c:pt>
                <c:pt idx="13">
                  <c:v>február 2020</c:v>
                </c:pt>
                <c:pt idx="14">
                  <c:v>marec 2020</c:v>
                </c:pt>
              </c:strCache>
            </c:strRef>
          </c:cat>
          <c:val>
            <c:numRef>
              <c:f>mesiace!$C$2:$C$16</c:f>
              <c:numCache>
                <c:formatCode>#\ ##0_ ;\-#\ ##0\ </c:formatCode>
                <c:ptCount val="15"/>
                <c:pt idx="0">
                  <c:v>0</c:v>
                </c:pt>
                <c:pt idx="1">
                  <c:v>0</c:v>
                </c:pt>
                <c:pt idx="2">
                  <c:v>0</c:v>
                </c:pt>
                <c:pt idx="3">
                  <c:v>0</c:v>
                </c:pt>
                <c:pt idx="4">
                  <c:v>0</c:v>
                </c:pt>
                <c:pt idx="5">
                  <c:v>0</c:v>
                </c:pt>
                <c:pt idx="6">
                  <c:v>0</c:v>
                </c:pt>
                <c:pt idx="7">
                  <c:v>0</c:v>
                </c:pt>
                <c:pt idx="8">
                  <c:v>0</c:v>
                </c:pt>
                <c:pt idx="9">
                  <c:v>25</c:v>
                </c:pt>
                <c:pt idx="10">
                  <c:v>25</c:v>
                </c:pt>
                <c:pt idx="11">
                  <c:v>91</c:v>
                </c:pt>
                <c:pt idx="12">
                  <c:v>163</c:v>
                </c:pt>
                <c:pt idx="13">
                  <c:v>210</c:v>
                </c:pt>
                <c:pt idx="14">
                  <c:v>288</c:v>
                </c:pt>
              </c:numCache>
            </c:numRef>
          </c:val>
          <c:smooth val="0"/>
          <c:extLst>
            <c:ext xmlns:c16="http://schemas.microsoft.com/office/drawing/2014/chart" uri="{C3380CC4-5D6E-409C-BE32-E72D297353CC}">
              <c16:uniqueId val="{00000022-E73A-4E92-9741-E5DA6C3FD6CF}"/>
            </c:ext>
          </c:extLst>
        </c:ser>
        <c:dLbls>
          <c:showLegendKey val="0"/>
          <c:showVal val="0"/>
          <c:showCatName val="0"/>
          <c:showSerName val="0"/>
          <c:showPercent val="0"/>
          <c:showBubbleSize val="0"/>
        </c:dLbls>
        <c:marker val="1"/>
        <c:smooth val="0"/>
        <c:axId val="470429871"/>
        <c:axId val="470429455"/>
        <c:extLst>
          <c:ext xmlns:c15="http://schemas.microsoft.com/office/drawing/2012/chart" uri="{02D57815-91ED-43cb-92C2-25804820EDAC}">
            <c15:filteredLineSeries>
              <c15:ser>
                <c:idx val="2"/>
                <c:order val="2"/>
                <c:tx>
                  <c:strRef>
                    <c:extLst>
                      <c:ext uri="{02D57815-91ED-43cb-92C2-25804820EDAC}">
                        <c15:formulaRef>
                          <c15:sqref>mesiace!$D$1</c15:sqref>
                        </c15:formulaRef>
                      </c:ext>
                    </c:extLst>
                    <c:strCache>
                      <c:ptCount val="1"/>
                      <c:pt idx="0">
                        <c:v>počet škôl spolu</c:v>
                      </c:pt>
                    </c:strCache>
                  </c:strRef>
                </c:tx>
                <c:spPr>
                  <a:ln w="28575" cap="rnd">
                    <a:solidFill>
                      <a:schemeClr val="accent3"/>
                    </a:solidFill>
                    <a:round/>
                  </a:ln>
                  <a:effectLst/>
                </c:spPr>
                <c:marker>
                  <c:symbol val="none"/>
                </c:marker>
                <c:cat>
                  <c:strRef>
                    <c:extLst>
                      <c:ext uri="{02D57815-91ED-43cb-92C2-25804820EDAC}">
                        <c15:formulaRef>
                          <c15:sqref>mesiace!$A$2:$A$16</c15:sqref>
                        </c15:formulaRef>
                      </c:ext>
                    </c:extLst>
                    <c:strCache>
                      <c:ptCount val="15"/>
                      <c:pt idx="0">
                        <c:v>január 2019</c:v>
                      </c:pt>
                      <c:pt idx="1">
                        <c:v>február 2019</c:v>
                      </c:pt>
                      <c:pt idx="2">
                        <c:v>marec 2019</c:v>
                      </c:pt>
                      <c:pt idx="3">
                        <c:v>apríl 2019</c:v>
                      </c:pt>
                      <c:pt idx="4">
                        <c:v>máj 2019</c:v>
                      </c:pt>
                      <c:pt idx="5">
                        <c:v>jún 2019</c:v>
                      </c:pt>
                      <c:pt idx="6">
                        <c:v>júl 2019</c:v>
                      </c:pt>
                      <c:pt idx="7">
                        <c:v>august 2019</c:v>
                      </c:pt>
                      <c:pt idx="8">
                        <c:v>september 2019</c:v>
                      </c:pt>
                      <c:pt idx="9">
                        <c:v>október 2019</c:v>
                      </c:pt>
                      <c:pt idx="10">
                        <c:v>november 2019</c:v>
                      </c:pt>
                      <c:pt idx="11">
                        <c:v>december 2019</c:v>
                      </c:pt>
                      <c:pt idx="12">
                        <c:v>január 2020</c:v>
                      </c:pt>
                      <c:pt idx="13">
                        <c:v>február 2020</c:v>
                      </c:pt>
                      <c:pt idx="14">
                        <c:v>marec 2020</c:v>
                      </c:pt>
                    </c:strCache>
                  </c:strRef>
                </c:cat>
                <c:val>
                  <c:numRef>
                    <c:extLst>
                      <c:ext uri="{02D57815-91ED-43cb-92C2-25804820EDAC}">
                        <c15:formulaRef>
                          <c15:sqref>mesiace!$D$2:$D$16</c15:sqref>
                        </c15:formulaRef>
                      </c:ext>
                    </c:extLst>
                    <c:numCache>
                      <c:formatCode>#\ ##0_ ;\-#\ ##0\ </c:formatCode>
                      <c:ptCount val="15"/>
                      <c:pt idx="0">
                        <c:v>2812</c:v>
                      </c:pt>
                      <c:pt idx="1">
                        <c:v>2812</c:v>
                      </c:pt>
                      <c:pt idx="2">
                        <c:v>2812</c:v>
                      </c:pt>
                      <c:pt idx="3">
                        <c:v>2812</c:v>
                      </c:pt>
                      <c:pt idx="4">
                        <c:v>2812</c:v>
                      </c:pt>
                      <c:pt idx="5">
                        <c:v>2806</c:v>
                      </c:pt>
                      <c:pt idx="6">
                        <c:v>2805</c:v>
                      </c:pt>
                      <c:pt idx="7">
                        <c:v>2803</c:v>
                      </c:pt>
                      <c:pt idx="8">
                        <c:v>2748</c:v>
                      </c:pt>
                      <c:pt idx="9">
                        <c:v>2773</c:v>
                      </c:pt>
                      <c:pt idx="10">
                        <c:v>2768</c:v>
                      </c:pt>
                      <c:pt idx="11">
                        <c:v>2834</c:v>
                      </c:pt>
                      <c:pt idx="12">
                        <c:v>2742</c:v>
                      </c:pt>
                      <c:pt idx="13">
                        <c:v>2684</c:v>
                      </c:pt>
                      <c:pt idx="14">
                        <c:v>2762</c:v>
                      </c:pt>
                    </c:numCache>
                  </c:numRef>
                </c:val>
                <c:smooth val="0"/>
                <c:extLst>
                  <c:ext xmlns:c16="http://schemas.microsoft.com/office/drawing/2014/chart" uri="{C3380CC4-5D6E-409C-BE32-E72D297353CC}">
                    <c16:uniqueId val="{00000023-E73A-4E92-9741-E5DA6C3FD6CF}"/>
                  </c:ext>
                </c:extLst>
              </c15:ser>
            </c15:filteredLineSeries>
          </c:ext>
        </c:extLst>
      </c:lineChart>
      <c:catAx>
        <c:axId val="470426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470427791"/>
        <c:crosses val="autoZero"/>
        <c:auto val="1"/>
        <c:lblAlgn val="ctr"/>
        <c:lblOffset val="100"/>
        <c:noMultiLvlLbl val="0"/>
      </c:catAx>
      <c:valAx>
        <c:axId val="470427791"/>
        <c:scaling>
          <c:orientation val="minMax"/>
          <c:max val="55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470426959"/>
        <c:crosses val="autoZero"/>
        <c:crossBetween val="between"/>
      </c:valAx>
      <c:valAx>
        <c:axId val="470429455"/>
        <c:scaling>
          <c:orientation val="minMax"/>
          <c:min val="0"/>
        </c:scaling>
        <c:delete val="0"/>
        <c:axPos val="r"/>
        <c:numFmt formatCode="#\ ##0_ ;\-#\ ##0\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470429871"/>
        <c:crosses val="max"/>
        <c:crossBetween val="between"/>
      </c:valAx>
      <c:catAx>
        <c:axId val="470429871"/>
        <c:scaling>
          <c:orientation val="minMax"/>
        </c:scaling>
        <c:delete val="1"/>
        <c:axPos val="b"/>
        <c:numFmt formatCode="General" sourceLinked="1"/>
        <c:majorTickMark val="out"/>
        <c:minorTickMark val="none"/>
        <c:tickLblPos val="nextTo"/>
        <c:crossAx val="470429455"/>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sk-SK"/>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989876265466814E-2"/>
          <c:y val="7.857142857142857E-2"/>
          <c:w val="0.94954477281248939"/>
          <c:h val="0.47274746906636672"/>
        </c:manualLayout>
      </c:layout>
      <c:barChart>
        <c:barDir val="col"/>
        <c:grouping val="clustered"/>
        <c:varyColors val="0"/>
        <c:ser>
          <c:idx val="0"/>
          <c:order val="0"/>
          <c:tx>
            <c:strRef>
              <c:f>'TALIS 2013'!$C$1</c:f>
              <c:strCache>
                <c:ptCount val="1"/>
                <c:pt idx="0">
                  <c:v>Nedostatok alebo nevhodnosť učebných materiálov</c:v>
                </c:pt>
              </c:strCache>
            </c:strRef>
          </c:tx>
          <c:spPr>
            <a:solidFill>
              <a:srgbClr val="0070C0"/>
            </a:solidFill>
            <a:ln>
              <a:noFill/>
            </a:ln>
            <a:effectLst/>
          </c:spPr>
          <c:invertIfNegative val="0"/>
          <c:dPt>
            <c:idx val="2"/>
            <c:invertIfNegative val="0"/>
            <c:bubble3D val="0"/>
            <c:spPr>
              <a:solidFill>
                <a:schemeClr val="accent2"/>
              </a:solidFill>
              <a:ln>
                <a:noFill/>
              </a:ln>
              <a:effectLst/>
            </c:spPr>
            <c:extLst>
              <c:ext xmlns:c16="http://schemas.microsoft.com/office/drawing/2014/chart" uri="{C3380CC4-5D6E-409C-BE32-E72D297353CC}">
                <c16:uniqueId val="{00000001-93AE-4692-8A30-E6325F805F97}"/>
              </c:ext>
            </c:extLst>
          </c:dPt>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AE-4692-8A30-E6325F805F97}"/>
                </c:ext>
              </c:extLst>
            </c:dLbl>
            <c:spPr>
              <a:noFill/>
              <a:ln>
                <a:noFill/>
              </a:ln>
              <a:effectLst/>
            </c:spPr>
            <c:txPr>
              <a:bodyPr rot="-5400000" spcFirstLastPara="1" vertOverflow="ellipsis"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'TALIS 2018'!$B$2:$B$50</c:f>
              <c:strCache>
                <c:ptCount val="49"/>
                <c:pt idx="0">
                  <c:v>Vietnam</c:v>
                </c:pt>
                <c:pt idx="1">
                  <c:v>Kolumbia</c:v>
                </c:pt>
                <c:pt idx="2">
                  <c:v>Slovensko</c:v>
                </c:pt>
                <c:pt idx="3">
                  <c:v>Južná Afrika</c:v>
                </c:pt>
                <c:pt idx="4">
                  <c:v>Rumunsko</c:v>
                </c:pt>
                <c:pt idx="5">
                  <c:v>Saudská Arábia</c:v>
                </c:pt>
                <c:pt idx="6">
                  <c:v>Brazília</c:v>
                </c:pt>
                <c:pt idx="7">
                  <c:v>Beunos Aires (Argentína)</c:v>
                </c:pt>
                <c:pt idx="8">
                  <c:v>SAE</c:v>
                </c:pt>
                <c:pt idx="9">
                  <c:v>Francúzsko</c:v>
                </c:pt>
                <c:pt idx="10">
                  <c:v>Taliansko</c:v>
                </c:pt>
                <c:pt idx="11">
                  <c:v>Kazachstan</c:v>
                </c:pt>
                <c:pt idx="12">
                  <c:v>Maďarsko</c:v>
                </c:pt>
                <c:pt idx="13">
                  <c:v>Turecko</c:v>
                </c:pt>
                <c:pt idx="14">
                  <c:v>Portugalsko</c:v>
                </c:pt>
                <c:pt idx="15">
                  <c:v>Gruzínsko</c:v>
                </c:pt>
                <c:pt idx="16">
                  <c:v>Mexiko</c:v>
                </c:pt>
                <c:pt idx="17">
                  <c:v>Belgicko</c:v>
                </c:pt>
                <c:pt idx="18">
                  <c:v>Izrael</c:v>
                </c:pt>
                <c:pt idx="19">
                  <c:v>Anglicko</c:v>
                </c:pt>
                <c:pt idx="20">
                  <c:v>Dánsko</c:v>
                </c:pt>
                <c:pt idx="21">
                  <c:v>Lotyšsko</c:v>
                </c:pt>
                <c:pt idx="22">
                  <c:v>Španielsko</c:v>
                </c:pt>
                <c:pt idx="23">
                  <c:v>Litva</c:v>
                </c:pt>
                <c:pt idx="24">
                  <c:v>Kórea</c:v>
                </c:pt>
                <c:pt idx="25">
                  <c:v>Bulharsko</c:v>
                </c:pt>
                <c:pt idx="26">
                  <c:v>USA</c:v>
                </c:pt>
                <c:pt idx="27">
                  <c:v>Chorvátsko</c:v>
                </c:pt>
                <c:pt idx="28">
                  <c:v>Čile</c:v>
                </c:pt>
                <c:pt idx="29">
                  <c:v>Nový Zéland</c:v>
                </c:pt>
                <c:pt idx="30">
                  <c:v>Estónsko</c:v>
                </c:pt>
                <c:pt idx="31">
                  <c:v>Austrália</c:v>
                </c:pt>
                <c:pt idx="32">
                  <c:v>Island</c:v>
                </c:pt>
                <c:pt idx="33">
                  <c:v>Flámsko (Belgicko)</c:v>
                </c:pt>
                <c:pt idx="34">
                  <c:v>Čínsky Tchaj-pej</c:v>
                </c:pt>
                <c:pt idx="35">
                  <c:v>Švédsko</c:v>
                </c:pt>
                <c:pt idx="36">
                  <c:v>Holandsko</c:v>
                </c:pt>
                <c:pt idx="37">
                  <c:v>Nórsko</c:v>
                </c:pt>
                <c:pt idx="38">
                  <c:v>Alberta (Kanada)</c:v>
                </c:pt>
                <c:pt idx="39">
                  <c:v>Rusko</c:v>
                </c:pt>
                <c:pt idx="40">
                  <c:v>Malta</c:v>
                </c:pt>
                <c:pt idx="41">
                  <c:v>Fínsko</c:v>
                </c:pt>
                <c:pt idx="42">
                  <c:v>Cyprus</c:v>
                </c:pt>
                <c:pt idx="43">
                  <c:v>Česká republika</c:v>
                </c:pt>
                <c:pt idx="44">
                  <c:v>Japonsko</c:v>
                </c:pt>
                <c:pt idx="45">
                  <c:v>Šanghaj (Čína)</c:v>
                </c:pt>
                <c:pt idx="46">
                  <c:v>Slovinsko</c:v>
                </c:pt>
                <c:pt idx="47">
                  <c:v>Rakúsko</c:v>
                </c:pt>
                <c:pt idx="48">
                  <c:v>Singapur</c:v>
                </c:pt>
              </c:strCache>
            </c:strRef>
          </c:cat>
          <c:val>
            <c:numRef>
              <c:f>'TALIS 2018'!$C$2:$C$50</c:f>
              <c:numCache>
                <c:formatCode>0.0</c:formatCode>
                <c:ptCount val="49"/>
                <c:pt idx="0">
                  <c:v>67.531129658741449</c:v>
                </c:pt>
                <c:pt idx="1">
                  <c:v>64.22194124238284</c:v>
                </c:pt>
                <c:pt idx="2">
                  <c:v>44.615241489420171</c:v>
                </c:pt>
                <c:pt idx="3">
                  <c:v>44.380830100340233</c:v>
                </c:pt>
                <c:pt idx="4">
                  <c:v>41.491328995474802</c:v>
                </c:pt>
                <c:pt idx="5">
                  <c:v>39.856670226020512</c:v>
                </c:pt>
                <c:pt idx="6">
                  <c:v>38.141185812097412</c:v>
                </c:pt>
                <c:pt idx="7">
                  <c:v>21.498574483299379</c:v>
                </c:pt>
                <c:pt idx="8">
                  <c:v>21.466324735505349</c:v>
                </c:pt>
                <c:pt idx="9">
                  <c:v>21.35855872556094</c:v>
                </c:pt>
                <c:pt idx="10">
                  <c:v>20.972440968994071</c:v>
                </c:pt>
                <c:pt idx="11">
                  <c:v>20.535630137135129</c:v>
                </c:pt>
                <c:pt idx="12">
                  <c:v>20.208449363662542</c:v>
                </c:pt>
                <c:pt idx="13">
                  <c:v>19.906561323289889</c:v>
                </c:pt>
                <c:pt idx="14">
                  <c:v>16.489274247702191</c:v>
                </c:pt>
                <c:pt idx="15">
                  <c:v>15.80149498240903</c:v>
                </c:pt>
                <c:pt idx="16">
                  <c:v>15.512453072759101</c:v>
                </c:pt>
                <c:pt idx="17">
                  <c:v>15.13759454367127</c:v>
                </c:pt>
                <c:pt idx="18">
                  <c:v>14.855524500830491</c:v>
                </c:pt>
                <c:pt idx="19">
                  <c:v>13.25642994316255</c:v>
                </c:pt>
                <c:pt idx="20">
                  <c:v>11.79176140889088</c:v>
                </c:pt>
                <c:pt idx="21">
                  <c:v>11.327331776008981</c:v>
                </c:pt>
                <c:pt idx="22">
                  <c:v>10.9571166123926</c:v>
                </c:pt>
                <c:pt idx="23">
                  <c:v>10.74163976283352</c:v>
                </c:pt>
                <c:pt idx="24">
                  <c:v>9.9839900838343976</c:v>
                </c:pt>
                <c:pt idx="25">
                  <c:v>9.2383211088445787</c:v>
                </c:pt>
                <c:pt idx="26">
                  <c:v>8.9404949885861722</c:v>
                </c:pt>
                <c:pt idx="27">
                  <c:v>8.5313173199668704</c:v>
                </c:pt>
                <c:pt idx="28">
                  <c:v>7.602586463101324</c:v>
                </c:pt>
                <c:pt idx="29">
                  <c:v>6.9261572610458479</c:v>
                </c:pt>
                <c:pt idx="30">
                  <c:v>6.771012600284827</c:v>
                </c:pt>
                <c:pt idx="31">
                  <c:v>5.819608603674582</c:v>
                </c:pt>
                <c:pt idx="32">
                  <c:v>5.4347826086956523</c:v>
                </c:pt>
                <c:pt idx="33">
                  <c:v>5.2187437129923353</c:v>
                </c:pt>
                <c:pt idx="34">
                  <c:v>4.7760960394676024</c:v>
                </c:pt>
                <c:pt idx="35">
                  <c:v>4.3832482216052693</c:v>
                </c:pt>
                <c:pt idx="36">
                  <c:v>4.2735042735042734</c:v>
                </c:pt>
                <c:pt idx="37">
                  <c:v>4.2095646128640274</c:v>
                </c:pt>
                <c:pt idx="38">
                  <c:v>4.0615088274049791</c:v>
                </c:pt>
                <c:pt idx="39">
                  <c:v>3.8024492130365211</c:v>
                </c:pt>
                <c:pt idx="40">
                  <c:v>3.733224334075345</c:v>
                </c:pt>
                <c:pt idx="41">
                  <c:v>3.6560023344662511</c:v>
                </c:pt>
                <c:pt idx="42">
                  <c:v>3.6475869809164601</c:v>
                </c:pt>
                <c:pt idx="43">
                  <c:v>3.0101485441452991</c:v>
                </c:pt>
                <c:pt idx="44">
                  <c:v>2.9888166641718059</c:v>
                </c:pt>
                <c:pt idx="45">
                  <c:v>2.7809289515726641</c:v>
                </c:pt>
                <c:pt idx="46">
                  <c:v>1.805863360432524</c:v>
                </c:pt>
                <c:pt idx="47">
                  <c:v>0.57540403392571804</c:v>
                </c:pt>
                <c:pt idx="48">
                  <c:v>0.52145609140409721</c:v>
                </c:pt>
              </c:numCache>
            </c:numRef>
          </c:val>
          <c:extLst>
            <c:ext xmlns:c16="http://schemas.microsoft.com/office/drawing/2014/chart" uri="{C3380CC4-5D6E-409C-BE32-E72D297353CC}">
              <c16:uniqueId val="{00000002-93AE-4692-8A30-E6325F805F97}"/>
            </c:ext>
          </c:extLst>
        </c:ser>
        <c:dLbls>
          <c:showLegendKey val="0"/>
          <c:showVal val="0"/>
          <c:showCatName val="0"/>
          <c:showSerName val="0"/>
          <c:showPercent val="0"/>
          <c:showBubbleSize val="0"/>
        </c:dLbls>
        <c:gapWidth val="75"/>
        <c:axId val="1009597536"/>
        <c:axId val="1009763504"/>
      </c:barChart>
      <c:catAx>
        <c:axId val="100959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1009763504"/>
        <c:crosses val="autoZero"/>
        <c:auto val="1"/>
        <c:lblAlgn val="ctr"/>
        <c:lblOffset val="100"/>
        <c:tickLblSkip val="1"/>
        <c:noMultiLvlLbl val="0"/>
      </c:catAx>
      <c:valAx>
        <c:axId val="1009763504"/>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1009597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Narrow" panose="020B0606020202030204" pitchFamily="34" charset="0"/>
        </a:defRPr>
      </a:pPr>
      <a:endParaRPr lang="sk-SK"/>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11203923557786"/>
          <c:y val="7.899461400359066E-2"/>
          <c:w val="0.86074570562250219"/>
          <c:h val="0.69517635250710352"/>
        </c:manualLayout>
      </c:layout>
      <c:scatterChart>
        <c:scatterStyle val="lineMarker"/>
        <c:varyColors val="0"/>
        <c:ser>
          <c:idx val="0"/>
          <c:order val="0"/>
          <c:spPr>
            <a:ln w="25400" cap="rnd">
              <a:noFill/>
              <a:round/>
            </a:ln>
            <a:effectLst/>
          </c:spPr>
          <c:marker>
            <c:symbol val="circle"/>
            <c:size val="5"/>
            <c:spPr>
              <a:solidFill>
                <a:srgbClr val="0070C0"/>
              </a:solidFill>
              <a:ln w="9525">
                <a:solidFill>
                  <a:schemeClr val="accent1"/>
                </a:solidFill>
              </a:ln>
              <a:effectLst/>
            </c:spPr>
          </c:marker>
          <c:trendline>
            <c:spPr>
              <a:ln w="12700" cap="rnd">
                <a:solidFill>
                  <a:schemeClr val="tx1"/>
                </a:solidFill>
                <a:prstDash val="solid"/>
              </a:ln>
              <a:effectLst/>
            </c:spPr>
            <c:trendlineType val="linear"/>
            <c:dispRSqr val="0"/>
            <c:dispEq val="0"/>
          </c:trendline>
          <c:xVal>
            <c:numRef>
              <c:f>MG!$B$2:$B$44</c:f>
              <c:numCache>
                <c:formatCode>0.0</c:formatCode>
                <c:ptCount val="43"/>
                <c:pt idx="0">
                  <c:v>64.22194124238284</c:v>
                </c:pt>
                <c:pt idx="1">
                  <c:v>44.615241489420171</c:v>
                </c:pt>
                <c:pt idx="2">
                  <c:v>41.491328995474802</c:v>
                </c:pt>
                <c:pt idx="3">
                  <c:v>39.856670226020512</c:v>
                </c:pt>
                <c:pt idx="4">
                  <c:v>38.141185812097412</c:v>
                </c:pt>
                <c:pt idx="5">
                  <c:v>21.498574483299379</c:v>
                </c:pt>
                <c:pt idx="6">
                  <c:v>21.466324735505349</c:v>
                </c:pt>
                <c:pt idx="7">
                  <c:v>21.35855872556094</c:v>
                </c:pt>
                <c:pt idx="8">
                  <c:v>20.972440968994071</c:v>
                </c:pt>
                <c:pt idx="9">
                  <c:v>20.535630137135129</c:v>
                </c:pt>
                <c:pt idx="10">
                  <c:v>20.208449363662542</c:v>
                </c:pt>
                <c:pt idx="11">
                  <c:v>19.906561323289889</c:v>
                </c:pt>
                <c:pt idx="12">
                  <c:v>16.489274247702191</c:v>
                </c:pt>
                <c:pt idx="13">
                  <c:v>15.80149498240903</c:v>
                </c:pt>
                <c:pt idx="14">
                  <c:v>15.512453072759101</c:v>
                </c:pt>
                <c:pt idx="15">
                  <c:v>14.855524500830491</c:v>
                </c:pt>
                <c:pt idx="16">
                  <c:v>13.25642994316255</c:v>
                </c:pt>
                <c:pt idx="17">
                  <c:v>11.79176140889088</c:v>
                </c:pt>
                <c:pt idx="18">
                  <c:v>11.327331776008981</c:v>
                </c:pt>
                <c:pt idx="19">
                  <c:v>10.9571166123926</c:v>
                </c:pt>
                <c:pt idx="20">
                  <c:v>10.74163976283352</c:v>
                </c:pt>
                <c:pt idx="21">
                  <c:v>9.9839900838343976</c:v>
                </c:pt>
                <c:pt idx="22">
                  <c:v>9.2383211088445787</c:v>
                </c:pt>
                <c:pt idx="23">
                  <c:v>8.5313173199668704</c:v>
                </c:pt>
                <c:pt idx="24">
                  <c:v>7.602586463101324</c:v>
                </c:pt>
                <c:pt idx="25">
                  <c:v>6.9261572610458479</c:v>
                </c:pt>
                <c:pt idx="26">
                  <c:v>6.771012600284827</c:v>
                </c:pt>
                <c:pt idx="27">
                  <c:v>5.819608603674582</c:v>
                </c:pt>
                <c:pt idx="28">
                  <c:v>5.4347826086956523</c:v>
                </c:pt>
                <c:pt idx="29">
                  <c:v>5.2187437129923353</c:v>
                </c:pt>
                <c:pt idx="30">
                  <c:v>4.3832482216052693</c:v>
                </c:pt>
                <c:pt idx="31">
                  <c:v>4.2735042735042734</c:v>
                </c:pt>
                <c:pt idx="32">
                  <c:v>4.2095646128640274</c:v>
                </c:pt>
                <c:pt idx="33">
                  <c:v>4.0615088274049791</c:v>
                </c:pt>
                <c:pt idx="34">
                  <c:v>3.8024492130365211</c:v>
                </c:pt>
                <c:pt idx="35">
                  <c:v>3.733224334075345</c:v>
                </c:pt>
                <c:pt idx="36">
                  <c:v>3.6560023344662511</c:v>
                </c:pt>
                <c:pt idx="37">
                  <c:v>3.6475869809164601</c:v>
                </c:pt>
                <c:pt idx="38">
                  <c:v>3.0101485441452991</c:v>
                </c:pt>
                <c:pt idx="39">
                  <c:v>2.9888166641718059</c:v>
                </c:pt>
                <c:pt idx="40">
                  <c:v>1.805863360432524</c:v>
                </c:pt>
                <c:pt idx="41">
                  <c:v>0.57540403392571804</c:v>
                </c:pt>
                <c:pt idx="42">
                  <c:v>0.52145609140409721</c:v>
                </c:pt>
              </c:numCache>
            </c:numRef>
          </c:xVal>
          <c:yVal>
            <c:numRef>
              <c:f>MG!$C$2:$C$44</c:f>
              <c:numCache>
                <c:formatCode>General</c:formatCode>
                <c:ptCount val="43"/>
                <c:pt idx="0">
                  <c:v>391</c:v>
                </c:pt>
                <c:pt idx="1">
                  <c:v>486</c:v>
                </c:pt>
                <c:pt idx="2">
                  <c:v>430</c:v>
                </c:pt>
                <c:pt idx="3">
                  <c:v>373</c:v>
                </c:pt>
                <c:pt idx="4">
                  <c:v>384</c:v>
                </c:pt>
                <c:pt idx="5">
                  <c:v>379</c:v>
                </c:pt>
                <c:pt idx="6">
                  <c:v>435</c:v>
                </c:pt>
                <c:pt idx="7">
                  <c:v>495</c:v>
                </c:pt>
                <c:pt idx="8">
                  <c:v>487</c:v>
                </c:pt>
                <c:pt idx="9">
                  <c:v>423</c:v>
                </c:pt>
                <c:pt idx="10">
                  <c:v>481</c:v>
                </c:pt>
                <c:pt idx="11">
                  <c:v>454</c:v>
                </c:pt>
                <c:pt idx="12">
                  <c:v>492</c:v>
                </c:pt>
                <c:pt idx="13">
                  <c:v>398</c:v>
                </c:pt>
                <c:pt idx="14">
                  <c:v>409</c:v>
                </c:pt>
                <c:pt idx="15">
                  <c:v>463</c:v>
                </c:pt>
                <c:pt idx="16">
                  <c:v>502</c:v>
                </c:pt>
                <c:pt idx="17">
                  <c:v>509</c:v>
                </c:pt>
                <c:pt idx="18">
                  <c:v>496</c:v>
                </c:pt>
                <c:pt idx="19">
                  <c:v>481</c:v>
                </c:pt>
                <c:pt idx="20">
                  <c:v>481</c:v>
                </c:pt>
                <c:pt idx="21">
                  <c:v>526</c:v>
                </c:pt>
                <c:pt idx="22">
                  <c:v>436</c:v>
                </c:pt>
                <c:pt idx="23">
                  <c:v>464</c:v>
                </c:pt>
                <c:pt idx="24">
                  <c:v>417</c:v>
                </c:pt>
                <c:pt idx="25">
                  <c:v>494</c:v>
                </c:pt>
                <c:pt idx="26">
                  <c:v>523</c:v>
                </c:pt>
                <c:pt idx="27">
                  <c:v>491</c:v>
                </c:pt>
                <c:pt idx="28">
                  <c:v>495</c:v>
                </c:pt>
                <c:pt idx="29">
                  <c:v>508</c:v>
                </c:pt>
                <c:pt idx="30">
                  <c:v>502</c:v>
                </c:pt>
                <c:pt idx="31">
                  <c:v>519</c:v>
                </c:pt>
                <c:pt idx="32">
                  <c:v>501</c:v>
                </c:pt>
                <c:pt idx="33">
                  <c:v>512</c:v>
                </c:pt>
                <c:pt idx="34">
                  <c:v>488</c:v>
                </c:pt>
                <c:pt idx="35">
                  <c:v>472</c:v>
                </c:pt>
                <c:pt idx="36">
                  <c:v>507</c:v>
                </c:pt>
                <c:pt idx="37">
                  <c:v>451</c:v>
                </c:pt>
                <c:pt idx="38">
                  <c:v>499</c:v>
                </c:pt>
                <c:pt idx="39">
                  <c:v>527</c:v>
                </c:pt>
                <c:pt idx="40">
                  <c:v>509</c:v>
                </c:pt>
                <c:pt idx="41">
                  <c:v>499</c:v>
                </c:pt>
                <c:pt idx="42">
                  <c:v>569</c:v>
                </c:pt>
              </c:numCache>
            </c:numRef>
          </c:yVal>
          <c:smooth val="0"/>
          <c:extLst>
            <c:ext xmlns:c16="http://schemas.microsoft.com/office/drawing/2014/chart" uri="{C3380CC4-5D6E-409C-BE32-E72D297353CC}">
              <c16:uniqueId val="{00000000-D0F4-466E-89C8-49FAEC35C59B}"/>
            </c:ext>
          </c:extLst>
        </c:ser>
        <c:dLbls>
          <c:showLegendKey val="0"/>
          <c:showVal val="0"/>
          <c:showCatName val="0"/>
          <c:showSerName val="0"/>
          <c:showPercent val="0"/>
          <c:showBubbleSize val="0"/>
        </c:dLbls>
        <c:axId val="1000818032"/>
        <c:axId val="919410928"/>
      </c:scatterChart>
      <c:valAx>
        <c:axId val="1000818032"/>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Nedostatok alebo nevhodnosť učebných materiálov podľa riaditeľov ZŠ (%) (2018)</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919410928"/>
        <c:crosses val="autoZero"/>
        <c:crossBetween val="midCat"/>
      </c:valAx>
      <c:valAx>
        <c:axId val="919410928"/>
        <c:scaling>
          <c:orientation val="minMax"/>
          <c:max val="550"/>
          <c:min val="35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Skóre</a:t>
                </a:r>
                <a:r>
                  <a:rPr lang="sk-SK" baseline="0"/>
                  <a:t> v </a:t>
                </a:r>
                <a:r>
                  <a:rPr lang="sk-SK"/>
                  <a:t>matematickej gramotnosti (2018)</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100081803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Narrow" panose="020B0606020202030204" pitchFamily="34" charset="0"/>
        </a:defRPr>
      </a:pPr>
      <a:endParaRPr lang="sk-SK"/>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705368769777808E-2"/>
          <c:y val="7.6388888888888895E-2"/>
          <c:w val="0.86696287000114702"/>
          <c:h val="0.67928204286964133"/>
        </c:manualLayout>
      </c:layout>
      <c:barChart>
        <c:barDir val="col"/>
        <c:grouping val="clustered"/>
        <c:varyColors val="0"/>
        <c:ser>
          <c:idx val="0"/>
          <c:order val="0"/>
          <c:tx>
            <c:strRef>
              <c:f>'počet _učebníc _obj_ dod'!$A$3</c:f>
              <c:strCache>
                <c:ptCount val="1"/>
                <c:pt idx="0">
                  <c:v>Počet objednaných učebníc</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'počet _učebníc _obj_ dod'!$B$2:$H$2</c:f>
              <c:numCache>
                <c:formatCode>General</c:formatCode>
                <c:ptCount val="7"/>
                <c:pt idx="0">
                  <c:v>2014</c:v>
                </c:pt>
                <c:pt idx="1">
                  <c:v>2015</c:v>
                </c:pt>
                <c:pt idx="2">
                  <c:v>2016</c:v>
                </c:pt>
                <c:pt idx="3">
                  <c:v>2017</c:v>
                </c:pt>
                <c:pt idx="4">
                  <c:v>2018</c:v>
                </c:pt>
                <c:pt idx="5">
                  <c:v>2019</c:v>
                </c:pt>
                <c:pt idx="6">
                  <c:v>2020</c:v>
                </c:pt>
              </c:numCache>
            </c:numRef>
          </c:cat>
          <c:val>
            <c:numRef>
              <c:f>'počet _učebníc _obj_ dod'!$B$3:$H$3</c:f>
              <c:numCache>
                <c:formatCode>General</c:formatCode>
                <c:ptCount val="7"/>
                <c:pt idx="0">
                  <c:v>3.7</c:v>
                </c:pt>
                <c:pt idx="1">
                  <c:v>3.6</c:v>
                </c:pt>
                <c:pt idx="2">
                  <c:v>2.5</c:v>
                </c:pt>
                <c:pt idx="3">
                  <c:v>2.5</c:v>
                </c:pt>
                <c:pt idx="4">
                  <c:v>2.8</c:v>
                </c:pt>
                <c:pt idx="5">
                  <c:v>2.5</c:v>
                </c:pt>
                <c:pt idx="6">
                  <c:v>2</c:v>
                </c:pt>
              </c:numCache>
            </c:numRef>
          </c:val>
          <c:extLst>
            <c:ext xmlns:c16="http://schemas.microsoft.com/office/drawing/2014/chart" uri="{C3380CC4-5D6E-409C-BE32-E72D297353CC}">
              <c16:uniqueId val="{00000000-0EA5-433F-857C-5BDD2275DE29}"/>
            </c:ext>
          </c:extLst>
        </c:ser>
        <c:ser>
          <c:idx val="1"/>
          <c:order val="1"/>
          <c:tx>
            <c:strRef>
              <c:f>'počet _učebníc _obj_ dod'!$A$4</c:f>
              <c:strCache>
                <c:ptCount val="1"/>
                <c:pt idx="0">
                  <c:v>Počet dodaných učebníc</c:v>
                </c:pt>
              </c:strCache>
            </c:strRef>
          </c:tx>
          <c:spPr>
            <a:solidFill>
              <a:schemeClr val="accent2"/>
            </a:solidFill>
            <a:ln>
              <a:noFill/>
            </a:ln>
            <a:effectLst/>
          </c:spPr>
          <c:invertIfNegative val="0"/>
          <c:dLbls>
            <c:dLbl>
              <c:idx val="1"/>
              <c:layout>
                <c:manualLayout>
                  <c:x val="0"/>
                  <c:y val="2.0833333333333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63-4669-B330-DBEF4434041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'počet _učebníc _obj_ dod'!$B$2:$H$2</c:f>
              <c:numCache>
                <c:formatCode>General</c:formatCode>
                <c:ptCount val="7"/>
                <c:pt idx="0">
                  <c:v>2014</c:v>
                </c:pt>
                <c:pt idx="1">
                  <c:v>2015</c:v>
                </c:pt>
                <c:pt idx="2">
                  <c:v>2016</c:v>
                </c:pt>
                <c:pt idx="3">
                  <c:v>2017</c:v>
                </c:pt>
                <c:pt idx="4">
                  <c:v>2018</c:v>
                </c:pt>
                <c:pt idx="5">
                  <c:v>2019</c:v>
                </c:pt>
                <c:pt idx="6">
                  <c:v>2020</c:v>
                </c:pt>
              </c:numCache>
            </c:numRef>
          </c:cat>
          <c:val>
            <c:numRef>
              <c:f>'počet _učebníc _obj_ dod'!$B$4:$H$4</c:f>
              <c:numCache>
                <c:formatCode>General</c:formatCode>
                <c:ptCount val="7"/>
                <c:pt idx="0">
                  <c:v>2.5</c:v>
                </c:pt>
                <c:pt idx="1">
                  <c:v>1.6</c:v>
                </c:pt>
                <c:pt idx="2">
                  <c:v>1.2</c:v>
                </c:pt>
                <c:pt idx="3">
                  <c:v>1.2</c:v>
                </c:pt>
                <c:pt idx="4">
                  <c:v>1.8</c:v>
                </c:pt>
                <c:pt idx="5">
                  <c:v>1.9</c:v>
                </c:pt>
              </c:numCache>
            </c:numRef>
          </c:val>
          <c:extLst>
            <c:ext xmlns:c16="http://schemas.microsoft.com/office/drawing/2014/chart" uri="{C3380CC4-5D6E-409C-BE32-E72D297353CC}">
              <c16:uniqueId val="{00000001-0EA5-433F-857C-5BDD2275DE29}"/>
            </c:ext>
          </c:extLst>
        </c:ser>
        <c:dLbls>
          <c:showLegendKey val="0"/>
          <c:showVal val="0"/>
          <c:showCatName val="0"/>
          <c:showSerName val="0"/>
          <c:showPercent val="0"/>
          <c:showBubbleSize val="0"/>
        </c:dLbls>
        <c:gapWidth val="100"/>
        <c:overlap val="-25"/>
        <c:axId val="1342080959"/>
        <c:axId val="1342083039"/>
      </c:barChart>
      <c:scatterChart>
        <c:scatterStyle val="lineMarker"/>
        <c:varyColors val="0"/>
        <c:ser>
          <c:idx val="2"/>
          <c:order val="2"/>
          <c:tx>
            <c:strRef>
              <c:f>'počet _učebníc _obj_ dod'!$A$5</c:f>
              <c:strCache>
                <c:ptCount val="1"/>
                <c:pt idx="0">
                  <c:v>Naplnenosť požiadaviek</c:v>
                </c:pt>
              </c:strCache>
            </c:strRef>
          </c:tx>
          <c:spPr>
            <a:ln w="25400" cap="rnd">
              <a:noFill/>
              <a:round/>
            </a:ln>
            <a:effectLst/>
          </c:spPr>
          <c:marker>
            <c:symbol val="diamond"/>
            <c:size val="5"/>
            <c:spPr>
              <a:solidFill>
                <a:schemeClr val="tx1"/>
              </a:solidFill>
              <a:ln w="19050">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'počet _učebníc _obj_ dod'!$B$5:$G$5</c:f>
              <c:numCache>
                <c:formatCode>0.0</c:formatCode>
                <c:ptCount val="6"/>
                <c:pt idx="0">
                  <c:v>67.567567567567565</c:v>
                </c:pt>
                <c:pt idx="1">
                  <c:v>44.44444444444445</c:v>
                </c:pt>
                <c:pt idx="2">
                  <c:v>48</c:v>
                </c:pt>
                <c:pt idx="3">
                  <c:v>48</c:v>
                </c:pt>
                <c:pt idx="4">
                  <c:v>64.285714285714292</c:v>
                </c:pt>
                <c:pt idx="5">
                  <c:v>76</c:v>
                </c:pt>
              </c:numCache>
            </c:numRef>
          </c:yVal>
          <c:smooth val="0"/>
          <c:extLst>
            <c:ext xmlns:c16="http://schemas.microsoft.com/office/drawing/2014/chart" uri="{C3380CC4-5D6E-409C-BE32-E72D297353CC}">
              <c16:uniqueId val="{00000002-0EA5-433F-857C-5BDD2275DE29}"/>
            </c:ext>
          </c:extLst>
        </c:ser>
        <c:dLbls>
          <c:showLegendKey val="0"/>
          <c:showVal val="0"/>
          <c:showCatName val="0"/>
          <c:showSerName val="0"/>
          <c:showPercent val="0"/>
          <c:showBubbleSize val="0"/>
        </c:dLbls>
        <c:axId val="1352770015"/>
        <c:axId val="1352776671"/>
      </c:scatterChart>
      <c:catAx>
        <c:axId val="1342080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1342083039"/>
        <c:crosses val="autoZero"/>
        <c:auto val="1"/>
        <c:lblAlgn val="ctr"/>
        <c:lblOffset val="100"/>
        <c:noMultiLvlLbl val="0"/>
      </c:catAx>
      <c:valAx>
        <c:axId val="13420830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mil. kusov</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1342080959"/>
        <c:crosses val="autoZero"/>
        <c:crossBetween val="between"/>
      </c:valAx>
      <c:valAx>
        <c:axId val="1352776671"/>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1352770015"/>
        <c:crosses val="max"/>
        <c:crossBetween val="midCat"/>
      </c:valAx>
      <c:valAx>
        <c:axId val="1352770015"/>
        <c:scaling>
          <c:orientation val="minMax"/>
        </c:scaling>
        <c:delete val="1"/>
        <c:axPos val="b"/>
        <c:majorTickMark val="out"/>
        <c:minorTickMark val="none"/>
        <c:tickLblPos val="nextTo"/>
        <c:crossAx val="1352776671"/>
        <c:crosses val="autoZero"/>
        <c:crossBetween val="midCat"/>
      </c:valAx>
      <c:spPr>
        <a:noFill/>
        <a:ln>
          <a:noFill/>
        </a:ln>
        <a:effectLst/>
      </c:spPr>
    </c:plotArea>
    <c:legend>
      <c:legendPos val="b"/>
      <c:layout>
        <c:manualLayout>
          <c:xMode val="edge"/>
          <c:yMode val="edge"/>
          <c:x val="0.10070154309117529"/>
          <c:y val="0.88047408136482941"/>
          <c:w val="0.79431242367197674"/>
          <c:h val="0.1195259186351706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Narrow" panose="020B0606020202030204" pitchFamily="34" charset="0"/>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890564751285033E-2"/>
          <c:y val="7.2751322751322747E-2"/>
          <c:w val="0.93291282316066104"/>
          <c:h val="0.79136826646669167"/>
        </c:manualLayout>
      </c:layout>
      <c:barChart>
        <c:barDir val="col"/>
        <c:grouping val="clustered"/>
        <c:varyColors val="0"/>
        <c:ser>
          <c:idx val="0"/>
          <c:order val="0"/>
          <c:tx>
            <c:strRef>
              <c:f>Hárok1!$B$1</c:f>
              <c:strCache>
                <c:ptCount val="1"/>
                <c:pt idx="0">
                  <c:v>2019 OS</c:v>
                </c:pt>
              </c:strCache>
            </c:strRef>
          </c:tx>
          <c:spPr>
            <a:solidFill>
              <a:srgbClr val="0070C0"/>
            </a:solidFill>
            <a:ln>
              <a:noFill/>
            </a:ln>
            <a:effectLst/>
          </c:spPr>
          <c:invertIfNegative val="0"/>
          <c:dPt>
            <c:idx val="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1-0CB1-4278-B6AA-36C906D7AF9D}"/>
              </c:ext>
            </c:extLst>
          </c:dPt>
          <c:dPt>
            <c:idx val="5"/>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0CB1-4278-B6AA-36C906D7AF9D}"/>
              </c:ext>
            </c:extLst>
          </c:dPt>
          <c:dPt>
            <c:idx val="10"/>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5-0CB1-4278-B6AA-36C906D7AF9D}"/>
              </c:ext>
            </c:extLst>
          </c:dPt>
          <c:dPt>
            <c:idx val="1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7-0CB1-4278-B6AA-36C906D7AF9D}"/>
              </c:ext>
            </c:extLst>
          </c:dPt>
          <c:dPt>
            <c:idx val="12"/>
            <c:invertIfNegative val="0"/>
            <c:bubble3D val="0"/>
            <c:spPr>
              <a:solidFill>
                <a:schemeClr val="accent2"/>
              </a:solidFill>
              <a:ln>
                <a:noFill/>
              </a:ln>
              <a:effectLst/>
            </c:spPr>
            <c:extLst>
              <c:ext xmlns:c16="http://schemas.microsoft.com/office/drawing/2014/chart" uri="{C3380CC4-5D6E-409C-BE32-E72D297353CC}">
                <c16:uniqueId val="{00000009-0CB1-4278-B6AA-36C906D7AF9D}"/>
              </c:ext>
            </c:extLst>
          </c:dPt>
          <c:dPt>
            <c:idx val="20"/>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B-0CB1-4278-B6AA-36C906D7AF9D}"/>
              </c:ext>
            </c:extLst>
          </c:dPt>
          <c:dLbls>
            <c:dLbl>
              <c:idx val="0"/>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CB1-4278-B6AA-36C906D7AF9D}"/>
                </c:ext>
              </c:extLst>
            </c:dLbl>
            <c:dLbl>
              <c:idx val="1"/>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B1-4278-B6AA-36C906D7AF9D}"/>
                </c:ext>
              </c:extLst>
            </c:dLbl>
            <c:dLbl>
              <c:idx val="2"/>
              <c:tx>
                <c:rich>
                  <a:bodyPr/>
                  <a:lstStyle/>
                  <a:p>
                    <a:fld id="{0CCFF7BF-4983-4CA1-B1BE-B54531A1B7B2}" type="CELLRANGE">
                      <a:rPr lang="en-US"/>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0CB1-4278-B6AA-36C906D7AF9D}"/>
                </c:ext>
              </c:extLst>
            </c:dLbl>
            <c:dLbl>
              <c:idx val="3"/>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CB1-4278-B6AA-36C906D7AF9D}"/>
                </c:ext>
              </c:extLst>
            </c:dLbl>
            <c:dLbl>
              <c:idx val="4"/>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CB1-4278-B6AA-36C906D7AF9D}"/>
                </c:ext>
              </c:extLst>
            </c:dLbl>
            <c:dLbl>
              <c:idx val="5"/>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B1-4278-B6AA-36C906D7AF9D}"/>
                </c:ext>
              </c:extLst>
            </c:dLbl>
            <c:dLbl>
              <c:idx val="6"/>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CB1-4278-B6AA-36C906D7AF9D}"/>
                </c:ext>
              </c:extLst>
            </c:dLbl>
            <c:dLbl>
              <c:idx val="7"/>
              <c:tx>
                <c:rich>
                  <a:bodyPr/>
                  <a:lstStyle/>
                  <a:p>
                    <a:fld id="{DE099178-8822-44D8-B0BF-62068A3F4461}"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0CB1-4278-B6AA-36C906D7AF9D}"/>
                </c:ext>
              </c:extLst>
            </c:dLbl>
            <c:dLbl>
              <c:idx val="8"/>
              <c:tx>
                <c:rich>
                  <a:bodyPr/>
                  <a:lstStyle/>
                  <a:p>
                    <a:fld id="{1251AC17-EBC5-4D4F-8C72-220408BEAB8F}"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0CB1-4278-B6AA-36C906D7AF9D}"/>
                </c:ext>
              </c:extLst>
            </c:dLbl>
            <c:dLbl>
              <c:idx val="9"/>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CB1-4278-B6AA-36C906D7AF9D}"/>
                </c:ext>
              </c:extLst>
            </c:dLbl>
            <c:dLbl>
              <c:idx val="1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B1-4278-B6AA-36C906D7AF9D}"/>
                </c:ext>
              </c:extLst>
            </c:dLbl>
            <c:dLbl>
              <c:idx val="11"/>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B1-4278-B6AA-36C906D7AF9D}"/>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CB1-4278-B6AA-36C906D7AF9D}"/>
                </c:ext>
              </c:extLst>
            </c:dLbl>
            <c:dLbl>
              <c:idx val="13"/>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CB1-4278-B6AA-36C906D7AF9D}"/>
                </c:ext>
              </c:extLst>
            </c:dLbl>
            <c:dLbl>
              <c:idx val="14"/>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CB1-4278-B6AA-36C906D7AF9D}"/>
                </c:ext>
              </c:extLst>
            </c:dLbl>
            <c:dLbl>
              <c:idx val="15"/>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CB1-4278-B6AA-36C906D7AF9D}"/>
                </c:ext>
              </c:extLst>
            </c:dLbl>
            <c:dLbl>
              <c:idx val="16"/>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CB1-4278-B6AA-36C906D7AF9D}"/>
                </c:ext>
              </c:extLst>
            </c:dLbl>
            <c:dLbl>
              <c:idx val="17"/>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CB1-4278-B6AA-36C906D7AF9D}"/>
                </c:ext>
              </c:extLst>
            </c:dLbl>
            <c:dLbl>
              <c:idx val="18"/>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CB1-4278-B6AA-36C906D7AF9D}"/>
                </c:ext>
              </c:extLst>
            </c:dLbl>
            <c:dLbl>
              <c:idx val="19"/>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CB1-4278-B6AA-36C906D7AF9D}"/>
                </c:ext>
              </c:extLst>
            </c:dLbl>
            <c:dLbl>
              <c:idx val="2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CB1-4278-B6AA-36C906D7AF9D}"/>
                </c:ext>
              </c:extLst>
            </c:dLbl>
            <c:dLbl>
              <c:idx val="21"/>
              <c:delete val="1"/>
              <c:extLst>
                <c:ext xmlns:c15="http://schemas.microsoft.com/office/drawing/2012/chart" uri="{CE6537A1-D6FC-4f65-9D91-7224C49458BB}"/>
                <c:ext xmlns:c16="http://schemas.microsoft.com/office/drawing/2014/chart" uri="{C3380CC4-5D6E-409C-BE32-E72D297353CC}">
                  <c16:uniqueId val="{0000001B-0CB1-4278-B6AA-36C906D7AF9D}"/>
                </c:ext>
              </c:extLst>
            </c:dLbl>
            <c:dLbl>
              <c:idx val="22"/>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0CB1-4278-B6AA-36C906D7AF9D}"/>
                </c:ext>
              </c:extLst>
            </c:dLbl>
            <c:dLbl>
              <c:idx val="23"/>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0CB1-4278-B6AA-36C906D7AF9D}"/>
                </c:ext>
              </c:extLst>
            </c:dLbl>
            <c:dLbl>
              <c:idx val="24"/>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0CB1-4278-B6AA-36C906D7AF9D}"/>
                </c:ext>
              </c:extLst>
            </c:dLbl>
            <c:dLbl>
              <c:idx val="25"/>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0CB1-4278-B6AA-36C906D7AF9D}"/>
                </c:ext>
              </c:extLst>
            </c:dLbl>
            <c:dLbl>
              <c:idx val="26"/>
              <c:delete val="1"/>
              <c:extLst>
                <c:ext xmlns:c15="http://schemas.microsoft.com/office/drawing/2012/chart" uri="{CE6537A1-D6FC-4f65-9D91-7224C49458BB}"/>
                <c:ext xmlns:c16="http://schemas.microsoft.com/office/drawing/2014/chart" uri="{C3380CC4-5D6E-409C-BE32-E72D297353CC}">
                  <c16:uniqueId val="{00000020-0CB1-4278-B6AA-36C906D7AF9D}"/>
                </c:ext>
              </c:extLst>
            </c:dLbl>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0CB1-4278-B6AA-36C906D7AF9D}"/>
                </c:ext>
              </c:extLst>
            </c:dLbl>
            <c:dLbl>
              <c:idx val="28"/>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0CB1-4278-B6AA-36C906D7AF9D}"/>
                </c:ext>
              </c:extLst>
            </c:dLbl>
            <c:dLbl>
              <c:idx val="2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0CB1-4278-B6AA-36C906D7AF9D}"/>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Hárok1!$A$2:$A$29</c:f>
              <c:strCache>
                <c:ptCount val="28"/>
                <c:pt idx="0">
                  <c:v>IE</c:v>
                </c:pt>
                <c:pt idx="1">
                  <c:v>HU</c:v>
                </c:pt>
                <c:pt idx="2">
                  <c:v>MT</c:v>
                </c:pt>
                <c:pt idx="3">
                  <c:v>EE</c:v>
                </c:pt>
                <c:pt idx="4">
                  <c:v>RO</c:v>
                </c:pt>
                <c:pt idx="5">
                  <c:v>PL</c:v>
                </c:pt>
                <c:pt idx="6">
                  <c:v>LT</c:v>
                </c:pt>
                <c:pt idx="7">
                  <c:v>BG</c:v>
                </c:pt>
                <c:pt idx="8">
                  <c:v>CY</c:v>
                </c:pt>
                <c:pt idx="9">
                  <c:v>HR</c:v>
                </c:pt>
                <c:pt idx="10">
                  <c:v>SI</c:v>
                </c:pt>
                <c:pt idx="11">
                  <c:v>CZ</c:v>
                </c:pt>
                <c:pt idx="12">
                  <c:v>SK</c:v>
                </c:pt>
                <c:pt idx="13">
                  <c:v>DK</c:v>
                </c:pt>
                <c:pt idx="14">
                  <c:v>LV</c:v>
                </c:pt>
                <c:pt idx="15">
                  <c:v>LU</c:v>
                </c:pt>
                <c:pt idx="16">
                  <c:v>PT</c:v>
                </c:pt>
                <c:pt idx="17">
                  <c:v>ES</c:v>
                </c:pt>
                <c:pt idx="18">
                  <c:v>EL</c:v>
                </c:pt>
                <c:pt idx="19">
                  <c:v>NL</c:v>
                </c:pt>
                <c:pt idx="20">
                  <c:v>AT</c:v>
                </c:pt>
                <c:pt idx="21">
                  <c:v>UK</c:v>
                </c:pt>
                <c:pt idx="22">
                  <c:v>BE</c:v>
                </c:pt>
                <c:pt idx="23">
                  <c:v>FR</c:v>
                </c:pt>
                <c:pt idx="24">
                  <c:v>SE</c:v>
                </c:pt>
                <c:pt idx="25">
                  <c:v>FI</c:v>
                </c:pt>
                <c:pt idx="26">
                  <c:v>DE</c:v>
                </c:pt>
                <c:pt idx="27">
                  <c:v>IT</c:v>
                </c:pt>
              </c:strCache>
            </c:strRef>
          </c:cat>
          <c:val>
            <c:numRef>
              <c:f>Hárok1!$B$2:$B$29</c:f>
              <c:numCache>
                <c:formatCode>General</c:formatCode>
                <c:ptCount val="28"/>
                <c:pt idx="0">
                  <c:v>5.58</c:v>
                </c:pt>
                <c:pt idx="1">
                  <c:v>4.95</c:v>
                </c:pt>
                <c:pt idx="2">
                  <c:v>4.43</c:v>
                </c:pt>
                <c:pt idx="3">
                  <c:v>4.38</c:v>
                </c:pt>
                <c:pt idx="4">
                  <c:v>4.2</c:v>
                </c:pt>
                <c:pt idx="5">
                  <c:v>4.13</c:v>
                </c:pt>
                <c:pt idx="6">
                  <c:v>3.9</c:v>
                </c:pt>
                <c:pt idx="7">
                  <c:v>3.4</c:v>
                </c:pt>
                <c:pt idx="8">
                  <c:v>3.23</c:v>
                </c:pt>
                <c:pt idx="9">
                  <c:v>2.98</c:v>
                </c:pt>
                <c:pt idx="10">
                  <c:v>2.4</c:v>
                </c:pt>
                <c:pt idx="11">
                  <c:v>2.38</c:v>
                </c:pt>
                <c:pt idx="12">
                  <c:v>2.2999999999999998</c:v>
                </c:pt>
                <c:pt idx="13">
                  <c:v>2.25</c:v>
                </c:pt>
                <c:pt idx="14">
                  <c:v>2.2000000000000002</c:v>
                </c:pt>
                <c:pt idx="15">
                  <c:v>2.17</c:v>
                </c:pt>
                <c:pt idx="16">
                  <c:v>2.15</c:v>
                </c:pt>
                <c:pt idx="17">
                  <c:v>1.98</c:v>
                </c:pt>
                <c:pt idx="18">
                  <c:v>1.93</c:v>
                </c:pt>
                <c:pt idx="19">
                  <c:v>1.68</c:v>
                </c:pt>
                <c:pt idx="20">
                  <c:v>1.5</c:v>
                </c:pt>
                <c:pt idx="21">
                  <c:v>1.4</c:v>
                </c:pt>
                <c:pt idx="22">
                  <c:v>1.35</c:v>
                </c:pt>
                <c:pt idx="23">
                  <c:v>1.3</c:v>
                </c:pt>
                <c:pt idx="24">
                  <c:v>1.28</c:v>
                </c:pt>
                <c:pt idx="25">
                  <c:v>0.98</c:v>
                </c:pt>
                <c:pt idx="26">
                  <c:v>0.6</c:v>
                </c:pt>
                <c:pt idx="27">
                  <c:v>0.3</c:v>
                </c:pt>
              </c:numCache>
            </c:numRef>
          </c:val>
          <c:extLst>
            <c:ext xmlns:c15="http://schemas.microsoft.com/office/drawing/2012/chart" uri="{02D57815-91ED-43cb-92C2-25804820EDAC}">
              <c15:datalabelsRange>
                <c15:f>Hárok1!$E$3:$E$12</c15:f>
                <c15:dlblRangeCache>
                  <c:ptCount val="10"/>
                </c15:dlblRangeCache>
              </c15:datalabelsRange>
            </c:ext>
            <c:ext xmlns:c16="http://schemas.microsoft.com/office/drawing/2014/chart" uri="{C3380CC4-5D6E-409C-BE32-E72D297353CC}">
              <c16:uniqueId val="{00000024-0CB1-4278-B6AA-36C906D7AF9D}"/>
            </c:ext>
          </c:extLst>
        </c:ser>
        <c:dLbls>
          <c:showLegendKey val="0"/>
          <c:showVal val="1"/>
          <c:showCatName val="0"/>
          <c:showSerName val="0"/>
          <c:showPercent val="0"/>
          <c:showBubbleSize val="0"/>
        </c:dLbls>
        <c:gapWidth val="75"/>
        <c:axId val="74318240"/>
        <c:axId val="2092458832"/>
      </c:barChart>
      <c:lineChart>
        <c:grouping val="standard"/>
        <c:varyColors val="0"/>
        <c:ser>
          <c:idx val="1"/>
          <c:order val="1"/>
          <c:tx>
            <c:strRef>
              <c:f>Hárok1!$C$1</c:f>
              <c:strCache>
                <c:ptCount val="1"/>
                <c:pt idx="0">
                  <c:v>EÚ 27</c:v>
                </c:pt>
              </c:strCache>
            </c:strRef>
          </c:tx>
          <c:spPr>
            <a:ln w="25400" cap="rnd">
              <a:solidFill>
                <a:schemeClr val="tx1"/>
              </a:solidFill>
              <a:prstDash val="sysDot"/>
              <a:round/>
            </a:ln>
            <a:effectLst/>
          </c:spPr>
          <c:marker>
            <c:symbol val="none"/>
          </c:marker>
          <c:cat>
            <c:strRef>
              <c:f>Hárok1!$A$2:$A$29</c:f>
              <c:strCache>
                <c:ptCount val="28"/>
                <c:pt idx="0">
                  <c:v>IE</c:v>
                </c:pt>
                <c:pt idx="1">
                  <c:v>HU</c:v>
                </c:pt>
                <c:pt idx="2">
                  <c:v>MT</c:v>
                </c:pt>
                <c:pt idx="3">
                  <c:v>EE</c:v>
                </c:pt>
                <c:pt idx="4">
                  <c:v>RO</c:v>
                </c:pt>
                <c:pt idx="5">
                  <c:v>PL</c:v>
                </c:pt>
                <c:pt idx="6">
                  <c:v>LT</c:v>
                </c:pt>
                <c:pt idx="7">
                  <c:v>BG</c:v>
                </c:pt>
                <c:pt idx="8">
                  <c:v>CY</c:v>
                </c:pt>
                <c:pt idx="9">
                  <c:v>HR</c:v>
                </c:pt>
                <c:pt idx="10">
                  <c:v>SI</c:v>
                </c:pt>
                <c:pt idx="11">
                  <c:v>CZ</c:v>
                </c:pt>
                <c:pt idx="12">
                  <c:v>SK</c:v>
                </c:pt>
                <c:pt idx="13">
                  <c:v>DK</c:v>
                </c:pt>
                <c:pt idx="14">
                  <c:v>LV</c:v>
                </c:pt>
                <c:pt idx="15">
                  <c:v>LU</c:v>
                </c:pt>
                <c:pt idx="16">
                  <c:v>PT</c:v>
                </c:pt>
                <c:pt idx="17">
                  <c:v>ES</c:v>
                </c:pt>
                <c:pt idx="18">
                  <c:v>EL</c:v>
                </c:pt>
                <c:pt idx="19">
                  <c:v>NL</c:v>
                </c:pt>
                <c:pt idx="20">
                  <c:v>AT</c:v>
                </c:pt>
                <c:pt idx="21">
                  <c:v>UK</c:v>
                </c:pt>
                <c:pt idx="22">
                  <c:v>BE</c:v>
                </c:pt>
                <c:pt idx="23">
                  <c:v>FR</c:v>
                </c:pt>
                <c:pt idx="24">
                  <c:v>SE</c:v>
                </c:pt>
                <c:pt idx="25">
                  <c:v>FI</c:v>
                </c:pt>
                <c:pt idx="26">
                  <c:v>DE</c:v>
                </c:pt>
                <c:pt idx="27">
                  <c:v>IT</c:v>
                </c:pt>
              </c:strCache>
            </c:strRef>
          </c:cat>
          <c:val>
            <c:numRef>
              <c:f>Hárok1!$C$2:$C$29</c:f>
              <c:numCache>
                <c:formatCode>General</c:formatCode>
                <c:ptCount val="28"/>
                <c:pt idx="0">
                  <c:v>1.48</c:v>
                </c:pt>
                <c:pt idx="1">
                  <c:v>1.48</c:v>
                </c:pt>
                <c:pt idx="2">
                  <c:v>1.48</c:v>
                </c:pt>
                <c:pt idx="3">
                  <c:v>1.48</c:v>
                </c:pt>
                <c:pt idx="4">
                  <c:v>1.48</c:v>
                </c:pt>
                <c:pt idx="5">
                  <c:v>1.48</c:v>
                </c:pt>
                <c:pt idx="6">
                  <c:v>1.48</c:v>
                </c:pt>
                <c:pt idx="7">
                  <c:v>1.48</c:v>
                </c:pt>
                <c:pt idx="8">
                  <c:v>1.48</c:v>
                </c:pt>
                <c:pt idx="9">
                  <c:v>1.48</c:v>
                </c:pt>
                <c:pt idx="10">
                  <c:v>1.48</c:v>
                </c:pt>
                <c:pt idx="11">
                  <c:v>1.48</c:v>
                </c:pt>
                <c:pt idx="12">
                  <c:v>1.48</c:v>
                </c:pt>
                <c:pt idx="13">
                  <c:v>1.48</c:v>
                </c:pt>
                <c:pt idx="14">
                  <c:v>1.48</c:v>
                </c:pt>
                <c:pt idx="15">
                  <c:v>1.48</c:v>
                </c:pt>
                <c:pt idx="16">
                  <c:v>1.48</c:v>
                </c:pt>
                <c:pt idx="17">
                  <c:v>1.48</c:v>
                </c:pt>
                <c:pt idx="18">
                  <c:v>1.48</c:v>
                </c:pt>
                <c:pt idx="19">
                  <c:v>1.48</c:v>
                </c:pt>
                <c:pt idx="20">
                  <c:v>1.48</c:v>
                </c:pt>
                <c:pt idx="21">
                  <c:v>1.48</c:v>
                </c:pt>
                <c:pt idx="22">
                  <c:v>1.48</c:v>
                </c:pt>
                <c:pt idx="23">
                  <c:v>1.48</c:v>
                </c:pt>
                <c:pt idx="24">
                  <c:v>1.48</c:v>
                </c:pt>
                <c:pt idx="25">
                  <c:v>1.48</c:v>
                </c:pt>
                <c:pt idx="26">
                  <c:v>1.48</c:v>
                </c:pt>
                <c:pt idx="27">
                  <c:v>1.48</c:v>
                </c:pt>
              </c:numCache>
            </c:numRef>
          </c:val>
          <c:smooth val="0"/>
          <c:extLst>
            <c:ext xmlns:c16="http://schemas.microsoft.com/office/drawing/2014/chart" uri="{C3380CC4-5D6E-409C-BE32-E72D297353CC}">
              <c16:uniqueId val="{0000000D-1D6E-4F2A-A263-B583D7043F0D}"/>
            </c:ext>
          </c:extLst>
        </c:ser>
        <c:ser>
          <c:idx val="2"/>
          <c:order val="2"/>
          <c:tx>
            <c:strRef>
              <c:f>Hárok1!$D$1</c:f>
              <c:strCache>
                <c:ptCount val="1"/>
                <c:pt idx="0">
                  <c:v>EÚ 19</c:v>
                </c:pt>
              </c:strCache>
            </c:strRef>
          </c:tx>
          <c:spPr>
            <a:ln w="12700" cap="rnd">
              <a:solidFill>
                <a:schemeClr val="tx1"/>
              </a:solidFill>
              <a:prstDash val="dash"/>
              <a:round/>
            </a:ln>
            <a:effectLst/>
          </c:spPr>
          <c:marker>
            <c:symbol val="none"/>
          </c:marker>
          <c:cat>
            <c:strRef>
              <c:f>Hárok1!$A$2:$A$29</c:f>
              <c:strCache>
                <c:ptCount val="28"/>
                <c:pt idx="0">
                  <c:v>IE</c:v>
                </c:pt>
                <c:pt idx="1">
                  <c:v>HU</c:v>
                </c:pt>
                <c:pt idx="2">
                  <c:v>MT</c:v>
                </c:pt>
                <c:pt idx="3">
                  <c:v>EE</c:v>
                </c:pt>
                <c:pt idx="4">
                  <c:v>RO</c:v>
                </c:pt>
                <c:pt idx="5">
                  <c:v>PL</c:v>
                </c:pt>
                <c:pt idx="6">
                  <c:v>LT</c:v>
                </c:pt>
                <c:pt idx="7">
                  <c:v>BG</c:v>
                </c:pt>
                <c:pt idx="8">
                  <c:v>CY</c:v>
                </c:pt>
                <c:pt idx="9">
                  <c:v>HR</c:v>
                </c:pt>
                <c:pt idx="10">
                  <c:v>SI</c:v>
                </c:pt>
                <c:pt idx="11">
                  <c:v>CZ</c:v>
                </c:pt>
                <c:pt idx="12">
                  <c:v>SK</c:v>
                </c:pt>
                <c:pt idx="13">
                  <c:v>DK</c:v>
                </c:pt>
                <c:pt idx="14">
                  <c:v>LV</c:v>
                </c:pt>
                <c:pt idx="15">
                  <c:v>LU</c:v>
                </c:pt>
                <c:pt idx="16">
                  <c:v>PT</c:v>
                </c:pt>
                <c:pt idx="17">
                  <c:v>ES</c:v>
                </c:pt>
                <c:pt idx="18">
                  <c:v>EL</c:v>
                </c:pt>
                <c:pt idx="19">
                  <c:v>NL</c:v>
                </c:pt>
                <c:pt idx="20">
                  <c:v>AT</c:v>
                </c:pt>
                <c:pt idx="21">
                  <c:v>UK</c:v>
                </c:pt>
                <c:pt idx="22">
                  <c:v>BE</c:v>
                </c:pt>
                <c:pt idx="23">
                  <c:v>FR</c:v>
                </c:pt>
                <c:pt idx="24">
                  <c:v>SE</c:v>
                </c:pt>
                <c:pt idx="25">
                  <c:v>FI</c:v>
                </c:pt>
                <c:pt idx="26">
                  <c:v>DE</c:v>
                </c:pt>
                <c:pt idx="27">
                  <c:v>IT</c:v>
                </c:pt>
              </c:strCache>
            </c:strRef>
          </c:cat>
          <c:val>
            <c:numRef>
              <c:f>Hárok1!$D$2:$D$29</c:f>
              <c:numCache>
                <c:formatCode>General</c:formatCode>
                <c:ptCount val="28"/>
                <c:pt idx="0">
                  <c:v>1.23</c:v>
                </c:pt>
                <c:pt idx="1">
                  <c:v>1.23</c:v>
                </c:pt>
                <c:pt idx="2">
                  <c:v>1.23</c:v>
                </c:pt>
                <c:pt idx="3">
                  <c:v>1.23</c:v>
                </c:pt>
                <c:pt idx="4">
                  <c:v>1.23</c:v>
                </c:pt>
                <c:pt idx="5">
                  <c:v>1.23</c:v>
                </c:pt>
                <c:pt idx="6">
                  <c:v>1.23</c:v>
                </c:pt>
                <c:pt idx="7">
                  <c:v>1.23</c:v>
                </c:pt>
                <c:pt idx="8">
                  <c:v>1.23</c:v>
                </c:pt>
                <c:pt idx="9">
                  <c:v>1.23</c:v>
                </c:pt>
                <c:pt idx="10">
                  <c:v>1.23</c:v>
                </c:pt>
                <c:pt idx="11">
                  <c:v>1.23</c:v>
                </c:pt>
                <c:pt idx="12">
                  <c:v>1.23</c:v>
                </c:pt>
                <c:pt idx="13">
                  <c:v>1.23</c:v>
                </c:pt>
                <c:pt idx="14">
                  <c:v>1.23</c:v>
                </c:pt>
                <c:pt idx="15">
                  <c:v>1.23</c:v>
                </c:pt>
                <c:pt idx="16">
                  <c:v>1.23</c:v>
                </c:pt>
                <c:pt idx="17">
                  <c:v>1.23</c:v>
                </c:pt>
                <c:pt idx="18">
                  <c:v>1.23</c:v>
                </c:pt>
                <c:pt idx="19">
                  <c:v>1.23</c:v>
                </c:pt>
                <c:pt idx="20">
                  <c:v>1.23</c:v>
                </c:pt>
                <c:pt idx="21">
                  <c:v>1.23</c:v>
                </c:pt>
                <c:pt idx="22">
                  <c:v>1.23</c:v>
                </c:pt>
                <c:pt idx="23">
                  <c:v>1.23</c:v>
                </c:pt>
                <c:pt idx="24">
                  <c:v>1.23</c:v>
                </c:pt>
                <c:pt idx="25">
                  <c:v>1.23</c:v>
                </c:pt>
                <c:pt idx="26">
                  <c:v>1.23</c:v>
                </c:pt>
                <c:pt idx="27">
                  <c:v>1.23</c:v>
                </c:pt>
              </c:numCache>
            </c:numRef>
          </c:val>
          <c:smooth val="0"/>
          <c:extLst>
            <c:ext xmlns:c16="http://schemas.microsoft.com/office/drawing/2014/chart" uri="{C3380CC4-5D6E-409C-BE32-E72D297353CC}">
              <c16:uniqueId val="{0000000E-1D6E-4F2A-A263-B583D7043F0D}"/>
            </c:ext>
          </c:extLst>
        </c:ser>
        <c:dLbls>
          <c:showLegendKey val="0"/>
          <c:showVal val="0"/>
          <c:showCatName val="0"/>
          <c:showSerName val="0"/>
          <c:showPercent val="0"/>
          <c:showBubbleSize val="0"/>
        </c:dLbls>
        <c:marker val="1"/>
        <c:smooth val="0"/>
        <c:axId val="74318240"/>
        <c:axId val="2092458832"/>
      </c:lineChart>
      <c:catAx>
        <c:axId val="743182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2092458832"/>
        <c:crosses val="autoZero"/>
        <c:auto val="1"/>
        <c:lblAlgn val="ctr"/>
        <c:lblOffset val="100"/>
        <c:noMultiLvlLbl val="0"/>
      </c:catAx>
      <c:valAx>
        <c:axId val="2092458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 HDP</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74318240"/>
        <c:crosses val="autoZero"/>
        <c:crossBetween val="between"/>
      </c:valAx>
      <c:spPr>
        <a:noFill/>
        <a:ln>
          <a:noFill/>
        </a:ln>
        <a:effectLst/>
      </c:spPr>
    </c:plotArea>
    <c:legend>
      <c:legendPos val="r"/>
      <c:layout>
        <c:manualLayout>
          <c:xMode val="edge"/>
          <c:yMode val="edge"/>
          <c:x val="0.84631158213578406"/>
          <c:y val="4.2776423780360812E-2"/>
          <c:w val="0.1449851976727452"/>
          <c:h val="0.3192085364329458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Narrow" panose="020B0606020202030204" pitchFamily="34" charset="0"/>
        </a:defRPr>
      </a:pPr>
      <a:endParaRPr lang="sk-SK"/>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075539839504392E-2"/>
          <c:y val="7.857142857142857E-2"/>
          <c:w val="0.92592446016049557"/>
          <c:h val="0.62931271091113605"/>
        </c:manualLayout>
      </c:layout>
      <c:barChart>
        <c:barDir val="col"/>
        <c:grouping val="clustered"/>
        <c:varyColors val="0"/>
        <c:ser>
          <c:idx val="0"/>
          <c:order val="0"/>
          <c:tx>
            <c:strRef>
              <c:f>Hárok1!$C$37</c:f>
              <c:strCache>
                <c:ptCount val="1"/>
                <c:pt idx="0">
                  <c:v>Rozpočtovaný objem finančných prostriedkov</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Hárok1!$D$36:$J$36</c:f>
              <c:numCache>
                <c:formatCode>General</c:formatCode>
                <c:ptCount val="7"/>
                <c:pt idx="0">
                  <c:v>2014</c:v>
                </c:pt>
                <c:pt idx="1">
                  <c:v>2015</c:v>
                </c:pt>
                <c:pt idx="2">
                  <c:v>2016</c:v>
                </c:pt>
                <c:pt idx="3">
                  <c:v>2017</c:v>
                </c:pt>
                <c:pt idx="4">
                  <c:v>2018</c:v>
                </c:pt>
                <c:pt idx="5">
                  <c:v>2019</c:v>
                </c:pt>
                <c:pt idx="6">
                  <c:v>2020</c:v>
                </c:pt>
              </c:numCache>
            </c:numRef>
          </c:cat>
          <c:val>
            <c:numRef>
              <c:f>Hárok1!$D$37:$J$37</c:f>
              <c:numCache>
                <c:formatCode>0.0</c:formatCode>
                <c:ptCount val="7"/>
                <c:pt idx="0">
                  <c:v>6.5342710000000004</c:v>
                </c:pt>
                <c:pt idx="1">
                  <c:v>6.5342710000000004</c:v>
                </c:pt>
                <c:pt idx="2">
                  <c:v>6.4822709999999999</c:v>
                </c:pt>
                <c:pt idx="3">
                  <c:v>6.4880709999999997</c:v>
                </c:pt>
                <c:pt idx="4">
                  <c:v>10.493570999999999</c:v>
                </c:pt>
                <c:pt idx="5">
                  <c:v>14.493570999999999</c:v>
                </c:pt>
                <c:pt idx="6">
                  <c:v>6.4935710000000002</c:v>
                </c:pt>
              </c:numCache>
            </c:numRef>
          </c:val>
          <c:extLst>
            <c:ext xmlns:c16="http://schemas.microsoft.com/office/drawing/2014/chart" uri="{C3380CC4-5D6E-409C-BE32-E72D297353CC}">
              <c16:uniqueId val="{00000000-EC5D-4B09-9CE9-D97B1814356B}"/>
            </c:ext>
          </c:extLst>
        </c:ser>
        <c:ser>
          <c:idx val="1"/>
          <c:order val="1"/>
          <c:tx>
            <c:strRef>
              <c:f>Hárok1!$C$38</c:f>
              <c:strCache>
                <c:ptCount val="1"/>
                <c:pt idx="0">
                  <c:v>Skutočne čerpaný objem finančných prostriedkov*</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Hárok1!$D$36:$J$36</c:f>
              <c:numCache>
                <c:formatCode>General</c:formatCode>
                <c:ptCount val="7"/>
                <c:pt idx="0">
                  <c:v>2014</c:v>
                </c:pt>
                <c:pt idx="1">
                  <c:v>2015</c:v>
                </c:pt>
                <c:pt idx="2">
                  <c:v>2016</c:v>
                </c:pt>
                <c:pt idx="3">
                  <c:v>2017</c:v>
                </c:pt>
                <c:pt idx="4">
                  <c:v>2018</c:v>
                </c:pt>
                <c:pt idx="5">
                  <c:v>2019</c:v>
                </c:pt>
                <c:pt idx="6">
                  <c:v>2020</c:v>
                </c:pt>
              </c:numCache>
            </c:numRef>
          </c:cat>
          <c:val>
            <c:numRef>
              <c:f>Hárok1!$D$38:$J$38</c:f>
              <c:numCache>
                <c:formatCode>0.0</c:formatCode>
                <c:ptCount val="7"/>
                <c:pt idx="0">
                  <c:v>6.5405443300000004</c:v>
                </c:pt>
                <c:pt idx="1">
                  <c:v>7.1475035700000005</c:v>
                </c:pt>
                <c:pt idx="2">
                  <c:v>6.38964614</c:v>
                </c:pt>
                <c:pt idx="3">
                  <c:v>6.0477432899999997</c:v>
                </c:pt>
                <c:pt idx="4">
                  <c:v>9.8925367299999998</c:v>
                </c:pt>
                <c:pt idx="5">
                  <c:v>12.250606039999999</c:v>
                </c:pt>
              </c:numCache>
            </c:numRef>
          </c:val>
          <c:extLst>
            <c:ext xmlns:c16="http://schemas.microsoft.com/office/drawing/2014/chart" uri="{C3380CC4-5D6E-409C-BE32-E72D297353CC}">
              <c16:uniqueId val="{00000001-EC5D-4B09-9CE9-D97B1814356B}"/>
            </c:ext>
          </c:extLst>
        </c:ser>
        <c:ser>
          <c:idx val="2"/>
          <c:order val="2"/>
          <c:tx>
            <c:strRef>
              <c:f>Hárok1!$C$39</c:f>
              <c:strCache>
                <c:ptCount val="1"/>
                <c:pt idx="0">
                  <c:v>z toho príspevky školám na nákup učebníc</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Hárok1!$D$36:$J$36</c:f>
              <c:numCache>
                <c:formatCode>General</c:formatCode>
                <c:ptCount val="7"/>
                <c:pt idx="0">
                  <c:v>2014</c:v>
                </c:pt>
                <c:pt idx="1">
                  <c:v>2015</c:v>
                </c:pt>
                <c:pt idx="2">
                  <c:v>2016</c:v>
                </c:pt>
                <c:pt idx="3">
                  <c:v>2017</c:v>
                </c:pt>
                <c:pt idx="4">
                  <c:v>2018</c:v>
                </c:pt>
                <c:pt idx="5">
                  <c:v>2019</c:v>
                </c:pt>
                <c:pt idx="6">
                  <c:v>2020</c:v>
                </c:pt>
              </c:numCache>
            </c:numRef>
          </c:cat>
          <c:val>
            <c:numRef>
              <c:f>Hárok1!$D$39:$J$39</c:f>
              <c:numCache>
                <c:formatCode>0.0</c:formatCode>
                <c:ptCount val="7"/>
                <c:pt idx="1">
                  <c:v>1.5786089999999999</c:v>
                </c:pt>
                <c:pt idx="2">
                  <c:v>2.2371279999999998</c:v>
                </c:pt>
                <c:pt idx="3">
                  <c:v>0.441135</c:v>
                </c:pt>
                <c:pt idx="4">
                  <c:v>1.533417</c:v>
                </c:pt>
                <c:pt idx="5">
                  <c:v>1.9689129999999999</c:v>
                </c:pt>
              </c:numCache>
            </c:numRef>
          </c:val>
          <c:extLst>
            <c:ext xmlns:c16="http://schemas.microsoft.com/office/drawing/2014/chart" uri="{C3380CC4-5D6E-409C-BE32-E72D297353CC}">
              <c16:uniqueId val="{00000002-EC5D-4B09-9CE9-D97B1814356B}"/>
            </c:ext>
          </c:extLst>
        </c:ser>
        <c:dLbls>
          <c:showLegendKey val="0"/>
          <c:showVal val="0"/>
          <c:showCatName val="0"/>
          <c:showSerName val="0"/>
          <c:showPercent val="0"/>
          <c:showBubbleSize val="0"/>
        </c:dLbls>
        <c:gapWidth val="100"/>
        <c:overlap val="-25"/>
        <c:axId val="1613144784"/>
        <c:axId val="1613153936"/>
      </c:barChart>
      <c:catAx>
        <c:axId val="161314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1613153936"/>
        <c:crosses val="autoZero"/>
        <c:auto val="1"/>
        <c:lblAlgn val="ctr"/>
        <c:lblOffset val="100"/>
        <c:noMultiLvlLbl val="0"/>
      </c:catAx>
      <c:valAx>
        <c:axId val="1613153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m</a:t>
                </a:r>
                <a:r>
                  <a:rPr lang="en-US"/>
                  <a:t>il. eur</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1613144784"/>
        <c:crosses val="autoZero"/>
        <c:crossBetween val="between"/>
      </c:valAx>
      <c:spPr>
        <a:noFill/>
        <a:ln>
          <a:noFill/>
        </a:ln>
        <a:effectLst/>
      </c:spPr>
    </c:plotArea>
    <c:legend>
      <c:legendPos val="b"/>
      <c:layout>
        <c:manualLayout>
          <c:xMode val="edge"/>
          <c:yMode val="edge"/>
          <c:x val="7.1688493246438195E-2"/>
          <c:y val="0.83088413948256468"/>
          <c:w val="0.82616174283697563"/>
          <c:h val="0.1691158605174353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942790301277025E-2"/>
          <c:y val="5.5922724961870868E-2"/>
          <c:w val="0.92058890439471264"/>
          <c:h val="0.7143701788166158"/>
        </c:manualLayout>
      </c:layout>
      <c:barChart>
        <c:barDir val="col"/>
        <c:grouping val="clustered"/>
        <c:varyColors val="0"/>
        <c:ser>
          <c:idx val="0"/>
          <c:order val="0"/>
          <c:tx>
            <c:strRef>
              <c:f>počet_učebníc_nové!$A$7</c:f>
              <c:strCache>
                <c:ptCount val="1"/>
                <c:pt idx="0">
                  <c:v>Plán</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počet_učebníc_nové!$C$6:$J$6</c:f>
              <c:numCache>
                <c:formatCode>General</c:formatCode>
                <c:ptCount val="8"/>
                <c:pt idx="0">
                  <c:v>2014</c:v>
                </c:pt>
                <c:pt idx="1">
                  <c:v>2015</c:v>
                </c:pt>
                <c:pt idx="2">
                  <c:v>2016</c:v>
                </c:pt>
                <c:pt idx="3">
                  <c:v>2017</c:v>
                </c:pt>
                <c:pt idx="4">
                  <c:v>2018</c:v>
                </c:pt>
                <c:pt idx="5">
                  <c:v>2019</c:v>
                </c:pt>
                <c:pt idx="6">
                  <c:v>2020</c:v>
                </c:pt>
                <c:pt idx="7">
                  <c:v>2021</c:v>
                </c:pt>
              </c:numCache>
            </c:numRef>
          </c:cat>
          <c:val>
            <c:numRef>
              <c:f>počet_učebníc_nové!$C$7:$J$7</c:f>
              <c:numCache>
                <c:formatCode>General</c:formatCode>
                <c:ptCount val="8"/>
                <c:pt idx="0">
                  <c:v>50</c:v>
                </c:pt>
                <c:pt idx="1">
                  <c:v>50</c:v>
                </c:pt>
                <c:pt idx="2">
                  <c:v>50</c:v>
                </c:pt>
                <c:pt idx="3">
                  <c:v>50</c:v>
                </c:pt>
                <c:pt idx="4">
                  <c:v>50</c:v>
                </c:pt>
                <c:pt idx="5">
                  <c:v>20</c:v>
                </c:pt>
                <c:pt idx="6">
                  <c:v>20</c:v>
                </c:pt>
                <c:pt idx="7">
                  <c:v>20</c:v>
                </c:pt>
              </c:numCache>
            </c:numRef>
          </c:val>
          <c:extLst>
            <c:ext xmlns:c16="http://schemas.microsoft.com/office/drawing/2014/chart" uri="{C3380CC4-5D6E-409C-BE32-E72D297353CC}">
              <c16:uniqueId val="{00000000-BD21-4CEB-89D1-9ADD44277B80}"/>
            </c:ext>
          </c:extLst>
        </c:ser>
        <c:ser>
          <c:idx val="1"/>
          <c:order val="1"/>
          <c:tx>
            <c:strRef>
              <c:f>počet_učebníc_nové!$A$8</c:f>
              <c:strCache>
                <c:ptCount val="1"/>
                <c:pt idx="0">
                  <c:v>Skutočnosť</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počet_učebníc_nové!$C$6:$J$6</c:f>
              <c:numCache>
                <c:formatCode>General</c:formatCode>
                <c:ptCount val="8"/>
                <c:pt idx="0">
                  <c:v>2014</c:v>
                </c:pt>
                <c:pt idx="1">
                  <c:v>2015</c:v>
                </c:pt>
                <c:pt idx="2">
                  <c:v>2016</c:v>
                </c:pt>
                <c:pt idx="3">
                  <c:v>2017</c:v>
                </c:pt>
                <c:pt idx="4">
                  <c:v>2018</c:v>
                </c:pt>
                <c:pt idx="5">
                  <c:v>2019</c:v>
                </c:pt>
                <c:pt idx="6">
                  <c:v>2020</c:v>
                </c:pt>
                <c:pt idx="7">
                  <c:v>2021</c:v>
                </c:pt>
              </c:numCache>
            </c:numRef>
          </c:cat>
          <c:val>
            <c:numRef>
              <c:f>počet_učebníc_nové!$C$8:$J$8</c:f>
              <c:numCache>
                <c:formatCode>General</c:formatCode>
                <c:ptCount val="8"/>
                <c:pt idx="0">
                  <c:v>17</c:v>
                </c:pt>
                <c:pt idx="1">
                  <c:v>7</c:v>
                </c:pt>
                <c:pt idx="2">
                  <c:v>4</c:v>
                </c:pt>
                <c:pt idx="3">
                  <c:v>0</c:v>
                </c:pt>
                <c:pt idx="4">
                  <c:v>16</c:v>
                </c:pt>
                <c:pt idx="5">
                  <c:v>0</c:v>
                </c:pt>
              </c:numCache>
            </c:numRef>
          </c:val>
          <c:extLst>
            <c:ext xmlns:c16="http://schemas.microsoft.com/office/drawing/2014/chart" uri="{C3380CC4-5D6E-409C-BE32-E72D297353CC}">
              <c16:uniqueId val="{00000001-BD21-4CEB-89D1-9ADD44277B80}"/>
            </c:ext>
          </c:extLst>
        </c:ser>
        <c:dLbls>
          <c:showLegendKey val="0"/>
          <c:showVal val="0"/>
          <c:showCatName val="0"/>
          <c:showSerName val="0"/>
          <c:showPercent val="0"/>
          <c:showBubbleSize val="0"/>
        </c:dLbls>
        <c:gapWidth val="100"/>
        <c:overlap val="-25"/>
        <c:axId val="275725039"/>
        <c:axId val="275723375"/>
      </c:barChart>
      <c:catAx>
        <c:axId val="275725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275723375"/>
        <c:crosses val="autoZero"/>
        <c:auto val="1"/>
        <c:lblAlgn val="ctr"/>
        <c:lblOffset val="100"/>
        <c:noMultiLvlLbl val="0"/>
      </c:catAx>
      <c:valAx>
        <c:axId val="2757233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Počet titulov</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275725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Narrow" panose="020B0606020202030204" pitchFamily="34" charset="0"/>
        </a:defRPr>
      </a:pPr>
      <a:endParaRPr lang="sk-SK"/>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195801886631876E-2"/>
          <c:y val="3.8787878787878788E-2"/>
          <c:w val="0.89067867003005952"/>
          <c:h val="0.74015045218486997"/>
        </c:manualLayout>
      </c:layout>
      <c:lineChart>
        <c:grouping val="standard"/>
        <c:varyColors val="0"/>
        <c:ser>
          <c:idx val="0"/>
          <c:order val="0"/>
          <c:tx>
            <c:strRef>
              <c:f>'Záväzky FUN'!$A$3</c:f>
              <c:strCache>
                <c:ptCount val="1"/>
                <c:pt idx="0">
                  <c:v>Záväzky v lehote splatnosti</c:v>
                </c:pt>
              </c:strCache>
            </c:strRef>
          </c:tx>
          <c:spPr>
            <a:ln w="28575" cap="rnd">
              <a:solidFill>
                <a:schemeClr val="accent1">
                  <a:shade val="65000"/>
                </a:schemeClr>
              </a:solidFill>
              <a:round/>
            </a:ln>
            <a:effectLst/>
          </c:spPr>
          <c:marker>
            <c:symbol val="circle"/>
            <c:size val="5"/>
            <c:spPr>
              <a:solidFill>
                <a:schemeClr val="accent1">
                  <a:shade val="65000"/>
                </a:schemeClr>
              </a:solidFill>
              <a:ln w="9525">
                <a:solidFill>
                  <a:schemeClr val="accent1">
                    <a:shade val="65000"/>
                  </a:schemeClr>
                </a:solidFill>
              </a:ln>
              <a:effectLst/>
            </c:spPr>
          </c:marker>
          <c:dLbls>
            <c:dLbl>
              <c:idx val="0"/>
              <c:layout>
                <c:manualLayout>
                  <c:x val="-3.7242837820408964E-2"/>
                  <c:y val="-4.56647732549529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83-4FDF-AC01-654FD894430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'Záväzky FUN'!$B$2:$H$2</c:f>
              <c:numCache>
                <c:formatCode>General</c:formatCode>
                <c:ptCount val="7"/>
                <c:pt idx="0">
                  <c:v>2013</c:v>
                </c:pt>
                <c:pt idx="1">
                  <c:v>2014</c:v>
                </c:pt>
                <c:pt idx="2">
                  <c:v>2015</c:v>
                </c:pt>
                <c:pt idx="3">
                  <c:v>2016</c:v>
                </c:pt>
                <c:pt idx="4">
                  <c:v>2017</c:v>
                </c:pt>
                <c:pt idx="5">
                  <c:v>2018</c:v>
                </c:pt>
                <c:pt idx="6">
                  <c:v>2019</c:v>
                </c:pt>
              </c:numCache>
            </c:numRef>
          </c:cat>
          <c:val>
            <c:numRef>
              <c:f>'Záväzky FUN'!$B$3:$H$3</c:f>
              <c:numCache>
                <c:formatCode>0.0</c:formatCode>
                <c:ptCount val="7"/>
                <c:pt idx="0">
                  <c:v>128.98500000000001</c:v>
                </c:pt>
                <c:pt idx="1">
                  <c:v>118.191</c:v>
                </c:pt>
                <c:pt idx="2">
                  <c:v>120.205</c:v>
                </c:pt>
                <c:pt idx="3">
                  <c:v>123.32899999999999</c:v>
                </c:pt>
                <c:pt idx="4">
                  <c:v>127.621</c:v>
                </c:pt>
                <c:pt idx="5">
                  <c:v>156.16800000000001</c:v>
                </c:pt>
                <c:pt idx="6">
                  <c:v>206.20400000000001</c:v>
                </c:pt>
              </c:numCache>
            </c:numRef>
          </c:val>
          <c:smooth val="0"/>
          <c:extLst>
            <c:ext xmlns:c16="http://schemas.microsoft.com/office/drawing/2014/chart" uri="{C3380CC4-5D6E-409C-BE32-E72D297353CC}">
              <c16:uniqueId val="{00000001-1383-4FDF-AC01-654FD894430D}"/>
            </c:ext>
          </c:extLst>
        </c:ser>
        <c:ser>
          <c:idx val="1"/>
          <c:order val="1"/>
          <c:tx>
            <c:strRef>
              <c:f>'Záväzky FUN'!$A$4</c:f>
              <c:strCache>
                <c:ptCount val="1"/>
                <c:pt idx="0">
                  <c:v>Záväzky po lehote splatnosti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7242837820408964E-2"/>
                  <c:y val="-5.20402912657912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83-4FDF-AC01-654FD894430D}"/>
                </c:ext>
              </c:extLst>
            </c:dLbl>
            <c:dLbl>
              <c:idx val="1"/>
              <c:layout>
                <c:manualLayout>
                  <c:x val="-3.7242837820408943E-2"/>
                  <c:y val="-5.8415809276629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83-4FDF-AC01-654FD894430D}"/>
                </c:ext>
              </c:extLst>
            </c:dLbl>
            <c:dLbl>
              <c:idx val="2"/>
              <c:layout>
                <c:manualLayout>
                  <c:x val="-3.7242837820408943E-2"/>
                  <c:y val="-5.8415809276629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83-4FDF-AC01-654FD894430D}"/>
                </c:ext>
              </c:extLst>
            </c:dLbl>
            <c:dLbl>
              <c:idx val="3"/>
              <c:layout>
                <c:manualLayout>
                  <c:x val="-3.7242837820408943E-2"/>
                  <c:y val="-5.8415809276629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83-4FDF-AC01-654FD894430D}"/>
                </c:ext>
              </c:extLst>
            </c:dLbl>
            <c:dLbl>
              <c:idx val="4"/>
              <c:layout>
                <c:manualLayout>
                  <c:x val="-3.304292181872906E-2"/>
                  <c:y val="-5.2040291265791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383-4FDF-AC01-654FD894430D}"/>
                </c:ext>
              </c:extLst>
            </c:dLbl>
            <c:dLbl>
              <c:idx val="5"/>
              <c:layout>
                <c:manualLayout>
                  <c:x val="-3.7242837820408943E-2"/>
                  <c:y val="-5.84158092766297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83-4FDF-AC01-654FD894430D}"/>
                </c:ext>
              </c:extLst>
            </c:dLbl>
            <c:dLbl>
              <c:idx val="6"/>
              <c:layout>
                <c:manualLayout>
                  <c:x val="-3.7242837820408943E-2"/>
                  <c:y val="-5.84158092766297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383-4FDF-AC01-654FD894430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'Záväzky FUN'!$B$2:$H$2</c:f>
              <c:numCache>
                <c:formatCode>General</c:formatCode>
                <c:ptCount val="7"/>
                <c:pt idx="0">
                  <c:v>2013</c:v>
                </c:pt>
                <c:pt idx="1">
                  <c:v>2014</c:v>
                </c:pt>
                <c:pt idx="2">
                  <c:v>2015</c:v>
                </c:pt>
                <c:pt idx="3">
                  <c:v>2016</c:v>
                </c:pt>
                <c:pt idx="4">
                  <c:v>2017</c:v>
                </c:pt>
                <c:pt idx="5">
                  <c:v>2018</c:v>
                </c:pt>
                <c:pt idx="6">
                  <c:v>2019</c:v>
                </c:pt>
              </c:numCache>
            </c:numRef>
          </c:cat>
          <c:val>
            <c:numRef>
              <c:f>'Záväzky FUN'!$B$4:$H$4</c:f>
              <c:numCache>
                <c:formatCode>0.0</c:formatCode>
                <c:ptCount val="7"/>
                <c:pt idx="0">
                  <c:v>236.82499999999999</c:v>
                </c:pt>
                <c:pt idx="1">
                  <c:v>317.85599999999999</c:v>
                </c:pt>
                <c:pt idx="2">
                  <c:v>426.923</c:v>
                </c:pt>
                <c:pt idx="3">
                  <c:v>527.16499999999996</c:v>
                </c:pt>
                <c:pt idx="4">
                  <c:v>646.38900000000001</c:v>
                </c:pt>
                <c:pt idx="5">
                  <c:v>656.34799999999996</c:v>
                </c:pt>
                <c:pt idx="6">
                  <c:v>529.77</c:v>
                </c:pt>
              </c:numCache>
            </c:numRef>
          </c:val>
          <c:smooth val="0"/>
          <c:extLst>
            <c:ext xmlns:c16="http://schemas.microsoft.com/office/drawing/2014/chart" uri="{C3380CC4-5D6E-409C-BE32-E72D297353CC}">
              <c16:uniqueId val="{00000009-1383-4FDF-AC01-654FD894430D}"/>
            </c:ext>
          </c:extLst>
        </c:ser>
        <c:ser>
          <c:idx val="2"/>
          <c:order val="2"/>
          <c:tx>
            <c:strRef>
              <c:f>'Záväzky FUN'!$A$5</c:f>
              <c:strCache>
                <c:ptCount val="1"/>
                <c:pt idx="0">
                  <c:v>Celkové záväzky</c:v>
                </c:pt>
              </c:strCache>
            </c:strRef>
          </c:tx>
          <c:spPr>
            <a:ln w="28575" cap="rnd">
              <a:solidFill>
                <a:schemeClr val="accent1">
                  <a:tint val="65000"/>
                </a:schemeClr>
              </a:solidFill>
              <a:round/>
            </a:ln>
            <a:effectLst/>
          </c:spPr>
          <c:marker>
            <c:symbol val="circle"/>
            <c:size val="5"/>
            <c:spPr>
              <a:solidFill>
                <a:schemeClr val="accent1">
                  <a:tint val="65000"/>
                </a:schemeClr>
              </a:solidFill>
              <a:ln w="9525">
                <a:solidFill>
                  <a:schemeClr val="accent1">
                    <a:tint val="65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'Záväzky FUN'!$B$2:$H$2</c:f>
              <c:numCache>
                <c:formatCode>General</c:formatCode>
                <c:ptCount val="7"/>
                <c:pt idx="0">
                  <c:v>2013</c:v>
                </c:pt>
                <c:pt idx="1">
                  <c:v>2014</c:v>
                </c:pt>
                <c:pt idx="2">
                  <c:v>2015</c:v>
                </c:pt>
                <c:pt idx="3">
                  <c:v>2016</c:v>
                </c:pt>
                <c:pt idx="4">
                  <c:v>2017</c:v>
                </c:pt>
                <c:pt idx="5">
                  <c:v>2018</c:v>
                </c:pt>
                <c:pt idx="6">
                  <c:v>2019</c:v>
                </c:pt>
              </c:numCache>
            </c:numRef>
          </c:cat>
          <c:val>
            <c:numRef>
              <c:f>'Záväzky FUN'!$B$5:$H$5</c:f>
              <c:numCache>
                <c:formatCode>0.0</c:formatCode>
                <c:ptCount val="7"/>
                <c:pt idx="0">
                  <c:v>365.81</c:v>
                </c:pt>
                <c:pt idx="1">
                  <c:v>436.04700000000003</c:v>
                </c:pt>
                <c:pt idx="2">
                  <c:v>547.12800000000004</c:v>
                </c:pt>
                <c:pt idx="3">
                  <c:v>650.49400000000003</c:v>
                </c:pt>
                <c:pt idx="4">
                  <c:v>774.00900000000001</c:v>
                </c:pt>
                <c:pt idx="5">
                  <c:v>812.51599999999996</c:v>
                </c:pt>
                <c:pt idx="6">
                  <c:v>735.97400000000005</c:v>
                </c:pt>
              </c:numCache>
            </c:numRef>
          </c:val>
          <c:smooth val="0"/>
          <c:extLst>
            <c:ext xmlns:c16="http://schemas.microsoft.com/office/drawing/2014/chart" uri="{C3380CC4-5D6E-409C-BE32-E72D297353CC}">
              <c16:uniqueId val="{0000000A-1383-4FDF-AC01-654FD894430D}"/>
            </c:ext>
          </c:extLst>
        </c:ser>
        <c:dLbls>
          <c:showLegendKey val="0"/>
          <c:showVal val="0"/>
          <c:showCatName val="0"/>
          <c:showSerName val="0"/>
          <c:showPercent val="0"/>
          <c:showBubbleSize val="0"/>
        </c:dLbls>
        <c:marker val="1"/>
        <c:smooth val="0"/>
        <c:axId val="1233475007"/>
        <c:axId val="1233476255"/>
      </c:lineChart>
      <c:catAx>
        <c:axId val="123347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1233476255"/>
        <c:crossesAt val="0"/>
        <c:auto val="1"/>
        <c:lblAlgn val="ctr"/>
        <c:lblOffset val="100"/>
        <c:noMultiLvlLbl val="0"/>
      </c:catAx>
      <c:valAx>
        <c:axId val="1233476255"/>
        <c:scaling>
          <c:orientation val="minMax"/>
          <c:max val="900"/>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mil. eur</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1233475007"/>
        <c:crosses val="autoZero"/>
        <c:crossBetween val="between"/>
        <c:majorUnit val="100"/>
      </c:valAx>
      <c:spPr>
        <a:noFill/>
        <a:ln>
          <a:noFill/>
        </a:ln>
        <a:effectLst/>
      </c:spPr>
    </c:plotArea>
    <c:legend>
      <c:legendPos val="b"/>
      <c:layout>
        <c:manualLayout>
          <c:xMode val="edge"/>
          <c:yMode val="edge"/>
          <c:x val="6.9167934747456181E-2"/>
          <c:y val="0.89241238055316408"/>
          <c:w val="0.8018445894652273"/>
          <c:h val="0.1025700365713769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4.9044065059012341E-2"/>
          <c:y val="6.4327485380116955E-2"/>
          <c:w val="0.95095593494098762"/>
          <c:h val="0.72919233779988024"/>
        </c:manualLayout>
      </c:layout>
      <c:barChart>
        <c:barDir val="col"/>
        <c:grouping val="stacked"/>
        <c:varyColors val="0"/>
        <c:ser>
          <c:idx val="0"/>
          <c:order val="0"/>
          <c:tx>
            <c:strRef>
              <c:f>Rezidenti!$K$21</c:f>
              <c:strCache>
                <c:ptCount val="1"/>
                <c:pt idx="0">
                  <c:v>LF SZU Bratislava</c:v>
                </c:pt>
              </c:strCache>
            </c:strRef>
          </c:tx>
          <c:spPr>
            <a:solidFill>
              <a:schemeClr val="tx2">
                <a:lumMod val="60000"/>
                <a:lumOff val="40000"/>
              </a:schemeClr>
            </a:solidFill>
            <a:ln>
              <a:noFill/>
            </a:ln>
            <a:effectLst/>
          </c:spPr>
          <c:invertIfNegative val="0"/>
          <c:dLbls>
            <c:dLbl>
              <c:idx val="4"/>
              <c:layout>
                <c:manualLayout>
                  <c:x val="3.440476068262002E-3"/>
                  <c:y val="-1.1437908496732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4F-417C-8603-6AD2DFD0FB4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Rezidenti!$L$20:$Q$20</c:f>
              <c:numCache>
                <c:formatCode>General</c:formatCode>
                <c:ptCount val="6"/>
                <c:pt idx="0">
                  <c:v>2014</c:v>
                </c:pt>
                <c:pt idx="1">
                  <c:v>2015</c:v>
                </c:pt>
                <c:pt idx="2">
                  <c:v>2016</c:v>
                </c:pt>
                <c:pt idx="3">
                  <c:v>2017</c:v>
                </c:pt>
                <c:pt idx="4">
                  <c:v>2018</c:v>
                </c:pt>
                <c:pt idx="5">
                  <c:v>2019</c:v>
                </c:pt>
              </c:numCache>
            </c:numRef>
          </c:cat>
          <c:val>
            <c:numRef>
              <c:f>Rezidenti!$L$21:$Q$21</c:f>
              <c:numCache>
                <c:formatCode>0</c:formatCode>
                <c:ptCount val="6"/>
                <c:pt idx="0">
                  <c:v>61</c:v>
                </c:pt>
                <c:pt idx="1">
                  <c:v>49</c:v>
                </c:pt>
                <c:pt idx="2">
                  <c:v>57</c:v>
                </c:pt>
                <c:pt idx="3">
                  <c:v>42</c:v>
                </c:pt>
                <c:pt idx="4">
                  <c:v>18</c:v>
                </c:pt>
                <c:pt idx="5">
                  <c:v>38</c:v>
                </c:pt>
              </c:numCache>
            </c:numRef>
          </c:val>
          <c:extLst>
            <c:ext xmlns:c16="http://schemas.microsoft.com/office/drawing/2014/chart" uri="{C3380CC4-5D6E-409C-BE32-E72D297353CC}">
              <c16:uniqueId val="{00000001-5B4F-417C-8603-6AD2DFD0FB4E}"/>
            </c:ext>
          </c:extLst>
        </c:ser>
        <c:ser>
          <c:idx val="1"/>
          <c:order val="1"/>
          <c:tx>
            <c:strRef>
              <c:f>Rezidenti!$K$22</c:f>
              <c:strCache>
                <c:ptCount val="1"/>
                <c:pt idx="0">
                  <c:v>JLF UK Martin</c:v>
                </c:pt>
              </c:strCache>
            </c:strRef>
          </c:tx>
          <c:spPr>
            <a:solidFill>
              <a:schemeClr val="accent5">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Rezidenti!$L$20:$Q$20</c:f>
              <c:numCache>
                <c:formatCode>General</c:formatCode>
                <c:ptCount val="6"/>
                <c:pt idx="0">
                  <c:v>2014</c:v>
                </c:pt>
                <c:pt idx="1">
                  <c:v>2015</c:v>
                </c:pt>
                <c:pt idx="2">
                  <c:v>2016</c:v>
                </c:pt>
                <c:pt idx="3">
                  <c:v>2017</c:v>
                </c:pt>
                <c:pt idx="4">
                  <c:v>2018</c:v>
                </c:pt>
                <c:pt idx="5">
                  <c:v>2019</c:v>
                </c:pt>
              </c:numCache>
            </c:numRef>
          </c:cat>
          <c:val>
            <c:numRef>
              <c:f>Rezidenti!$L$22:$Q$22</c:f>
              <c:numCache>
                <c:formatCode>0</c:formatCode>
                <c:ptCount val="6"/>
                <c:pt idx="0">
                  <c:v>8</c:v>
                </c:pt>
                <c:pt idx="1">
                  <c:v>8</c:v>
                </c:pt>
                <c:pt idx="2">
                  <c:v>12</c:v>
                </c:pt>
                <c:pt idx="3">
                  <c:v>8</c:v>
                </c:pt>
                <c:pt idx="4">
                  <c:v>3</c:v>
                </c:pt>
                <c:pt idx="5">
                  <c:v>10</c:v>
                </c:pt>
              </c:numCache>
            </c:numRef>
          </c:val>
          <c:extLst>
            <c:ext xmlns:c16="http://schemas.microsoft.com/office/drawing/2014/chart" uri="{C3380CC4-5D6E-409C-BE32-E72D297353CC}">
              <c16:uniqueId val="{00000002-5B4F-417C-8603-6AD2DFD0FB4E}"/>
            </c:ext>
          </c:extLst>
        </c:ser>
        <c:ser>
          <c:idx val="2"/>
          <c:order val="2"/>
          <c:tx>
            <c:strRef>
              <c:f>Rezidenti!$K$23</c:f>
              <c:strCache>
                <c:ptCount val="1"/>
                <c:pt idx="0">
                  <c:v>LF UPJŠ Košice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Rezidenti!$L$20:$Q$20</c:f>
              <c:numCache>
                <c:formatCode>General</c:formatCode>
                <c:ptCount val="6"/>
                <c:pt idx="0">
                  <c:v>2014</c:v>
                </c:pt>
                <c:pt idx="1">
                  <c:v>2015</c:v>
                </c:pt>
                <c:pt idx="2">
                  <c:v>2016</c:v>
                </c:pt>
                <c:pt idx="3">
                  <c:v>2017</c:v>
                </c:pt>
                <c:pt idx="4">
                  <c:v>2018</c:v>
                </c:pt>
                <c:pt idx="5">
                  <c:v>2019</c:v>
                </c:pt>
              </c:numCache>
            </c:numRef>
          </c:cat>
          <c:val>
            <c:numRef>
              <c:f>Rezidenti!$L$23:$Q$23</c:f>
              <c:numCache>
                <c:formatCode>0</c:formatCode>
                <c:ptCount val="6"/>
                <c:pt idx="0">
                  <c:v>3</c:v>
                </c:pt>
                <c:pt idx="1">
                  <c:v>2</c:v>
                </c:pt>
                <c:pt idx="2">
                  <c:v>8</c:v>
                </c:pt>
                <c:pt idx="3">
                  <c:v>16</c:v>
                </c:pt>
                <c:pt idx="4">
                  <c:v>15</c:v>
                </c:pt>
                <c:pt idx="5">
                  <c:v>20</c:v>
                </c:pt>
              </c:numCache>
            </c:numRef>
          </c:val>
          <c:extLst>
            <c:ext xmlns:c16="http://schemas.microsoft.com/office/drawing/2014/chart" uri="{C3380CC4-5D6E-409C-BE32-E72D297353CC}">
              <c16:uniqueId val="{00000003-5B4F-417C-8603-6AD2DFD0FB4E}"/>
            </c:ext>
          </c:extLst>
        </c:ser>
        <c:dLbls>
          <c:dLblPos val="ctr"/>
          <c:showLegendKey val="0"/>
          <c:showVal val="1"/>
          <c:showCatName val="0"/>
          <c:showSerName val="0"/>
          <c:showPercent val="0"/>
          <c:showBubbleSize val="0"/>
        </c:dLbls>
        <c:gapWidth val="150"/>
        <c:overlap val="100"/>
        <c:axId val="807267615"/>
        <c:axId val="807270111"/>
      </c:barChart>
      <c:catAx>
        <c:axId val="807267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807270111"/>
        <c:crosses val="autoZero"/>
        <c:auto val="1"/>
        <c:lblAlgn val="ctr"/>
        <c:lblOffset val="100"/>
        <c:noMultiLvlLbl val="0"/>
      </c:catAx>
      <c:valAx>
        <c:axId val="807270111"/>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807267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6.280741427373325E-2"/>
          <c:y val="7.0512820512820512E-2"/>
          <c:w val="0.92481808952406175"/>
          <c:h val="0.44481677771047845"/>
        </c:manualLayout>
      </c:layout>
      <c:barChart>
        <c:barDir val="col"/>
        <c:grouping val="clustered"/>
        <c:varyColors val="0"/>
        <c:ser>
          <c:idx val="1"/>
          <c:order val="1"/>
          <c:tx>
            <c:strRef>
              <c:f>Hárok1!$J$1</c:f>
              <c:strCache>
                <c:ptCount val="1"/>
                <c:pt idx="0">
                  <c:v>Podiel čerpania na alokácii v 2018</c:v>
                </c:pt>
              </c:strCache>
            </c:strRef>
          </c:tx>
          <c:spPr>
            <a:solidFill>
              <a:schemeClr val="accent1"/>
            </a:solidFill>
            <a:ln>
              <a:noFill/>
            </a:ln>
            <a:effectLst>
              <a:innerShdw blurRad="114300">
                <a:schemeClr val="accent1"/>
              </a:innerShdw>
            </a:effectLst>
          </c:spPr>
          <c:invertIfNegative val="0"/>
          <c:dLbls>
            <c:numFmt formatCode="0.00\ %"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Hárok1!$A$2:$A$7</c:f>
              <c:strCache>
                <c:ptCount val="6"/>
                <c:pt idx="0">
                  <c:v>Železničná infraštruktúra (TEN-T CORE) a obnova mobilných prostriedkov</c:v>
                </c:pt>
                <c:pt idx="1">
                  <c:v>Cestná infraštruktúra (TEN-T)</c:v>
                </c:pt>
                <c:pt idx="2">
                  <c:v>Verejná osobná doprava</c:v>
                </c:pt>
                <c:pt idx="3">
                  <c:v>Infraštruktúra vodnej dopravy (TEN-T CORE)</c:v>
                </c:pt>
                <c:pt idx="4">
                  <c:v>Železničná infraštruktúra (mimo TEN-T CORE)</c:v>
                </c:pt>
                <c:pt idx="5">
                  <c:v>Cestná infraštruktúra (mimo TEN-T CORE)</c:v>
                </c:pt>
              </c:strCache>
            </c:strRef>
          </c:cat>
          <c:val>
            <c:numRef>
              <c:f>Hárok1!$J$2:$J$7</c:f>
              <c:numCache>
                <c:formatCode>0.00%</c:formatCode>
                <c:ptCount val="6"/>
                <c:pt idx="0">
                  <c:v>0.25659999999999999</c:v>
                </c:pt>
                <c:pt idx="1">
                  <c:v>0.58960000000000001</c:v>
                </c:pt>
                <c:pt idx="2">
                  <c:v>0.38619999999999999</c:v>
                </c:pt>
                <c:pt idx="3">
                  <c:v>2.0000000000000001E-4</c:v>
                </c:pt>
                <c:pt idx="4">
                  <c:v>3.3E-3</c:v>
                </c:pt>
                <c:pt idx="5">
                  <c:v>0.2419</c:v>
                </c:pt>
              </c:numCache>
            </c:numRef>
          </c:val>
          <c:extLst>
            <c:ext xmlns:c16="http://schemas.microsoft.com/office/drawing/2014/chart" uri="{C3380CC4-5D6E-409C-BE32-E72D297353CC}">
              <c16:uniqueId val="{00000000-2ECF-49CA-82E9-50ACABE8B819}"/>
            </c:ext>
          </c:extLst>
        </c:ser>
        <c:ser>
          <c:idx val="2"/>
          <c:order val="2"/>
          <c:tx>
            <c:strRef>
              <c:f>Hárok1!$K$1</c:f>
              <c:strCache>
                <c:ptCount val="1"/>
                <c:pt idx="0">
                  <c:v>Podiel čerpania na alokácii v 2019</c:v>
                </c:pt>
              </c:strCache>
            </c:strRef>
          </c:tx>
          <c:spPr>
            <a:solidFill>
              <a:schemeClr val="accent1">
                <a:lumMod val="40000"/>
                <a:lumOff val="60000"/>
              </a:schemeClr>
            </a:solidFill>
            <a:ln>
              <a:noFill/>
            </a:ln>
            <a:effectLst>
              <a:innerShdw blurRad="114300">
                <a:schemeClr val="accent1">
                  <a:tint val="65000"/>
                </a:schemeClr>
              </a:innerShdw>
            </a:effectLst>
          </c:spPr>
          <c:invertIfNegative val="0"/>
          <c:dLbls>
            <c:dLbl>
              <c:idx val="1"/>
              <c:layout>
                <c:manualLayout>
                  <c:x val="2.6476920061132479E-2"/>
                  <c:y val="6.600660066006600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CF-49CA-82E9-50ACABE8B819}"/>
                </c:ext>
              </c:extLst>
            </c:dLbl>
            <c:dLbl>
              <c:idx val="2"/>
              <c:layout>
                <c:manualLayout>
                  <c:x val="1.3245033112582781E-2"/>
                  <c:y val="-1.401614797213210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CF-49CA-82E9-50ACABE8B819}"/>
                </c:ext>
              </c:extLst>
            </c:dLbl>
            <c:dLbl>
              <c:idx val="3"/>
              <c:layout>
                <c:manualLayout>
                  <c:x val="1.6874580864073448E-2"/>
                  <c:y val="-1.36332651670074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CF-49CA-82E9-50ACABE8B819}"/>
                </c:ext>
              </c:extLst>
            </c:dLbl>
            <c:dLbl>
              <c:idx val="4"/>
              <c:layout>
                <c:manualLayout>
                  <c:x val="2.1695889682380148E-2"/>
                  <c:y val="-3.06748466257669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CF-49CA-82E9-50ACABE8B819}"/>
                </c:ext>
              </c:extLst>
            </c:dLbl>
            <c:dLbl>
              <c:idx val="5"/>
              <c:layout>
                <c:manualLayout>
                  <c:x val="2.1695889682380148E-2"/>
                  <c:y val="-2.38582140422631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CF-49CA-82E9-50ACABE8B819}"/>
                </c:ext>
              </c:extLst>
            </c:dLbl>
            <c:numFmt formatCode="0.00\ %"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Hárok1!$A$2:$A$7</c:f>
              <c:strCache>
                <c:ptCount val="6"/>
                <c:pt idx="0">
                  <c:v>Železničná infraštruktúra (TEN-T CORE) a obnova mobilných prostriedkov</c:v>
                </c:pt>
                <c:pt idx="1">
                  <c:v>Cestná infraštruktúra (TEN-T)</c:v>
                </c:pt>
                <c:pt idx="2">
                  <c:v>Verejná osobná doprava</c:v>
                </c:pt>
                <c:pt idx="3">
                  <c:v>Infraštruktúra vodnej dopravy (TEN-T CORE)</c:v>
                </c:pt>
                <c:pt idx="4">
                  <c:v>Železničná infraštruktúra (mimo TEN-T CORE)</c:v>
                </c:pt>
                <c:pt idx="5">
                  <c:v>Cestná infraštruktúra (mimo TEN-T CORE)</c:v>
                </c:pt>
              </c:strCache>
            </c:strRef>
          </c:cat>
          <c:val>
            <c:numRef>
              <c:f>Hárok1!$K$2:$K$7</c:f>
              <c:numCache>
                <c:formatCode>0.00%</c:formatCode>
                <c:ptCount val="6"/>
                <c:pt idx="0">
                  <c:v>0.36509999999999998</c:v>
                </c:pt>
                <c:pt idx="1">
                  <c:v>0.63859999999999995</c:v>
                </c:pt>
                <c:pt idx="2">
                  <c:v>0.44340000000000002</c:v>
                </c:pt>
                <c:pt idx="3">
                  <c:v>8.9999999999999998E-4</c:v>
                </c:pt>
                <c:pt idx="4">
                  <c:v>5.1000000000000004E-3</c:v>
                </c:pt>
                <c:pt idx="5">
                  <c:v>0.26650000000000001</c:v>
                </c:pt>
              </c:numCache>
            </c:numRef>
          </c:val>
          <c:extLst>
            <c:ext xmlns:c16="http://schemas.microsoft.com/office/drawing/2014/chart" uri="{C3380CC4-5D6E-409C-BE32-E72D297353CC}">
              <c16:uniqueId val="{00000006-2ECF-49CA-82E9-50ACABE8B819}"/>
            </c:ext>
          </c:extLst>
        </c:ser>
        <c:dLbls>
          <c:dLblPos val="outEnd"/>
          <c:showLegendKey val="0"/>
          <c:showVal val="1"/>
          <c:showCatName val="0"/>
          <c:showSerName val="0"/>
          <c:showPercent val="0"/>
          <c:showBubbleSize val="0"/>
        </c:dLbls>
        <c:gapWidth val="164"/>
        <c:overlap val="-22"/>
        <c:axId val="482078880"/>
        <c:axId val="482089280"/>
        <c:extLst>
          <c:ext xmlns:c15="http://schemas.microsoft.com/office/drawing/2012/chart" uri="{02D57815-91ED-43cb-92C2-25804820EDAC}">
            <c15:filteredBarSeries>
              <c15:ser>
                <c:idx val="0"/>
                <c:order val="0"/>
                <c:tx>
                  <c:strRef>
                    <c:extLst>
                      <c:ext uri="{02D57815-91ED-43cb-92C2-25804820EDAC}">
                        <c15:formulaRef>
                          <c15:sqref>Hárok1!$I$1</c15:sqref>
                        </c15:formulaRef>
                      </c:ext>
                    </c:extLst>
                    <c:strCache>
                      <c:ptCount val="1"/>
                      <c:pt idx="0">
                        <c:v>Podiel čerpania na alokácii v %</c:v>
                      </c:pt>
                    </c:strCache>
                  </c:strRef>
                </c:tx>
                <c:spPr>
                  <a:pattFill prst="narHorz">
                    <a:fgClr>
                      <a:schemeClr val="accent1">
                        <a:shade val="65000"/>
                      </a:schemeClr>
                    </a:fgClr>
                    <a:bgClr>
                      <a:schemeClr val="accent1">
                        <a:shade val="65000"/>
                        <a:lumMod val="20000"/>
                        <a:lumOff val="80000"/>
                      </a:schemeClr>
                    </a:bgClr>
                  </a:pattFill>
                  <a:ln>
                    <a:noFill/>
                  </a:ln>
                  <a:effectLst>
                    <a:innerShdw blurRad="114300">
                      <a:schemeClr val="accent1">
                        <a:shade val="65000"/>
                      </a:schemeClr>
                    </a:innerShdw>
                  </a:effectLst>
                </c:spPr>
                <c:invertIfNegative val="0"/>
                <c:dPt>
                  <c:idx val="3"/>
                  <c:invertIfNegative val="0"/>
                  <c:bubble3D val="0"/>
                  <c:extLst>
                    <c:ext xmlns:c16="http://schemas.microsoft.com/office/drawing/2014/chart" uri="{C3380CC4-5D6E-409C-BE32-E72D297353CC}">
                      <c16:uniqueId val="{00000007-2ECF-49CA-82E9-50ACABE8B819}"/>
                    </c:ext>
                  </c:extLst>
                </c:dPt>
                <c:dPt>
                  <c:idx val="4"/>
                  <c:invertIfNegative val="0"/>
                  <c:bubble3D val="0"/>
                  <c:extLst>
                    <c:ext xmlns:c16="http://schemas.microsoft.com/office/drawing/2014/chart" uri="{C3380CC4-5D6E-409C-BE32-E72D297353CC}">
                      <c16:uniqueId val="{00000008-2ECF-49CA-82E9-50ACABE8B8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Hárok1!$A$2:$A$7</c15:sqref>
                        </c15:formulaRef>
                      </c:ext>
                    </c:extLst>
                    <c:strCache>
                      <c:ptCount val="6"/>
                      <c:pt idx="0">
                        <c:v>Železničná infraštruktúra (TEN-T CORE) a obnova mobilných prostriedkov</c:v>
                      </c:pt>
                      <c:pt idx="1">
                        <c:v>Cestná infraštruktúra (TEN-T)</c:v>
                      </c:pt>
                      <c:pt idx="2">
                        <c:v>Verejná osobná doprava</c:v>
                      </c:pt>
                      <c:pt idx="3">
                        <c:v>Infraštruktúra vodnej dopravy (TEN-T CORE)</c:v>
                      </c:pt>
                      <c:pt idx="4">
                        <c:v>Železničná infraštruktúra (mimo TEN-T CORE)</c:v>
                      </c:pt>
                      <c:pt idx="5">
                        <c:v>Cestná infraštruktúra (mimo TEN-T CORE)</c:v>
                      </c:pt>
                    </c:strCache>
                  </c:strRef>
                </c:cat>
                <c:val>
                  <c:numRef>
                    <c:extLst>
                      <c:ext uri="{02D57815-91ED-43cb-92C2-25804820EDAC}">
                        <c15:formulaRef>
                          <c15:sqref>Hárok1!$I$2:$I$7</c15:sqref>
                        </c15:formulaRef>
                      </c:ext>
                    </c:extLst>
                    <c:numCache>
                      <c:formatCode>0.00%</c:formatCode>
                      <c:ptCount val="6"/>
                      <c:pt idx="0">
                        <c:v>0.30080000000000001</c:v>
                      </c:pt>
                      <c:pt idx="1">
                        <c:v>0.65990000000000004</c:v>
                      </c:pt>
                      <c:pt idx="2">
                        <c:v>0.40189999999999998</c:v>
                      </c:pt>
                      <c:pt idx="3">
                        <c:v>8.9999999999999998E-4</c:v>
                      </c:pt>
                      <c:pt idx="4">
                        <c:v>4.1999999999999997E-3</c:v>
                      </c:pt>
                      <c:pt idx="5">
                        <c:v>0.25180000000000002</c:v>
                      </c:pt>
                    </c:numCache>
                  </c:numRef>
                </c:val>
                <c:extLst>
                  <c:ext xmlns:c16="http://schemas.microsoft.com/office/drawing/2014/chart" uri="{C3380CC4-5D6E-409C-BE32-E72D297353CC}">
                    <c16:uniqueId val="{00000009-2ECF-49CA-82E9-50ACABE8B819}"/>
                  </c:ext>
                </c:extLst>
              </c15:ser>
            </c15:filteredBarSeries>
          </c:ext>
        </c:extLst>
      </c:barChart>
      <c:catAx>
        <c:axId val="48207888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482089280"/>
        <c:crosses val="autoZero"/>
        <c:auto val="1"/>
        <c:lblAlgn val="ctr"/>
        <c:lblOffset val="100"/>
        <c:noMultiLvlLbl val="0"/>
      </c:catAx>
      <c:valAx>
        <c:axId val="482089280"/>
        <c:scaling>
          <c:orientation val="minMax"/>
        </c:scaling>
        <c:delete val="0"/>
        <c:axPos val="l"/>
        <c:majorGridlines>
          <c:spPr>
            <a:ln>
              <a:solidFill>
                <a:schemeClr val="tx1">
                  <a:lumMod val="15000"/>
                  <a:lumOff val="85000"/>
                </a:schemeClr>
              </a:solidFill>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482078880"/>
        <c:crosses val="autoZero"/>
        <c:crossBetween val="between"/>
      </c:valAx>
      <c:spPr>
        <a:noFill/>
        <a:ln>
          <a:noFill/>
        </a:ln>
        <a:effectLst/>
      </c:spPr>
    </c:plotArea>
    <c:legend>
      <c:legendPos val="b"/>
      <c:layout>
        <c:manualLayout>
          <c:xMode val="edge"/>
          <c:yMode val="edge"/>
          <c:x val="0.16052520111226018"/>
          <c:y val="0.86135259774662754"/>
          <c:w val="0.67894943595626711"/>
          <c:h val="9.839822774446771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shade val="53000"/>
                </a:schemeClr>
              </a:solidFill>
              <a:ln w="19050">
                <a:solidFill>
                  <a:schemeClr val="lt1"/>
                </a:solidFill>
              </a:ln>
              <a:effectLst/>
            </c:spPr>
            <c:extLst>
              <c:ext xmlns:c16="http://schemas.microsoft.com/office/drawing/2014/chart" uri="{C3380CC4-5D6E-409C-BE32-E72D297353CC}">
                <c16:uniqueId val="{00000001-8A0E-49FE-9E1E-795487053647}"/>
              </c:ext>
            </c:extLst>
          </c:dPt>
          <c:dPt>
            <c:idx val="1"/>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3-8A0E-49FE-9E1E-795487053647}"/>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8A0E-49FE-9E1E-795487053647}"/>
              </c:ext>
            </c:extLst>
          </c:dPt>
          <c:dPt>
            <c:idx val="3"/>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7-8A0E-49FE-9E1E-795487053647}"/>
              </c:ext>
            </c:extLst>
          </c:dPt>
          <c:dPt>
            <c:idx val="4"/>
            <c:bubble3D val="0"/>
            <c:spPr>
              <a:solidFill>
                <a:schemeClr val="accent1">
                  <a:tint val="54000"/>
                </a:schemeClr>
              </a:solidFill>
              <a:ln w="19050">
                <a:solidFill>
                  <a:schemeClr val="lt1"/>
                </a:solidFill>
              </a:ln>
              <a:effectLst/>
            </c:spPr>
            <c:extLst>
              <c:ext xmlns:c16="http://schemas.microsoft.com/office/drawing/2014/chart" uri="{C3380CC4-5D6E-409C-BE32-E72D297353CC}">
                <c16:uniqueId val="{00000009-8A0E-49FE-9E1E-795487053647}"/>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Hárok1!$A$1:$E$1</c:f>
              <c:strCache>
                <c:ptCount val="5"/>
                <c:pt idx="0">
                  <c:v>Veľmi dobrý</c:v>
                </c:pt>
                <c:pt idx="1">
                  <c:v>Dobrý</c:v>
                </c:pt>
                <c:pt idx="2">
                  <c:v>Vyhovujúci</c:v>
                </c:pt>
                <c:pt idx="3">
                  <c:v>Nevyhovujúci</c:v>
                </c:pt>
                <c:pt idx="4">
                  <c:v>Havaríjny</c:v>
                </c:pt>
              </c:strCache>
            </c:strRef>
          </c:cat>
          <c:val>
            <c:numRef>
              <c:f>Hárok1!$A$2:$E$2</c:f>
              <c:numCache>
                <c:formatCode>General</c:formatCode>
                <c:ptCount val="5"/>
                <c:pt idx="0">
                  <c:v>1685.5</c:v>
                </c:pt>
                <c:pt idx="1">
                  <c:v>71.8</c:v>
                </c:pt>
                <c:pt idx="2">
                  <c:v>172.6</c:v>
                </c:pt>
                <c:pt idx="3">
                  <c:v>1067</c:v>
                </c:pt>
                <c:pt idx="4">
                  <c:v>256.3</c:v>
                </c:pt>
              </c:numCache>
            </c:numRef>
          </c:val>
          <c:extLst>
            <c:ext xmlns:c16="http://schemas.microsoft.com/office/drawing/2014/chart" uri="{C3380CC4-5D6E-409C-BE32-E72D297353CC}">
              <c16:uniqueId val="{0000000A-8A0E-49FE-9E1E-79548705364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909248892716535"/>
          <c:y val="3.1205913713910759E-2"/>
          <c:w val="0.19605427739501313"/>
          <c:h val="0.9245663139763777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Narrow" panose="020B0606020202030204" pitchFamily="34" charset="0"/>
        </a:defRPr>
      </a:pPr>
      <a:endParaRPr lang="sk-SK"/>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582313960102259E-2"/>
          <c:y val="5.2684907951791232E-2"/>
          <c:w val="0.91296728411559525"/>
          <c:h val="0.77900857181371963"/>
        </c:manualLayout>
      </c:layout>
      <c:lineChart>
        <c:grouping val="standard"/>
        <c:varyColors val="0"/>
        <c:ser>
          <c:idx val="0"/>
          <c:order val="0"/>
          <c:tx>
            <c:strRef>
              <c:f>'Čistá poz.'!$B$4</c:f>
              <c:strCache>
                <c:ptCount val="1"/>
                <c:pt idx="0">
                  <c:v>Čistá finančná pozícia SR </c:v>
                </c:pt>
              </c:strCache>
            </c:strRef>
          </c:tx>
          <c:spPr>
            <a:ln w="28575" cap="rnd">
              <a:solidFill>
                <a:srgbClr val="0070C0"/>
              </a:solidFill>
              <a:round/>
            </a:ln>
            <a:effectLst/>
          </c:spPr>
          <c:marker>
            <c:symbol val="diamond"/>
            <c:size val="5"/>
            <c:spPr>
              <a:solidFill>
                <a:schemeClr val="accent2"/>
              </a:solidFill>
              <a:ln w="9525">
                <a:solidFill>
                  <a:schemeClr val="accent2"/>
                </a:solidFill>
              </a:ln>
              <a:effectLst/>
            </c:spPr>
          </c:marker>
          <c:dLbls>
            <c:dLbl>
              <c:idx val="0"/>
              <c:layout>
                <c:manualLayout>
                  <c:x val="-4.4351185612740242E-2"/>
                  <c:y val="-8.99705427755474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29-42BA-9548-C3F190698A43}"/>
                </c:ext>
              </c:extLst>
            </c:dLbl>
            <c:dLbl>
              <c:idx val="1"/>
              <c:layout>
                <c:manualLayout>
                  <c:x val="-4.1636914767407295E-2"/>
                  <c:y val="-8.55801337795648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29-42BA-9548-C3F190698A43}"/>
                </c:ext>
              </c:extLst>
            </c:dLbl>
            <c:dLbl>
              <c:idx val="2"/>
              <c:layout>
                <c:manualLayout>
                  <c:x val="-4.1636914767407315E-2"/>
                  <c:y val="-7.240890679161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29-42BA-9548-C3F190698A43}"/>
                </c:ext>
              </c:extLst>
            </c:dLbl>
            <c:dLbl>
              <c:idx val="3"/>
              <c:layout>
                <c:manualLayout>
                  <c:x val="-4.1636914767407295E-2"/>
                  <c:y val="-0.1470458597233212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29-42BA-9548-C3F190698A43}"/>
                </c:ext>
              </c:extLst>
            </c:dLbl>
            <c:dLbl>
              <c:idx val="4"/>
              <c:layout>
                <c:manualLayout>
                  <c:x val="-4.9779727303406109E-2"/>
                  <c:y val="-7.6799315787599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29-42BA-9548-C3F190698A43}"/>
                </c:ext>
              </c:extLst>
            </c:dLbl>
            <c:dLbl>
              <c:idx val="5"/>
              <c:layout>
                <c:manualLayout>
                  <c:x val="-6.6825348212096972E-2"/>
                  <c:y val="-6.80184977956344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629-42BA-9548-C3F190698A43}"/>
                </c:ext>
              </c:extLst>
            </c:dLbl>
            <c:dLbl>
              <c:idx val="6"/>
              <c:layout>
                <c:manualLayout>
                  <c:x val="-5.8682535676098151E-2"/>
                  <c:y val="-7.2408906791617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29-42BA-9548-C3F190698A43}"/>
                </c:ext>
              </c:extLst>
            </c:dLbl>
            <c:dLbl>
              <c:idx val="7"/>
              <c:layout>
                <c:manualLayout>
                  <c:x val="-4.7825452294766396E-2"/>
                  <c:y val="-8.55801337795648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29-42BA-9548-C3F190698A43}"/>
                </c:ext>
              </c:extLst>
            </c:dLbl>
            <c:dLbl>
              <c:idx val="8"/>
              <c:layout>
                <c:manualLayout>
                  <c:x val="-2.339701468676994E-2"/>
                  <c:y val="-7.67993157875997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629-42BA-9548-C3F190698A43}"/>
                </c:ext>
              </c:extLst>
            </c:dLbl>
            <c:dLbl>
              <c:idx val="9"/>
              <c:layout>
                <c:manualLayout>
                  <c:x val="-5.2493998148739153E-2"/>
                  <c:y val="-0.1514362687193038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629-42BA-9548-C3F190698A43}"/>
                </c:ext>
              </c:extLst>
            </c:dLbl>
            <c:dLbl>
              <c:idx val="11"/>
              <c:layout>
                <c:manualLayout>
                  <c:x val="-2.3444460996034915E-2"/>
                  <c:y val="-0.142655450727338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629-42BA-9548-C3F190698A43}"/>
                </c:ext>
              </c:extLst>
            </c:dLbl>
            <c:dLbl>
              <c:idx val="12"/>
              <c:layout>
                <c:manualLayout>
                  <c:x val="-4.1636914767407295E-2"/>
                  <c:y val="-0.1031417697634952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629-42BA-9548-C3F190698A43}"/>
                </c:ext>
              </c:extLst>
            </c:dLbl>
            <c:dLbl>
              <c:idx val="13"/>
              <c:layout>
                <c:manualLayout>
                  <c:x val="-4.5111181449433553E-2"/>
                  <c:y val="-6.36280887996518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629-42BA-9548-C3F190698A43}"/>
                </c:ext>
              </c:extLst>
            </c:dLbl>
            <c:dLbl>
              <c:idx val="14"/>
              <c:layout>
                <c:manualLayout>
                  <c:x val="-4.1636914767407295E-2"/>
                  <c:y val="-8.1189724783582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629-42BA-9548-C3F190698A43}"/>
                </c:ext>
              </c:extLst>
            </c:dLbl>
            <c:dLbl>
              <c:idx val="15"/>
              <c:layout>
                <c:manualLayout>
                  <c:x val="-4.1636914767407295E-2"/>
                  <c:y val="-5.92376798036692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629-42BA-9548-C3F190698A43}"/>
                </c:ext>
              </c:extLst>
            </c:dLbl>
            <c:dLbl>
              <c:idx val="16"/>
              <c:layout>
                <c:manualLayout>
                  <c:x val="-3.8922643922074451E-2"/>
                  <c:y val="-7.67993157875996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629-42BA-9548-C3F190698A43}"/>
                </c:ext>
              </c:extLst>
            </c:dLbl>
            <c:dLbl>
              <c:idx val="17"/>
              <c:layout>
                <c:manualLayout>
                  <c:x val="-2.1366227161387766E-2"/>
                  <c:y val="-0.1075321787594778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629-42BA-9548-C3F190698A43}"/>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'Čistá poz.'!$C$3:$T$3</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 N</c:v>
                </c:pt>
                <c:pt idx="16">
                  <c:v>2021N</c:v>
                </c:pt>
                <c:pt idx="17">
                  <c:v>2022 N</c:v>
                </c:pt>
              </c:strCache>
            </c:strRef>
          </c:cat>
          <c:val>
            <c:numRef>
              <c:f>'Čistá poz.'!$C$4:$T$4</c:f>
              <c:numCache>
                <c:formatCode>General</c:formatCode>
                <c:ptCount val="18"/>
                <c:pt idx="0">
                  <c:v>219</c:v>
                </c:pt>
                <c:pt idx="1">
                  <c:v>367</c:v>
                </c:pt>
                <c:pt idx="2">
                  <c:v>321</c:v>
                </c:pt>
                <c:pt idx="3">
                  <c:v>250</c:v>
                </c:pt>
                <c:pt idx="4">
                  <c:v>424</c:v>
                </c:pt>
                <c:pt idx="5">
                  <c:v>1045</c:v>
                </c:pt>
                <c:pt idx="6">
                  <c:v>1336</c:v>
                </c:pt>
                <c:pt idx="7">
                  <c:v>1415</c:v>
                </c:pt>
                <c:pt idx="8">
                  <c:v>1360</c:v>
                </c:pt>
                <c:pt idx="9">
                  <c:v>480</c:v>
                </c:pt>
                <c:pt idx="10">
                  <c:v>3598</c:v>
                </c:pt>
                <c:pt idx="11" formatCode="#,##0">
                  <c:v>1208</c:v>
                </c:pt>
                <c:pt idx="12">
                  <c:v>688</c:v>
                </c:pt>
                <c:pt idx="13">
                  <c:v>1328</c:v>
                </c:pt>
                <c:pt idx="14">
                  <c:v>1275</c:v>
                </c:pt>
                <c:pt idx="15">
                  <c:v>756</c:v>
                </c:pt>
                <c:pt idx="16">
                  <c:v>876</c:v>
                </c:pt>
                <c:pt idx="17" formatCode="#,##0">
                  <c:v>1183</c:v>
                </c:pt>
              </c:numCache>
            </c:numRef>
          </c:val>
          <c:smooth val="0"/>
          <c:extLst>
            <c:ext xmlns:c16="http://schemas.microsoft.com/office/drawing/2014/chart" uri="{C3380CC4-5D6E-409C-BE32-E72D297353CC}">
              <c16:uniqueId val="{00000011-F629-42BA-9548-C3F190698A43}"/>
            </c:ext>
          </c:extLst>
        </c:ser>
        <c:dLbls>
          <c:dLblPos val="t"/>
          <c:showLegendKey val="0"/>
          <c:showVal val="1"/>
          <c:showCatName val="0"/>
          <c:showSerName val="0"/>
          <c:showPercent val="0"/>
          <c:showBubbleSize val="0"/>
        </c:dLbls>
        <c:marker val="1"/>
        <c:smooth val="0"/>
        <c:axId val="232078096"/>
        <c:axId val="235018704"/>
      </c:lineChart>
      <c:catAx>
        <c:axId val="23207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235018704"/>
        <c:crosses val="autoZero"/>
        <c:auto val="1"/>
        <c:lblAlgn val="ctr"/>
        <c:lblOffset val="100"/>
        <c:noMultiLvlLbl val="0"/>
      </c:catAx>
      <c:valAx>
        <c:axId val="23501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232078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161617771016221"/>
          <c:y val="1.6462156304779558E-2"/>
          <c:w val="0.7757808912919828"/>
          <c:h val="0.96707568739044092"/>
        </c:manualLayout>
      </c:layout>
      <c:ofPieChart>
        <c:ofPieType val="pie"/>
        <c:varyColors val="1"/>
        <c:ser>
          <c:idx val="0"/>
          <c:order val="0"/>
          <c:dPt>
            <c:idx val="0"/>
            <c:bubble3D val="0"/>
            <c:spPr>
              <a:solidFill>
                <a:schemeClr val="accent1">
                  <a:shade val="42000"/>
                </a:schemeClr>
              </a:solidFill>
              <a:ln w="19050">
                <a:solidFill>
                  <a:schemeClr val="lt1"/>
                </a:solidFill>
              </a:ln>
              <a:effectLst/>
            </c:spPr>
            <c:extLst>
              <c:ext xmlns:c16="http://schemas.microsoft.com/office/drawing/2014/chart" uri="{C3380CC4-5D6E-409C-BE32-E72D297353CC}">
                <c16:uniqueId val="{00000001-D6CA-4BAA-A81A-8343C14CB920}"/>
              </c:ext>
            </c:extLst>
          </c:dPt>
          <c:dPt>
            <c:idx val="1"/>
            <c:bubble3D val="0"/>
            <c:spPr>
              <a:solidFill>
                <a:schemeClr val="accent1">
                  <a:shade val="55000"/>
                </a:schemeClr>
              </a:solidFill>
              <a:ln w="19050">
                <a:solidFill>
                  <a:schemeClr val="lt1"/>
                </a:solidFill>
              </a:ln>
              <a:effectLst/>
            </c:spPr>
            <c:extLst>
              <c:ext xmlns:c16="http://schemas.microsoft.com/office/drawing/2014/chart" uri="{C3380CC4-5D6E-409C-BE32-E72D297353CC}">
                <c16:uniqueId val="{00000003-D6CA-4BAA-A81A-8343C14CB920}"/>
              </c:ext>
            </c:extLst>
          </c:dPt>
          <c:dPt>
            <c:idx val="2"/>
            <c:bubble3D val="0"/>
            <c:spPr>
              <a:solidFill>
                <a:schemeClr val="accent1">
                  <a:shade val="68000"/>
                </a:schemeClr>
              </a:solidFill>
              <a:ln w="19050">
                <a:solidFill>
                  <a:schemeClr val="lt1"/>
                </a:solidFill>
              </a:ln>
              <a:effectLst/>
            </c:spPr>
            <c:extLst>
              <c:ext xmlns:c16="http://schemas.microsoft.com/office/drawing/2014/chart" uri="{C3380CC4-5D6E-409C-BE32-E72D297353CC}">
                <c16:uniqueId val="{00000005-D6CA-4BAA-A81A-8343C14CB920}"/>
              </c:ext>
            </c:extLst>
          </c:dPt>
          <c:dPt>
            <c:idx val="3"/>
            <c:bubble3D val="0"/>
            <c:spPr>
              <a:solidFill>
                <a:schemeClr val="accent1">
                  <a:shade val="80000"/>
                </a:schemeClr>
              </a:solidFill>
              <a:ln w="19050">
                <a:solidFill>
                  <a:schemeClr val="lt1"/>
                </a:solidFill>
              </a:ln>
              <a:effectLst/>
            </c:spPr>
            <c:extLst>
              <c:ext xmlns:c16="http://schemas.microsoft.com/office/drawing/2014/chart" uri="{C3380CC4-5D6E-409C-BE32-E72D297353CC}">
                <c16:uniqueId val="{00000007-D6CA-4BAA-A81A-8343C14CB920}"/>
              </c:ext>
            </c:extLst>
          </c:dPt>
          <c:dPt>
            <c:idx val="4"/>
            <c:bubble3D val="0"/>
            <c:spPr>
              <a:solidFill>
                <a:schemeClr val="accent1">
                  <a:shade val="93000"/>
                </a:schemeClr>
              </a:solidFill>
              <a:ln w="19050">
                <a:solidFill>
                  <a:schemeClr val="lt1"/>
                </a:solidFill>
              </a:ln>
              <a:effectLst/>
            </c:spPr>
            <c:extLst>
              <c:ext xmlns:c16="http://schemas.microsoft.com/office/drawing/2014/chart" uri="{C3380CC4-5D6E-409C-BE32-E72D297353CC}">
                <c16:uniqueId val="{00000009-D6CA-4BAA-A81A-8343C14CB920}"/>
              </c:ext>
            </c:extLst>
          </c:dPt>
          <c:dPt>
            <c:idx val="5"/>
            <c:bubble3D val="0"/>
            <c:spPr>
              <a:solidFill>
                <a:schemeClr val="accent1">
                  <a:tint val="94000"/>
                </a:schemeClr>
              </a:solidFill>
              <a:ln w="19050">
                <a:solidFill>
                  <a:schemeClr val="lt1"/>
                </a:solidFill>
              </a:ln>
              <a:effectLst/>
            </c:spPr>
            <c:extLst>
              <c:ext xmlns:c16="http://schemas.microsoft.com/office/drawing/2014/chart" uri="{C3380CC4-5D6E-409C-BE32-E72D297353CC}">
                <c16:uniqueId val="{0000000B-D6CA-4BAA-A81A-8343C14CB920}"/>
              </c:ext>
            </c:extLst>
          </c:dPt>
          <c:dPt>
            <c:idx val="6"/>
            <c:bubble3D val="0"/>
            <c:spPr>
              <a:solidFill>
                <a:schemeClr val="accent1">
                  <a:tint val="81000"/>
                </a:schemeClr>
              </a:solidFill>
              <a:ln w="19050">
                <a:solidFill>
                  <a:schemeClr val="lt1"/>
                </a:solidFill>
              </a:ln>
              <a:effectLst/>
            </c:spPr>
            <c:extLst>
              <c:ext xmlns:c16="http://schemas.microsoft.com/office/drawing/2014/chart" uri="{C3380CC4-5D6E-409C-BE32-E72D297353CC}">
                <c16:uniqueId val="{0000000D-D6CA-4BAA-A81A-8343C14CB920}"/>
              </c:ext>
            </c:extLst>
          </c:dPt>
          <c:dPt>
            <c:idx val="7"/>
            <c:bubble3D val="0"/>
            <c:spPr>
              <a:solidFill>
                <a:schemeClr val="accent1">
                  <a:tint val="69000"/>
                </a:schemeClr>
              </a:solidFill>
              <a:ln w="19050">
                <a:solidFill>
                  <a:schemeClr val="lt1"/>
                </a:solidFill>
              </a:ln>
              <a:effectLst/>
            </c:spPr>
            <c:extLst>
              <c:ext xmlns:c16="http://schemas.microsoft.com/office/drawing/2014/chart" uri="{C3380CC4-5D6E-409C-BE32-E72D297353CC}">
                <c16:uniqueId val="{0000000F-D6CA-4BAA-A81A-8343C14CB920}"/>
              </c:ext>
            </c:extLst>
          </c:dPt>
          <c:dPt>
            <c:idx val="8"/>
            <c:bubble3D val="0"/>
            <c:spPr>
              <a:solidFill>
                <a:schemeClr val="accent1">
                  <a:tint val="56000"/>
                </a:schemeClr>
              </a:solidFill>
              <a:ln w="19050">
                <a:solidFill>
                  <a:schemeClr val="lt1"/>
                </a:solidFill>
              </a:ln>
              <a:effectLst/>
            </c:spPr>
            <c:extLst>
              <c:ext xmlns:c16="http://schemas.microsoft.com/office/drawing/2014/chart" uri="{C3380CC4-5D6E-409C-BE32-E72D297353CC}">
                <c16:uniqueId val="{00000011-D6CA-4BAA-A81A-8343C14CB920}"/>
              </c:ext>
            </c:extLst>
          </c:dPt>
          <c:dPt>
            <c:idx val="9"/>
            <c:bubble3D val="0"/>
            <c:spPr>
              <a:solidFill>
                <a:schemeClr val="accent1">
                  <a:tint val="43000"/>
                </a:schemeClr>
              </a:solidFill>
              <a:ln w="19050">
                <a:solidFill>
                  <a:schemeClr val="lt1"/>
                </a:solidFill>
              </a:ln>
              <a:effectLst/>
            </c:spPr>
            <c:extLst>
              <c:ext xmlns:c16="http://schemas.microsoft.com/office/drawing/2014/chart" uri="{C3380CC4-5D6E-409C-BE32-E72D297353CC}">
                <c16:uniqueId val="{00000013-D6CA-4BAA-A81A-8343C14CB920}"/>
              </c:ext>
            </c:extLst>
          </c:dPt>
          <c:dPt>
            <c:idx val="10"/>
            <c:bubble3D val="0"/>
            <c:spPr>
              <a:solidFill>
                <a:schemeClr val="accent1">
                  <a:tint val="30000"/>
                </a:schemeClr>
              </a:solidFill>
              <a:ln w="19050">
                <a:solidFill>
                  <a:schemeClr val="lt1"/>
                </a:solidFill>
              </a:ln>
              <a:effectLst/>
            </c:spPr>
            <c:extLst>
              <c:ext xmlns:c16="http://schemas.microsoft.com/office/drawing/2014/chart" uri="{C3380CC4-5D6E-409C-BE32-E72D297353CC}">
                <c16:uniqueId val="{00000015-D6CA-4BAA-A81A-8343C14CB920}"/>
              </c:ext>
            </c:extLst>
          </c:dPt>
          <c:dPt>
            <c:idx val="11"/>
            <c:bubble3D val="0"/>
            <c:spPr>
              <a:solidFill>
                <a:schemeClr val="accent1">
                  <a:tint val="18000"/>
                </a:schemeClr>
              </a:solidFill>
              <a:ln w="19050">
                <a:solidFill>
                  <a:schemeClr val="lt1"/>
                </a:solidFill>
              </a:ln>
              <a:effectLst/>
            </c:spPr>
            <c:extLst>
              <c:ext xmlns:c16="http://schemas.microsoft.com/office/drawing/2014/chart" uri="{C3380CC4-5D6E-409C-BE32-E72D297353CC}">
                <c16:uniqueId val="{00000017-D6CA-4BAA-A81A-8343C14CB920}"/>
              </c:ext>
            </c:extLst>
          </c:dPt>
          <c:dLbls>
            <c:dLbl>
              <c:idx val="0"/>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extLst>
                <c:ext xmlns:c16="http://schemas.microsoft.com/office/drawing/2014/chart" uri="{C3380CC4-5D6E-409C-BE32-E72D297353CC}">
                  <c16:uniqueId val="{00000001-D6CA-4BAA-A81A-8343C14CB920}"/>
                </c:ext>
              </c:extLst>
            </c:dLbl>
            <c:dLbl>
              <c:idx val="1"/>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extLst>
                <c:ext xmlns:c16="http://schemas.microsoft.com/office/drawing/2014/chart" uri="{C3380CC4-5D6E-409C-BE32-E72D297353CC}">
                  <c16:uniqueId val="{00000003-D6CA-4BAA-A81A-8343C14CB920}"/>
                </c:ext>
              </c:extLst>
            </c:dLbl>
            <c:dLbl>
              <c:idx val="2"/>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extLst>
                <c:ext xmlns:c16="http://schemas.microsoft.com/office/drawing/2014/chart" uri="{C3380CC4-5D6E-409C-BE32-E72D297353CC}">
                  <c16:uniqueId val="{00000005-D6CA-4BAA-A81A-8343C14CB920}"/>
                </c:ext>
              </c:extLst>
            </c:dLbl>
            <c:dLbl>
              <c:idx val="3"/>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extLst>
                <c:ext xmlns:c16="http://schemas.microsoft.com/office/drawing/2014/chart" uri="{C3380CC4-5D6E-409C-BE32-E72D297353CC}">
                  <c16:uniqueId val="{00000007-D6CA-4BAA-A81A-8343C14CB920}"/>
                </c:ext>
              </c:extLst>
            </c:dLbl>
            <c:dLbl>
              <c:idx val="4"/>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extLst>
                <c:ext xmlns:c16="http://schemas.microsoft.com/office/drawing/2014/chart" uri="{C3380CC4-5D6E-409C-BE32-E72D297353CC}">
                  <c16:uniqueId val="{00000009-D6CA-4BAA-A81A-8343C14CB920}"/>
                </c:ext>
              </c:extLst>
            </c:dLbl>
            <c:dLbl>
              <c:idx val="5"/>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extLst>
                <c:ext xmlns:c16="http://schemas.microsoft.com/office/drawing/2014/chart" uri="{C3380CC4-5D6E-409C-BE32-E72D297353CC}">
                  <c16:uniqueId val="{0000000B-D6CA-4BAA-A81A-8343C14CB920}"/>
                </c:ext>
              </c:extLst>
            </c:dLbl>
            <c:dLbl>
              <c:idx val="6"/>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extLst>
                <c:ext xmlns:c16="http://schemas.microsoft.com/office/drawing/2014/chart" uri="{C3380CC4-5D6E-409C-BE32-E72D297353CC}">
                  <c16:uniqueId val="{0000000D-D6CA-4BAA-A81A-8343C14CB920}"/>
                </c:ext>
              </c:extLst>
            </c:dLbl>
            <c:dLbl>
              <c:idx val="7"/>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extLst>
                <c:ext xmlns:c16="http://schemas.microsoft.com/office/drawing/2014/chart" uri="{C3380CC4-5D6E-409C-BE32-E72D297353CC}">
                  <c16:uniqueId val="{0000000F-D6CA-4BAA-A81A-8343C14CB920}"/>
                </c:ext>
              </c:extLst>
            </c:dLbl>
            <c:dLbl>
              <c:idx val="8"/>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extLst>
                <c:ext xmlns:c16="http://schemas.microsoft.com/office/drawing/2014/chart" uri="{C3380CC4-5D6E-409C-BE32-E72D297353CC}">
                  <c16:uniqueId val="{00000011-D6CA-4BAA-A81A-8343C14CB920}"/>
                </c:ext>
              </c:extLst>
            </c:dLbl>
            <c:dLbl>
              <c:idx val="9"/>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extLst>
                <c:ext xmlns:c16="http://schemas.microsoft.com/office/drawing/2014/chart" uri="{C3380CC4-5D6E-409C-BE32-E72D297353CC}">
                  <c16:uniqueId val="{00000013-D6CA-4BAA-A81A-8343C14CB920}"/>
                </c:ext>
              </c:extLst>
            </c:dLbl>
            <c:dLbl>
              <c:idx val="1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extLst>
                <c:ext xmlns:c16="http://schemas.microsoft.com/office/drawing/2014/chart" uri="{C3380CC4-5D6E-409C-BE32-E72D297353CC}">
                  <c16:uniqueId val="{00000015-D6CA-4BAA-A81A-8343C14CB920}"/>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Údaje!$A$61:$A$70</c:f>
              <c:strCache>
                <c:ptCount val="10"/>
                <c:pt idx="0">
                  <c:v>OP ĽZ</c:v>
                </c:pt>
                <c:pt idx="1">
                  <c:v>OPII</c:v>
                </c:pt>
                <c:pt idx="2">
                  <c:v>OP KŽP</c:v>
                </c:pt>
                <c:pt idx="3">
                  <c:v>IROP</c:v>
                </c:pt>
                <c:pt idx="4">
                  <c:v>OP EVS</c:v>
                </c:pt>
                <c:pt idx="5">
                  <c:v>OP TP</c:v>
                </c:pt>
                <c:pt idx="6">
                  <c:v>OP RH</c:v>
                </c:pt>
                <c:pt idx="7">
                  <c:v>Program Interreg V-A SK-CZ</c:v>
                </c:pt>
                <c:pt idx="8">
                  <c:v>Program Interreg V-A SK-AT</c:v>
                </c:pt>
                <c:pt idx="9">
                  <c:v>PS INTERACT</c:v>
                </c:pt>
              </c:strCache>
            </c:strRef>
          </c:cat>
          <c:val>
            <c:numRef>
              <c:f>Údaje!$B$61:$B$70</c:f>
              <c:numCache>
                <c:formatCode>#,##0.00</c:formatCode>
                <c:ptCount val="10"/>
                <c:pt idx="0">
                  <c:v>20.207075004975401</c:v>
                </c:pt>
                <c:pt idx="1">
                  <c:v>43.70488983918829</c:v>
                </c:pt>
                <c:pt idx="2">
                  <c:v>21.782682354234975</c:v>
                </c:pt>
                <c:pt idx="3">
                  <c:v>9.5190078912704319</c:v>
                </c:pt>
                <c:pt idx="4">
                  <c:v>1.8363281131812692</c:v>
                </c:pt>
                <c:pt idx="5">
                  <c:v>2.00283604770173</c:v>
                </c:pt>
                <c:pt idx="6">
                  <c:v>2.7621171815041014E-2</c:v>
                </c:pt>
                <c:pt idx="7">
                  <c:v>0.2861761764582042</c:v>
                </c:pt>
                <c:pt idx="8">
                  <c:v>0.19318694450023022</c:v>
                </c:pt>
                <c:pt idx="9">
                  <c:v>0.44019645667442214</c:v>
                </c:pt>
              </c:numCache>
            </c:numRef>
          </c:val>
          <c:extLst>
            <c:ext xmlns:c16="http://schemas.microsoft.com/office/drawing/2014/chart" uri="{C3380CC4-5D6E-409C-BE32-E72D297353CC}">
              <c16:uniqueId val="{00000018-D6CA-4BAA-A81A-8343C14CB920}"/>
            </c:ext>
          </c:extLst>
        </c:ser>
        <c:dLbls>
          <c:dLblPos val="bestFit"/>
          <c:showLegendKey val="0"/>
          <c:showVal val="1"/>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l"/>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1000">
          <a:latin typeface="Arial Narrow" panose="020B0606020202030204" pitchFamily="34" charset="0"/>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63580709516916E-2"/>
          <c:y val="7.2751322751322747E-2"/>
          <c:w val="0.9307398015925975"/>
          <c:h val="0.78776056918505022"/>
        </c:manualLayout>
      </c:layout>
      <c:barChart>
        <c:barDir val="col"/>
        <c:grouping val="clustered"/>
        <c:varyColors val="0"/>
        <c:ser>
          <c:idx val="0"/>
          <c:order val="0"/>
          <c:tx>
            <c:strRef>
              <c:f>Hárok1!$B$1</c:f>
              <c:strCache>
                <c:ptCount val="1"/>
                <c:pt idx="0">
                  <c:v>2019 OS</c:v>
                </c:pt>
              </c:strCache>
            </c:strRef>
          </c:tx>
          <c:spPr>
            <a:solidFill>
              <a:srgbClr val="0070C0"/>
            </a:solidFill>
            <a:ln>
              <a:noFill/>
            </a:ln>
            <a:effectLst/>
          </c:spPr>
          <c:invertIfNegative val="0"/>
          <c:dPt>
            <c:idx val="7"/>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1-B4F7-4FA6-9CF9-12E85A784CBD}"/>
              </c:ext>
            </c:extLst>
          </c:dPt>
          <c:dPt>
            <c:idx val="9"/>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B4F7-4FA6-9CF9-12E85A784CBD}"/>
              </c:ext>
            </c:extLst>
          </c:dPt>
          <c:dPt>
            <c:idx val="1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5-B4F7-4FA6-9CF9-12E85A784CBD}"/>
              </c:ext>
            </c:extLst>
          </c:dPt>
          <c:dPt>
            <c:idx val="18"/>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B-B4F7-4FA6-9CF9-12E85A784CBD}"/>
              </c:ext>
            </c:extLst>
          </c:dPt>
          <c:dPt>
            <c:idx val="20"/>
            <c:invertIfNegative val="0"/>
            <c:bubble3D val="0"/>
            <c:spPr>
              <a:solidFill>
                <a:schemeClr val="accent2"/>
              </a:solidFill>
              <a:ln>
                <a:noFill/>
              </a:ln>
              <a:effectLst/>
            </c:spPr>
            <c:extLst>
              <c:ext xmlns:c16="http://schemas.microsoft.com/office/drawing/2014/chart" uri="{C3380CC4-5D6E-409C-BE32-E72D297353CC}">
                <c16:uniqueId val="{00000007-B4F7-4FA6-9CF9-12E85A784CBD}"/>
              </c:ext>
            </c:extLst>
          </c:dPt>
          <c:dPt>
            <c:idx val="22"/>
            <c:invertIfNegative val="0"/>
            <c:bubble3D val="0"/>
            <c:spPr>
              <a:solidFill>
                <a:srgbClr val="0070C0"/>
              </a:solidFill>
              <a:ln>
                <a:noFill/>
              </a:ln>
              <a:effectLst/>
            </c:spPr>
            <c:extLst>
              <c:ext xmlns:c16="http://schemas.microsoft.com/office/drawing/2014/chart" uri="{C3380CC4-5D6E-409C-BE32-E72D297353CC}">
                <c16:uniqueId val="{00000009-B4F7-4FA6-9CF9-12E85A784CBD}"/>
              </c:ext>
            </c:extLst>
          </c:dPt>
          <c:dPt>
            <c:idx val="2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E-B4F7-4FA6-9CF9-12E85A784CBD}"/>
              </c:ext>
            </c:extLst>
          </c:dPt>
          <c:dPt>
            <c:idx val="25"/>
            <c:invertIfNegative val="0"/>
            <c:bubble3D val="0"/>
            <c:spPr>
              <a:solidFill>
                <a:srgbClr val="0070C0"/>
              </a:solidFill>
              <a:ln>
                <a:noFill/>
              </a:ln>
              <a:effectLst/>
            </c:spPr>
            <c:extLst>
              <c:ext xmlns:c16="http://schemas.microsoft.com/office/drawing/2014/chart" uri="{C3380CC4-5D6E-409C-BE32-E72D297353CC}">
                <c16:uniqueId val="{0000000B-B4F7-4FA6-9CF9-12E85A784CBD}"/>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4F7-4FA6-9CF9-12E85A784CBD}"/>
                </c:ext>
              </c:extLst>
            </c:dLbl>
            <c:dLbl>
              <c:idx val="1"/>
              <c:tx>
                <c:rich>
                  <a:bodyPr/>
                  <a:lstStyle/>
                  <a:p>
                    <a:fld id="{0D4CCF6B-F3BF-4A9A-B4D6-12CCCAAE1D11}" type="CELLRANGE">
                      <a:rPr lang="en-US"/>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B4F7-4FA6-9CF9-12E85A784CBD}"/>
                </c:ext>
              </c:extLst>
            </c:dLbl>
            <c:dLbl>
              <c:idx val="2"/>
              <c:tx>
                <c:rich>
                  <a:bodyPr/>
                  <a:lstStyle/>
                  <a:p>
                    <a:fld id="{671AEC6B-0A41-48C3-9805-B59AF2DF92C9}"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B4F7-4FA6-9CF9-12E85A784CBD}"/>
                </c:ext>
              </c:extLst>
            </c:dLbl>
            <c:dLbl>
              <c:idx val="3"/>
              <c:tx>
                <c:rich>
                  <a:bodyPr/>
                  <a:lstStyle/>
                  <a:p>
                    <a:fld id="{A44765F6-A104-4981-940D-FDD438291446}"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B4F7-4FA6-9CF9-12E85A784CBD}"/>
                </c:ext>
              </c:extLst>
            </c:dLbl>
            <c:dLbl>
              <c:idx val="4"/>
              <c:tx>
                <c:rich>
                  <a:bodyPr/>
                  <a:lstStyle/>
                  <a:p>
                    <a:fld id="{EE5109FB-0B94-41A1-B914-ADF7A1F49C4E}"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B4F7-4FA6-9CF9-12E85A784CBD}"/>
                </c:ext>
              </c:extLst>
            </c:dLbl>
            <c:dLbl>
              <c:idx val="5"/>
              <c:tx>
                <c:rich>
                  <a:bodyPr/>
                  <a:lstStyle/>
                  <a:p>
                    <a:fld id="{153FCC36-31F0-4A35-82D0-430D947A1C00}"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B4F7-4FA6-9CF9-12E85A784CBD}"/>
                </c:ext>
              </c:extLst>
            </c:dLbl>
            <c:dLbl>
              <c:idx val="6"/>
              <c:tx>
                <c:rich>
                  <a:bodyPr/>
                  <a:lstStyle/>
                  <a:p>
                    <a:fld id="{3CEDB2B8-8B7E-4780-82FA-B36692A93FB3}"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B4F7-4FA6-9CF9-12E85A784CBD}"/>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F7-4FA6-9CF9-12E85A784CBD}"/>
                </c:ext>
              </c:extLst>
            </c:dLbl>
            <c:dLbl>
              <c:idx val="8"/>
              <c:tx>
                <c:rich>
                  <a:bodyPr/>
                  <a:lstStyle/>
                  <a:p>
                    <a:fld id="{B32CCF3F-2BFA-4F57-AB89-3E0FBABCF0D1}"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B4F7-4FA6-9CF9-12E85A784CBD}"/>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F7-4FA6-9CF9-12E85A784CBD}"/>
                </c:ext>
              </c:extLst>
            </c:dLbl>
            <c:dLbl>
              <c:idx val="10"/>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4F7-4FA6-9CF9-12E85A784CBD}"/>
                </c:ext>
              </c:extLst>
            </c:dLbl>
            <c:dLbl>
              <c:idx val="11"/>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4F7-4FA6-9CF9-12E85A784CBD}"/>
                </c:ext>
              </c:extLst>
            </c:dLbl>
            <c:dLbl>
              <c:idx val="12"/>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4F7-4FA6-9CF9-12E85A784CBD}"/>
                </c:ext>
              </c:extLst>
            </c:dLbl>
            <c:dLbl>
              <c:idx val="1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F7-4FA6-9CF9-12E85A784CBD}"/>
                </c:ext>
              </c:extLst>
            </c:dLbl>
            <c:dLbl>
              <c:idx val="14"/>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4F7-4FA6-9CF9-12E85A784CBD}"/>
                </c:ext>
              </c:extLst>
            </c:dLbl>
            <c:dLbl>
              <c:idx val="15"/>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4F7-4FA6-9CF9-12E85A784CBD}"/>
                </c:ext>
              </c:extLst>
            </c:dLbl>
            <c:dLbl>
              <c:idx val="16"/>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4F7-4FA6-9CF9-12E85A784CBD}"/>
                </c:ext>
              </c:extLst>
            </c:dLbl>
            <c:dLbl>
              <c:idx val="17"/>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4F7-4FA6-9CF9-12E85A784CBD}"/>
                </c:ext>
              </c:extLst>
            </c:dLbl>
            <c:dLbl>
              <c:idx val="1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4F7-4FA6-9CF9-12E85A784CBD}"/>
                </c:ext>
              </c:extLst>
            </c:dLbl>
            <c:dLbl>
              <c:idx val="19"/>
              <c:delete val="1"/>
              <c:extLst>
                <c:ext xmlns:c15="http://schemas.microsoft.com/office/drawing/2012/chart" uri="{CE6537A1-D6FC-4f65-9D91-7224C49458BB}"/>
                <c:ext xmlns:c16="http://schemas.microsoft.com/office/drawing/2014/chart" uri="{C3380CC4-5D6E-409C-BE32-E72D297353CC}">
                  <c16:uniqueId val="{0000001C-B4F7-4FA6-9CF9-12E85A784CBD}"/>
                </c:ext>
              </c:extLst>
            </c:dLbl>
            <c:dLbl>
              <c:idx val="2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4F7-4FA6-9CF9-12E85A784CBD}"/>
                </c:ext>
              </c:extLst>
            </c:dLbl>
            <c:dLbl>
              <c:idx val="21"/>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4F7-4FA6-9CF9-12E85A784CBD}"/>
                </c:ext>
              </c:extLst>
            </c:dLbl>
            <c:dLbl>
              <c:idx val="22"/>
              <c:delete val="1"/>
              <c:extLst>
                <c:ext xmlns:c15="http://schemas.microsoft.com/office/drawing/2012/chart" uri="{CE6537A1-D6FC-4f65-9D91-7224C49458BB}"/>
                <c:ext xmlns:c16="http://schemas.microsoft.com/office/drawing/2014/chart" uri="{C3380CC4-5D6E-409C-BE32-E72D297353CC}">
                  <c16:uniqueId val="{00000009-B4F7-4FA6-9CF9-12E85A784CBD}"/>
                </c:ext>
              </c:extLst>
            </c:dLbl>
            <c:dLbl>
              <c:idx val="2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B4F7-4FA6-9CF9-12E85A784CBD}"/>
                </c:ext>
              </c:extLst>
            </c:dLbl>
            <c:dLbl>
              <c:idx val="24"/>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B4F7-4FA6-9CF9-12E85A784CBD}"/>
                </c:ext>
              </c:extLst>
            </c:dLbl>
            <c:dLbl>
              <c:idx val="25"/>
              <c:delete val="1"/>
              <c:extLst>
                <c:ext xmlns:c15="http://schemas.microsoft.com/office/drawing/2012/chart" uri="{CE6537A1-D6FC-4f65-9D91-7224C49458BB}"/>
                <c:ext xmlns:c16="http://schemas.microsoft.com/office/drawing/2014/chart" uri="{C3380CC4-5D6E-409C-BE32-E72D297353CC}">
                  <c16:uniqueId val="{0000000B-B4F7-4FA6-9CF9-12E85A784CBD}"/>
                </c:ext>
              </c:extLst>
            </c:dLbl>
            <c:dLbl>
              <c:idx val="26"/>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B4F7-4FA6-9CF9-12E85A784CBD}"/>
                </c:ext>
              </c:extLst>
            </c:dLbl>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B4F7-4FA6-9CF9-12E85A784CBD}"/>
                </c:ext>
              </c:extLst>
            </c:dLbl>
            <c:dLbl>
              <c:idx val="28"/>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B4F7-4FA6-9CF9-12E85A784CBD}"/>
                </c:ext>
              </c:extLst>
            </c:dLbl>
            <c:dLbl>
              <c:idx val="2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B4F7-4FA6-9CF9-12E85A784C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Hárok1!$A$2:$A$29</c:f>
              <c:strCache>
                <c:ptCount val="28"/>
                <c:pt idx="0">
                  <c:v>DK</c:v>
                </c:pt>
                <c:pt idx="1">
                  <c:v>LU</c:v>
                </c:pt>
                <c:pt idx="2">
                  <c:v>BG</c:v>
                </c:pt>
                <c:pt idx="3">
                  <c:v>CY</c:v>
                </c:pt>
                <c:pt idx="4">
                  <c:v>NL</c:v>
                </c:pt>
                <c:pt idx="5">
                  <c:v>EL</c:v>
                </c:pt>
                <c:pt idx="6">
                  <c:v>DE</c:v>
                </c:pt>
                <c:pt idx="7">
                  <c:v>AT</c:v>
                </c:pt>
                <c:pt idx="8">
                  <c:v>MT</c:v>
                </c:pt>
                <c:pt idx="9">
                  <c:v>SI</c:v>
                </c:pt>
                <c:pt idx="10">
                  <c:v>SE</c:v>
                </c:pt>
                <c:pt idx="11">
                  <c:v>IE</c:v>
                </c:pt>
                <c:pt idx="12">
                  <c:v>HR</c:v>
                </c:pt>
                <c:pt idx="13">
                  <c:v>CZ</c:v>
                </c:pt>
                <c:pt idx="14">
                  <c:v>LT</c:v>
                </c:pt>
                <c:pt idx="15">
                  <c:v>PT</c:v>
                </c:pt>
                <c:pt idx="16">
                  <c:v>LV</c:v>
                </c:pt>
                <c:pt idx="17">
                  <c:v>EE</c:v>
                </c:pt>
                <c:pt idx="18">
                  <c:v>PL</c:v>
                </c:pt>
                <c:pt idx="19">
                  <c:v>FI</c:v>
                </c:pt>
                <c:pt idx="20">
                  <c:v>SK</c:v>
                </c:pt>
                <c:pt idx="21">
                  <c:v>IT</c:v>
                </c:pt>
                <c:pt idx="22">
                  <c:v>BE</c:v>
                </c:pt>
                <c:pt idx="23">
                  <c:v>HU</c:v>
                </c:pt>
                <c:pt idx="24">
                  <c:v>UK</c:v>
                </c:pt>
                <c:pt idx="25">
                  <c:v>ES</c:v>
                </c:pt>
                <c:pt idx="26">
                  <c:v>FR</c:v>
                </c:pt>
                <c:pt idx="27">
                  <c:v>RO</c:v>
                </c:pt>
              </c:strCache>
            </c:strRef>
          </c:cat>
          <c:val>
            <c:numRef>
              <c:f>Hárok1!$B$2:$B$29</c:f>
              <c:numCache>
                <c:formatCode>General</c:formatCode>
                <c:ptCount val="28"/>
                <c:pt idx="0">
                  <c:v>3.7</c:v>
                </c:pt>
                <c:pt idx="1">
                  <c:v>2.2000000000000002</c:v>
                </c:pt>
                <c:pt idx="2">
                  <c:v>2.1</c:v>
                </c:pt>
                <c:pt idx="3">
                  <c:v>1.7</c:v>
                </c:pt>
                <c:pt idx="4">
                  <c:v>1.7</c:v>
                </c:pt>
                <c:pt idx="5">
                  <c:v>1.5</c:v>
                </c:pt>
                <c:pt idx="6">
                  <c:v>1.4</c:v>
                </c:pt>
                <c:pt idx="7">
                  <c:v>0.7</c:v>
                </c:pt>
                <c:pt idx="8">
                  <c:v>0.5</c:v>
                </c:pt>
                <c:pt idx="9">
                  <c:v>0.5</c:v>
                </c:pt>
                <c:pt idx="10">
                  <c:v>0.5</c:v>
                </c:pt>
                <c:pt idx="11">
                  <c:v>0.4</c:v>
                </c:pt>
                <c:pt idx="12">
                  <c:v>0.4</c:v>
                </c:pt>
                <c:pt idx="13">
                  <c:v>0.3</c:v>
                </c:pt>
                <c:pt idx="14">
                  <c:v>0.3</c:v>
                </c:pt>
                <c:pt idx="15">
                  <c:v>0.2</c:v>
                </c:pt>
                <c:pt idx="16">
                  <c:v>-0.2</c:v>
                </c:pt>
                <c:pt idx="17">
                  <c:v>-0.3</c:v>
                </c:pt>
                <c:pt idx="18">
                  <c:v>-0.7</c:v>
                </c:pt>
                <c:pt idx="19">
                  <c:v>-1.1000000000000001</c:v>
                </c:pt>
                <c:pt idx="20">
                  <c:v>-1.3</c:v>
                </c:pt>
                <c:pt idx="21">
                  <c:v>-1.6</c:v>
                </c:pt>
                <c:pt idx="22">
                  <c:v>-1.9</c:v>
                </c:pt>
                <c:pt idx="23">
                  <c:v>-2</c:v>
                </c:pt>
                <c:pt idx="24">
                  <c:v>-2.1</c:v>
                </c:pt>
                <c:pt idx="25">
                  <c:v>-2.8</c:v>
                </c:pt>
                <c:pt idx="26">
                  <c:v>-3</c:v>
                </c:pt>
                <c:pt idx="27">
                  <c:v>-4.3</c:v>
                </c:pt>
              </c:numCache>
            </c:numRef>
          </c:val>
          <c:extLst>
            <c:ext xmlns:c15="http://schemas.microsoft.com/office/drawing/2012/chart" uri="{02D57815-91ED-43cb-92C2-25804820EDAC}">
              <c15:datalabelsRange>
                <c15:f>Hárok1!$E$3:$E$12</c15:f>
                <c15:dlblRangeCache>
                  <c:ptCount val="10"/>
                </c15:dlblRangeCache>
              </c15:datalabelsRange>
            </c:ext>
            <c:ext xmlns:c16="http://schemas.microsoft.com/office/drawing/2014/chart" uri="{C3380CC4-5D6E-409C-BE32-E72D297353CC}">
              <c16:uniqueId val="{00000024-B4F7-4FA6-9CF9-12E85A784CBD}"/>
            </c:ext>
          </c:extLst>
        </c:ser>
        <c:dLbls>
          <c:showLegendKey val="0"/>
          <c:showVal val="1"/>
          <c:showCatName val="0"/>
          <c:showSerName val="0"/>
          <c:showPercent val="0"/>
          <c:showBubbleSize val="0"/>
        </c:dLbls>
        <c:gapWidth val="75"/>
        <c:axId val="74318240"/>
        <c:axId val="2092458832"/>
      </c:barChart>
      <c:lineChart>
        <c:grouping val="standard"/>
        <c:varyColors val="0"/>
        <c:ser>
          <c:idx val="1"/>
          <c:order val="1"/>
          <c:tx>
            <c:strRef>
              <c:f>Hárok1!$C$1</c:f>
              <c:strCache>
                <c:ptCount val="1"/>
                <c:pt idx="0">
                  <c:v>EÚ 27 a EÚ 19</c:v>
                </c:pt>
              </c:strCache>
            </c:strRef>
          </c:tx>
          <c:spPr>
            <a:ln w="12700" cap="rnd">
              <a:solidFill>
                <a:schemeClr val="tx1"/>
              </a:solidFill>
              <a:prstDash val="dash"/>
              <a:round/>
            </a:ln>
            <a:effectLst/>
          </c:spPr>
          <c:marker>
            <c:symbol val="none"/>
          </c:marker>
          <c:cat>
            <c:strRef>
              <c:f>Hárok1!$A$2:$A$29</c:f>
              <c:strCache>
                <c:ptCount val="28"/>
                <c:pt idx="0">
                  <c:v>DK</c:v>
                </c:pt>
                <c:pt idx="1">
                  <c:v>LU</c:v>
                </c:pt>
                <c:pt idx="2">
                  <c:v>BG</c:v>
                </c:pt>
                <c:pt idx="3">
                  <c:v>CY</c:v>
                </c:pt>
                <c:pt idx="4">
                  <c:v>NL</c:v>
                </c:pt>
                <c:pt idx="5">
                  <c:v>EL</c:v>
                </c:pt>
                <c:pt idx="6">
                  <c:v>DE</c:v>
                </c:pt>
                <c:pt idx="7">
                  <c:v>AT</c:v>
                </c:pt>
                <c:pt idx="8">
                  <c:v>MT</c:v>
                </c:pt>
                <c:pt idx="9">
                  <c:v>SI</c:v>
                </c:pt>
                <c:pt idx="10">
                  <c:v>SE</c:v>
                </c:pt>
                <c:pt idx="11">
                  <c:v>IE</c:v>
                </c:pt>
                <c:pt idx="12">
                  <c:v>HR</c:v>
                </c:pt>
                <c:pt idx="13">
                  <c:v>CZ</c:v>
                </c:pt>
                <c:pt idx="14">
                  <c:v>LT</c:v>
                </c:pt>
                <c:pt idx="15">
                  <c:v>PT</c:v>
                </c:pt>
                <c:pt idx="16">
                  <c:v>LV</c:v>
                </c:pt>
                <c:pt idx="17">
                  <c:v>EE</c:v>
                </c:pt>
                <c:pt idx="18">
                  <c:v>PL</c:v>
                </c:pt>
                <c:pt idx="19">
                  <c:v>FI</c:v>
                </c:pt>
                <c:pt idx="20">
                  <c:v>SK</c:v>
                </c:pt>
                <c:pt idx="21">
                  <c:v>IT</c:v>
                </c:pt>
                <c:pt idx="22">
                  <c:v>BE</c:v>
                </c:pt>
                <c:pt idx="23">
                  <c:v>HU</c:v>
                </c:pt>
                <c:pt idx="24">
                  <c:v>UK</c:v>
                </c:pt>
                <c:pt idx="25">
                  <c:v>ES</c:v>
                </c:pt>
                <c:pt idx="26">
                  <c:v>FR</c:v>
                </c:pt>
                <c:pt idx="27">
                  <c:v>RO</c:v>
                </c:pt>
              </c:strCache>
            </c:strRef>
          </c:cat>
          <c:val>
            <c:numRef>
              <c:f>Hárok1!$C$2:$C$29</c:f>
              <c:numCache>
                <c:formatCode>General</c:formatCode>
                <c:ptCount val="28"/>
                <c:pt idx="0">
                  <c:v>-0.6</c:v>
                </c:pt>
                <c:pt idx="1">
                  <c:v>-0.6</c:v>
                </c:pt>
                <c:pt idx="2">
                  <c:v>-0.6</c:v>
                </c:pt>
                <c:pt idx="3">
                  <c:v>-0.6</c:v>
                </c:pt>
                <c:pt idx="4">
                  <c:v>-0.6</c:v>
                </c:pt>
                <c:pt idx="5">
                  <c:v>-0.6</c:v>
                </c:pt>
                <c:pt idx="6">
                  <c:v>-0.6</c:v>
                </c:pt>
                <c:pt idx="7">
                  <c:v>-0.6</c:v>
                </c:pt>
                <c:pt idx="8">
                  <c:v>-0.6</c:v>
                </c:pt>
                <c:pt idx="9">
                  <c:v>-0.6</c:v>
                </c:pt>
                <c:pt idx="10">
                  <c:v>-0.6</c:v>
                </c:pt>
                <c:pt idx="11">
                  <c:v>-0.6</c:v>
                </c:pt>
                <c:pt idx="12">
                  <c:v>-0.6</c:v>
                </c:pt>
                <c:pt idx="13">
                  <c:v>-0.6</c:v>
                </c:pt>
                <c:pt idx="14">
                  <c:v>-0.6</c:v>
                </c:pt>
                <c:pt idx="15">
                  <c:v>-0.6</c:v>
                </c:pt>
                <c:pt idx="16">
                  <c:v>-0.6</c:v>
                </c:pt>
                <c:pt idx="17">
                  <c:v>-0.6</c:v>
                </c:pt>
                <c:pt idx="18">
                  <c:v>-0.6</c:v>
                </c:pt>
                <c:pt idx="19">
                  <c:v>-0.6</c:v>
                </c:pt>
                <c:pt idx="20">
                  <c:v>-0.6</c:v>
                </c:pt>
                <c:pt idx="21">
                  <c:v>-0.6</c:v>
                </c:pt>
                <c:pt idx="22">
                  <c:v>-0.6</c:v>
                </c:pt>
                <c:pt idx="23">
                  <c:v>-0.6</c:v>
                </c:pt>
                <c:pt idx="24">
                  <c:v>-0.6</c:v>
                </c:pt>
                <c:pt idx="25">
                  <c:v>-0.6</c:v>
                </c:pt>
                <c:pt idx="26">
                  <c:v>-0.6</c:v>
                </c:pt>
                <c:pt idx="27">
                  <c:v>-0.6</c:v>
                </c:pt>
              </c:numCache>
            </c:numRef>
          </c:val>
          <c:smooth val="0"/>
          <c:extLst>
            <c:ext xmlns:c16="http://schemas.microsoft.com/office/drawing/2014/chart" uri="{C3380CC4-5D6E-409C-BE32-E72D297353CC}">
              <c16:uniqueId val="{0000000C-4AE6-4968-9CAC-FC1A286D0C78}"/>
            </c:ext>
          </c:extLst>
        </c:ser>
        <c:dLbls>
          <c:showLegendKey val="0"/>
          <c:showVal val="0"/>
          <c:showCatName val="0"/>
          <c:showSerName val="0"/>
          <c:showPercent val="0"/>
          <c:showBubbleSize val="0"/>
        </c:dLbls>
        <c:marker val="1"/>
        <c:smooth val="0"/>
        <c:axId val="74318240"/>
        <c:axId val="2092458832"/>
      </c:lineChart>
      <c:catAx>
        <c:axId val="743182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2092458832"/>
        <c:crosses val="autoZero"/>
        <c:auto val="1"/>
        <c:lblAlgn val="ctr"/>
        <c:lblOffset val="100"/>
        <c:noMultiLvlLbl val="0"/>
      </c:catAx>
      <c:valAx>
        <c:axId val="209245883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r>
                  <a:rPr lang="sk-SK" sz="900"/>
                  <a:t>% HDP</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74318240"/>
        <c:crosses val="autoZero"/>
        <c:crossBetween val="between"/>
        <c:majorUnit val="2"/>
      </c:valAx>
      <c:spPr>
        <a:noFill/>
        <a:ln>
          <a:noFill/>
        </a:ln>
        <a:effectLst/>
      </c:spPr>
    </c:plotArea>
    <c:legend>
      <c:legendPos val="r"/>
      <c:layout>
        <c:manualLayout>
          <c:xMode val="edge"/>
          <c:yMode val="edge"/>
          <c:x val="0.80287858411440416"/>
          <c:y val="3.7960673304266716E-2"/>
          <c:w val="0.18842954278694302"/>
          <c:h val="0.2215993145484913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79919615311244"/>
          <c:y val="5.9331175836030203E-2"/>
          <c:w val="0.70045833086653642"/>
          <c:h val="0.7286509695996739"/>
        </c:manualLayout>
      </c:layout>
      <c:barChart>
        <c:barDir val="bar"/>
        <c:grouping val="clustered"/>
        <c:varyColors val="0"/>
        <c:ser>
          <c:idx val="0"/>
          <c:order val="0"/>
          <c:tx>
            <c:strRef>
              <c:f>Hárok1!$B$1</c:f>
              <c:strCache>
                <c:ptCount val="1"/>
                <c:pt idx="0">
                  <c:v>RVS 2019</c:v>
                </c:pt>
              </c:strCache>
            </c:strRef>
          </c:tx>
          <c:spPr>
            <a:solidFill>
              <a:srgbClr val="0070C0"/>
            </a:solidFill>
            <a:ln>
              <a:noFill/>
            </a:ln>
            <a:effectLst/>
          </c:spPr>
          <c:invertIfNegative val="0"/>
          <c:dLbls>
            <c:delete val="1"/>
          </c:dLbls>
          <c:cat>
            <c:strRef>
              <c:f>Hárok1!$A$2:$A$9</c:f>
              <c:strCache>
                <c:ptCount val="8"/>
                <c:pt idx="0">
                  <c:v>Zdravotné poistovne</c:v>
                </c:pt>
                <c:pt idx="1">
                  <c:v>Sociálna poisťovňa</c:v>
                </c:pt>
                <c:pt idx="2">
                  <c:v>FSZP spolu</c:v>
                </c:pt>
                <c:pt idx="3">
                  <c:v>Spotrebné dane</c:v>
                </c:pt>
                <c:pt idx="4">
                  <c:v>Daň z pridanej hodnoty</c:v>
                </c:pt>
                <c:pt idx="5">
                  <c:v>Daň z príjmov právnických osôb</c:v>
                </c:pt>
                <c:pt idx="6">
                  <c:v>Daň z príjmov  fyzických osôb</c:v>
                </c:pt>
                <c:pt idx="7">
                  <c:v>Daňové príjmy</c:v>
                </c:pt>
              </c:strCache>
            </c:strRef>
          </c:cat>
          <c:val>
            <c:numRef>
              <c:f>Hárok1!$B$2:$B$9</c:f>
              <c:numCache>
                <c:formatCode>General</c:formatCode>
                <c:ptCount val="8"/>
                <c:pt idx="0">
                  <c:v>4021821</c:v>
                </c:pt>
                <c:pt idx="1">
                  <c:v>8152696</c:v>
                </c:pt>
                <c:pt idx="2">
                  <c:v>12174517</c:v>
                </c:pt>
                <c:pt idx="3">
                  <c:v>2426425</c:v>
                </c:pt>
                <c:pt idx="4">
                  <c:v>6663664</c:v>
                </c:pt>
                <c:pt idx="5">
                  <c:v>2868647</c:v>
                </c:pt>
                <c:pt idx="6">
                  <c:v>3426902</c:v>
                </c:pt>
                <c:pt idx="7">
                  <c:v>17107754</c:v>
                </c:pt>
              </c:numCache>
            </c:numRef>
          </c:val>
          <c:extLst>
            <c:ext xmlns:c16="http://schemas.microsoft.com/office/drawing/2014/chart" uri="{C3380CC4-5D6E-409C-BE32-E72D297353CC}">
              <c16:uniqueId val="{00000000-8F1E-4ED1-AEAD-5992B8163CD0}"/>
            </c:ext>
          </c:extLst>
        </c:ser>
        <c:ser>
          <c:idx val="1"/>
          <c:order val="1"/>
          <c:tx>
            <c:strRef>
              <c:f>Hárok1!$C$1</c:f>
              <c:strCache>
                <c:ptCount val="1"/>
                <c:pt idx="0">
                  <c:v>Skutočnosť 2019</c:v>
                </c:pt>
              </c:strCache>
            </c:strRef>
          </c:tx>
          <c:spPr>
            <a:solidFill>
              <a:schemeClr val="accent1">
                <a:lumMod val="40000"/>
                <a:lumOff val="60000"/>
              </a:schemeClr>
            </a:solidFill>
            <a:ln w="12700">
              <a:noFill/>
              <a:prstDash val="sysDot"/>
            </a:ln>
            <a:effectLst/>
          </c:spPr>
          <c:invertIfNegative val="0"/>
          <c:dLbls>
            <c:dLbl>
              <c:idx val="0"/>
              <c:tx>
                <c:rich>
                  <a:bodyPr/>
                  <a:lstStyle/>
                  <a:p>
                    <a:fld id="{C99551FD-419B-4A79-AF8F-6FB5270407BA}"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F1E-4ED1-AEAD-5992B8163CD0}"/>
                </c:ext>
              </c:extLst>
            </c:dLbl>
            <c:dLbl>
              <c:idx val="1"/>
              <c:tx>
                <c:rich>
                  <a:bodyPr/>
                  <a:lstStyle/>
                  <a:p>
                    <a:fld id="{7D1BEDB7-20D8-45B2-AF3A-3CC2A570F613}"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8F1E-4ED1-AEAD-5992B8163CD0}"/>
                </c:ext>
              </c:extLst>
            </c:dLbl>
            <c:dLbl>
              <c:idx val="2"/>
              <c:tx>
                <c:rich>
                  <a:bodyPr/>
                  <a:lstStyle/>
                  <a:p>
                    <a:fld id="{C6A3C37F-F592-4A4B-8810-C75502B1FB89}"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8F1E-4ED1-AEAD-5992B8163CD0}"/>
                </c:ext>
              </c:extLst>
            </c:dLbl>
            <c:dLbl>
              <c:idx val="3"/>
              <c:tx>
                <c:rich>
                  <a:bodyPr/>
                  <a:lstStyle/>
                  <a:p>
                    <a:fld id="{F7BA9239-5008-4AB4-A3C2-8F58C0ABE8E0}"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8F1E-4ED1-AEAD-5992B8163CD0}"/>
                </c:ext>
              </c:extLst>
            </c:dLbl>
            <c:dLbl>
              <c:idx val="4"/>
              <c:tx>
                <c:rich>
                  <a:bodyPr/>
                  <a:lstStyle/>
                  <a:p>
                    <a:fld id="{74A7E73D-0454-47FB-B250-CCB705E76558}"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F1E-4ED1-AEAD-5992B8163CD0}"/>
                </c:ext>
              </c:extLst>
            </c:dLbl>
            <c:dLbl>
              <c:idx val="5"/>
              <c:tx>
                <c:rich>
                  <a:bodyPr/>
                  <a:lstStyle/>
                  <a:p>
                    <a:fld id="{E44B72DC-FE58-441D-A3B3-25EF2FDE3528}"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8F1E-4ED1-AEAD-5992B8163CD0}"/>
                </c:ext>
              </c:extLst>
            </c:dLbl>
            <c:dLbl>
              <c:idx val="6"/>
              <c:tx>
                <c:rich>
                  <a:bodyPr/>
                  <a:lstStyle/>
                  <a:p>
                    <a:fld id="{1916657C-2DB7-473D-82D9-D125E180BD53}" type="CELLRANGE">
                      <a:rPr lang="en-US"/>
                      <a:pPr/>
                      <a:t>[CELLRANGE]</a:t>
                    </a:fld>
                    <a:r>
                      <a:rPr lang="en-US"/>
                      <a:t>,0 %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8F1E-4ED1-AEAD-5992B8163CD0}"/>
                </c:ext>
              </c:extLst>
            </c:dLbl>
            <c:dLbl>
              <c:idx val="7"/>
              <c:tx>
                <c:rich>
                  <a:bodyPr/>
                  <a:lstStyle/>
                  <a:p>
                    <a:fld id="{543EFCCC-35C1-4869-85A8-78F1CB51B17A}" type="CELLRANGE">
                      <a:rPr lang="en-US"/>
                      <a:pPr/>
                      <a:t>[CELLRANGE]</a:t>
                    </a:fld>
                    <a:r>
                      <a:rPr lang="en-US"/>
                      <a:t> %</a:t>
                    </a: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8F1E-4ED1-AEAD-5992B8163C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Hárok1!$A$2:$A$9</c:f>
              <c:strCache>
                <c:ptCount val="8"/>
                <c:pt idx="0">
                  <c:v>Zdravotné poistovne</c:v>
                </c:pt>
                <c:pt idx="1">
                  <c:v>Sociálna poisťovňa</c:v>
                </c:pt>
                <c:pt idx="2">
                  <c:v>FSZP spolu</c:v>
                </c:pt>
                <c:pt idx="3">
                  <c:v>Spotrebné dane</c:v>
                </c:pt>
                <c:pt idx="4">
                  <c:v>Daň z pridanej hodnoty</c:v>
                </c:pt>
                <c:pt idx="5">
                  <c:v>Daň z príjmov právnických osôb</c:v>
                </c:pt>
                <c:pt idx="6">
                  <c:v>Daň z príjmov  fyzických osôb</c:v>
                </c:pt>
                <c:pt idx="7">
                  <c:v>Daňové príjmy</c:v>
                </c:pt>
              </c:strCache>
            </c:strRef>
          </c:cat>
          <c:val>
            <c:numRef>
              <c:f>Hárok1!$C$2:$C$9</c:f>
              <c:numCache>
                <c:formatCode>General</c:formatCode>
                <c:ptCount val="8"/>
                <c:pt idx="0">
                  <c:v>4002007</c:v>
                </c:pt>
                <c:pt idx="1">
                  <c:v>8185453</c:v>
                </c:pt>
                <c:pt idx="2">
                  <c:v>12187459</c:v>
                </c:pt>
                <c:pt idx="3">
                  <c:v>2373261</c:v>
                </c:pt>
                <c:pt idx="4">
                  <c:v>6825663</c:v>
                </c:pt>
                <c:pt idx="5">
                  <c:v>2747360</c:v>
                </c:pt>
                <c:pt idx="6">
                  <c:v>3540185</c:v>
                </c:pt>
                <c:pt idx="7">
                  <c:v>16964517</c:v>
                </c:pt>
              </c:numCache>
            </c:numRef>
          </c:val>
          <c:extLst>
            <c:ext xmlns:c15="http://schemas.microsoft.com/office/drawing/2012/chart" uri="{02D57815-91ED-43cb-92C2-25804820EDAC}">
              <c15:datalabelsRange>
                <c15:f>Hárok1!$D$2:$D$9</c15:f>
                <c15:dlblRangeCache>
                  <c:ptCount val="8"/>
                  <c:pt idx="0">
                    <c:v>109,6</c:v>
                  </c:pt>
                  <c:pt idx="1">
                    <c:v>104,4</c:v>
                  </c:pt>
                  <c:pt idx="2">
                    <c:v>106,1</c:v>
                  </c:pt>
                  <c:pt idx="3">
                    <c:v>102,5</c:v>
                  </c:pt>
                  <c:pt idx="4">
                    <c:v>108,1</c:v>
                  </c:pt>
                  <c:pt idx="5">
                    <c:v>98,6</c:v>
                  </c:pt>
                  <c:pt idx="6">
                    <c:v>110</c:v>
                  </c:pt>
                  <c:pt idx="7">
                    <c:v>105,9</c:v>
                  </c:pt>
                </c15:dlblRangeCache>
              </c15:datalabelsRange>
            </c:ext>
            <c:ext xmlns:c16="http://schemas.microsoft.com/office/drawing/2014/chart" uri="{C3380CC4-5D6E-409C-BE32-E72D297353CC}">
              <c16:uniqueId val="{00000009-8F1E-4ED1-AEAD-5992B8163CD0}"/>
            </c:ext>
          </c:extLst>
        </c:ser>
        <c:dLbls>
          <c:showLegendKey val="0"/>
          <c:showVal val="1"/>
          <c:showCatName val="0"/>
          <c:showSerName val="0"/>
          <c:showPercent val="0"/>
          <c:showBubbleSize val="0"/>
        </c:dLbls>
        <c:gapWidth val="100"/>
        <c:axId val="74318240"/>
        <c:axId val="2092458832"/>
      </c:barChart>
      <c:catAx>
        <c:axId val="74318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2092458832"/>
        <c:crosses val="autoZero"/>
        <c:auto val="1"/>
        <c:lblAlgn val="ctr"/>
        <c:lblOffset val="100"/>
        <c:noMultiLvlLbl val="0"/>
      </c:catAx>
      <c:valAx>
        <c:axId val="2092458832"/>
        <c:scaling>
          <c:orientation val="minMax"/>
          <c:max val="18000000"/>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74318240"/>
        <c:crosses val="autoZero"/>
        <c:crossBetween val="between"/>
        <c:majorUnit val="2000000"/>
        <c:dispUnits>
          <c:builtInUnit val="thousands"/>
        </c:dispUnits>
      </c:valAx>
      <c:spPr>
        <a:noFill/>
        <a:ln>
          <a:noFill/>
        </a:ln>
        <a:effectLst/>
      </c:spPr>
    </c:plotArea>
    <c:legend>
      <c:legendPos val="b"/>
      <c:layout>
        <c:manualLayout>
          <c:xMode val="edge"/>
          <c:yMode val="edge"/>
          <c:x val="0.26273278340207473"/>
          <c:y val="0.88086240433538043"/>
          <c:w val="0.26985607062275108"/>
          <c:h val="8.677513611769402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854903893206304E-2"/>
          <c:y val="4.9349910208592349E-2"/>
          <c:w val="0.90824461805377321"/>
          <c:h val="0.78757551139440907"/>
        </c:manualLayout>
      </c:layout>
      <c:lineChart>
        <c:grouping val="standard"/>
        <c:varyColors val="0"/>
        <c:ser>
          <c:idx val="1"/>
          <c:order val="0"/>
          <c:tx>
            <c:strRef>
              <c:f>Graf_5!$B$3</c:f>
              <c:strCache>
                <c:ptCount val="1"/>
                <c:pt idx="0">
                  <c:v>EDS april</c:v>
                </c:pt>
              </c:strCache>
            </c:strRef>
          </c:tx>
          <c:spPr>
            <a:ln w="22225">
              <a:solidFill>
                <a:srgbClr val="0070C0"/>
              </a:solidFill>
              <a:prstDash val="solid"/>
            </a:ln>
          </c:spPr>
          <c:marker>
            <c:symbol val="none"/>
          </c:marker>
          <c:dLbls>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F3-4736-A5D6-6C65FCD21465}"/>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F3-4736-A5D6-6C65FCD21465}"/>
                </c:ext>
              </c:extLst>
            </c:dLbl>
            <c:dLbl>
              <c:idx val="1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F3-4736-A5D6-6C65FCD21465}"/>
                </c:ext>
              </c:extLst>
            </c:dLbl>
            <c:dLbl>
              <c:idx val="23"/>
              <c:layout>
                <c:manualLayout>
                  <c:x val="-4.0941925438293933E-2"/>
                  <c:y val="5.3420398009950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F3-4736-A5D6-6C65FCD21465}"/>
                </c:ext>
              </c:extLst>
            </c:dLbl>
            <c:dLbl>
              <c:idx val="2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F3-4736-A5D6-6C65FCD21465}"/>
                </c:ext>
              </c:extLst>
            </c:dLbl>
            <c:dLbl>
              <c:idx val="3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F3-4736-A5D6-6C65FCD21465}"/>
                </c:ext>
              </c:extLst>
            </c:dLbl>
            <c:dLbl>
              <c:idx val="3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6F3-4736-A5D6-6C65FCD21465}"/>
                </c:ext>
              </c:extLst>
            </c:dLbl>
            <c:dLbl>
              <c:idx val="4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6F3-4736-A5D6-6C65FCD21465}"/>
                </c:ext>
              </c:extLst>
            </c:dLbl>
            <c:dLbl>
              <c:idx val="5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6F3-4736-A5D6-6C65FCD21465}"/>
                </c:ext>
              </c:extLst>
            </c:dLbl>
            <c:dLbl>
              <c:idx val="5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6F3-4736-A5D6-6C65FCD21465}"/>
                </c:ext>
              </c:extLst>
            </c:dLbl>
            <c:numFmt formatCode="0.00\ %"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Graf_5!$A$4:$A$63</c:f>
              <c:strCache>
                <c:ptCount val="60"/>
                <c:pt idx="0">
                  <c:v>1 Q 2005</c:v>
                </c:pt>
                <c:pt idx="1">
                  <c:v>2 Q 2005</c:v>
                </c:pt>
                <c:pt idx="2">
                  <c:v>3 Q 2005</c:v>
                </c:pt>
                <c:pt idx="3">
                  <c:v>4 Q 2005</c:v>
                </c:pt>
                <c:pt idx="4">
                  <c:v>1 Q 2006</c:v>
                </c:pt>
                <c:pt idx="5">
                  <c:v>2 Q 2006</c:v>
                </c:pt>
                <c:pt idx="6">
                  <c:v>3 Q 2006</c:v>
                </c:pt>
                <c:pt idx="7">
                  <c:v>4 Q 2006</c:v>
                </c:pt>
                <c:pt idx="8">
                  <c:v>1 Q 2007</c:v>
                </c:pt>
                <c:pt idx="9">
                  <c:v>2 Q 2007</c:v>
                </c:pt>
                <c:pt idx="10">
                  <c:v>3 Q 2007</c:v>
                </c:pt>
                <c:pt idx="11">
                  <c:v>4 Q 2007</c:v>
                </c:pt>
                <c:pt idx="12">
                  <c:v>1 Q 2008</c:v>
                </c:pt>
                <c:pt idx="13">
                  <c:v>2 Q 2008</c:v>
                </c:pt>
                <c:pt idx="14">
                  <c:v>3 Q 2008</c:v>
                </c:pt>
                <c:pt idx="15">
                  <c:v>4 Q 2008</c:v>
                </c:pt>
                <c:pt idx="16">
                  <c:v>1 Q 2009</c:v>
                </c:pt>
                <c:pt idx="17">
                  <c:v>2 Q 2009</c:v>
                </c:pt>
                <c:pt idx="18">
                  <c:v>3 Q 2009</c:v>
                </c:pt>
                <c:pt idx="19">
                  <c:v>4 Q 2009</c:v>
                </c:pt>
                <c:pt idx="20">
                  <c:v>1 Q 2010</c:v>
                </c:pt>
                <c:pt idx="21">
                  <c:v>2 Q 2010</c:v>
                </c:pt>
                <c:pt idx="22">
                  <c:v>3 Q 2010</c:v>
                </c:pt>
                <c:pt idx="23">
                  <c:v>4 Q 2010</c:v>
                </c:pt>
                <c:pt idx="24">
                  <c:v>1 Q 2011</c:v>
                </c:pt>
                <c:pt idx="25">
                  <c:v>2 Q 2011</c:v>
                </c:pt>
                <c:pt idx="26">
                  <c:v>3 Q 2011</c:v>
                </c:pt>
                <c:pt idx="27">
                  <c:v>4 Q 2011</c:v>
                </c:pt>
                <c:pt idx="28">
                  <c:v>1 Q 2012</c:v>
                </c:pt>
                <c:pt idx="29">
                  <c:v>2 Q 2012</c:v>
                </c:pt>
                <c:pt idx="30">
                  <c:v>3 Q 2012</c:v>
                </c:pt>
                <c:pt idx="31">
                  <c:v>4 Q 2012</c:v>
                </c:pt>
                <c:pt idx="32">
                  <c:v>1 Q 2013</c:v>
                </c:pt>
                <c:pt idx="33">
                  <c:v>2 Q 2013</c:v>
                </c:pt>
                <c:pt idx="34">
                  <c:v>3 Q 2013</c:v>
                </c:pt>
                <c:pt idx="35">
                  <c:v>4 Q 2013</c:v>
                </c:pt>
                <c:pt idx="36">
                  <c:v>1 Q 2014</c:v>
                </c:pt>
                <c:pt idx="37">
                  <c:v>2 Q 2014</c:v>
                </c:pt>
                <c:pt idx="38">
                  <c:v>3 Q 2014</c:v>
                </c:pt>
                <c:pt idx="39">
                  <c:v>4 Q 2014</c:v>
                </c:pt>
                <c:pt idx="40">
                  <c:v>1 Q 2015</c:v>
                </c:pt>
                <c:pt idx="41">
                  <c:v>2 Q 2015</c:v>
                </c:pt>
                <c:pt idx="42">
                  <c:v>3 Q 2015</c:v>
                </c:pt>
                <c:pt idx="43">
                  <c:v>4 Q 2015</c:v>
                </c:pt>
                <c:pt idx="44">
                  <c:v>1 Q 2016</c:v>
                </c:pt>
                <c:pt idx="45">
                  <c:v>2 Q 2016</c:v>
                </c:pt>
                <c:pt idx="46">
                  <c:v>3 Q 2016</c:v>
                </c:pt>
                <c:pt idx="47">
                  <c:v>4 Q 2016</c:v>
                </c:pt>
                <c:pt idx="48">
                  <c:v>1 Q 2017</c:v>
                </c:pt>
                <c:pt idx="49">
                  <c:v>2 Q 2017</c:v>
                </c:pt>
                <c:pt idx="50">
                  <c:v>3 Q 2017</c:v>
                </c:pt>
                <c:pt idx="51">
                  <c:v>4 Q 2017</c:v>
                </c:pt>
                <c:pt idx="52">
                  <c:v>1 Q 2018</c:v>
                </c:pt>
                <c:pt idx="53">
                  <c:v>2 Q 2018</c:v>
                </c:pt>
                <c:pt idx="54">
                  <c:v>3 Q 2018</c:v>
                </c:pt>
                <c:pt idx="55">
                  <c:v>4 Q 2018</c:v>
                </c:pt>
                <c:pt idx="56">
                  <c:v>1 Q 2019</c:v>
                </c:pt>
                <c:pt idx="57">
                  <c:v>2 Q 2019</c:v>
                </c:pt>
                <c:pt idx="58">
                  <c:v>3 Q 2019</c:v>
                </c:pt>
                <c:pt idx="59">
                  <c:v>4 Q 2019</c:v>
                </c:pt>
              </c:strCache>
            </c:strRef>
          </c:cat>
          <c:val>
            <c:numRef>
              <c:f>Graf_5!$B$4:$B$63</c:f>
              <c:numCache>
                <c:formatCode>0.00%</c:formatCode>
                <c:ptCount val="60"/>
                <c:pt idx="0">
                  <c:v>0.16680186401611757</c:v>
                </c:pt>
                <c:pt idx="1">
                  <c:v>0.15716585862701304</c:v>
                </c:pt>
                <c:pt idx="2">
                  <c:v>0.15519878050405392</c:v>
                </c:pt>
                <c:pt idx="3">
                  <c:v>0.14845704179183591</c:v>
                </c:pt>
                <c:pt idx="4">
                  <c:v>0.15014143281890061</c:v>
                </c:pt>
                <c:pt idx="5">
                  <c:v>0.15063580184944242</c:v>
                </c:pt>
                <c:pt idx="6">
                  <c:v>0.15044125799412311</c:v>
                </c:pt>
                <c:pt idx="7">
                  <c:v>0.15282785469590188</c:v>
                </c:pt>
                <c:pt idx="8">
                  <c:v>0.14014306269914142</c:v>
                </c:pt>
                <c:pt idx="9">
                  <c:v>0.14371869900178572</c:v>
                </c:pt>
                <c:pt idx="10">
                  <c:v>0.14061320980267036</c:v>
                </c:pt>
                <c:pt idx="11">
                  <c:v>0.14462421965721983</c:v>
                </c:pt>
                <c:pt idx="12">
                  <c:v>0.13853483981445106</c:v>
                </c:pt>
                <c:pt idx="13">
                  <c:v>0.13666178598757797</c:v>
                </c:pt>
                <c:pt idx="14">
                  <c:v>0.14120150872832801</c:v>
                </c:pt>
                <c:pt idx="15">
                  <c:v>0.14354577800419574</c:v>
                </c:pt>
                <c:pt idx="16">
                  <c:v>0.12796766168363791</c:v>
                </c:pt>
                <c:pt idx="17">
                  <c:v>0.1274746291639931</c:v>
                </c:pt>
                <c:pt idx="18">
                  <c:v>0.13047315153649261</c:v>
                </c:pt>
                <c:pt idx="19">
                  <c:v>0.1283318239218984</c:v>
                </c:pt>
                <c:pt idx="20">
                  <c:v>0.12597026751635218</c:v>
                </c:pt>
                <c:pt idx="21">
                  <c:v>0.13042859370289125</c:v>
                </c:pt>
                <c:pt idx="22">
                  <c:v>0.12847025020688885</c:v>
                </c:pt>
                <c:pt idx="23">
                  <c:v>0.11685633082389475</c:v>
                </c:pt>
                <c:pt idx="24">
                  <c:v>0.13733368723599604</c:v>
                </c:pt>
                <c:pt idx="25">
                  <c:v>0.12898680296321327</c:v>
                </c:pt>
                <c:pt idx="26">
                  <c:v>0.13085895421176105</c:v>
                </c:pt>
                <c:pt idx="27">
                  <c:v>0.14222337707357785</c:v>
                </c:pt>
                <c:pt idx="28">
                  <c:v>0.13103374987669011</c:v>
                </c:pt>
                <c:pt idx="29">
                  <c:v>0.1237070758279324</c:v>
                </c:pt>
                <c:pt idx="30">
                  <c:v>0.12650014351095237</c:v>
                </c:pt>
                <c:pt idx="31">
                  <c:v>0.11989897710678009</c:v>
                </c:pt>
                <c:pt idx="32">
                  <c:v>0.12832054806143395</c:v>
                </c:pt>
                <c:pt idx="33">
                  <c:v>0.13392329549323925</c:v>
                </c:pt>
                <c:pt idx="34">
                  <c:v>0.13297051140392777</c:v>
                </c:pt>
                <c:pt idx="35">
                  <c:v>0.12781158666979975</c:v>
                </c:pt>
                <c:pt idx="36">
                  <c:v>0.14465229884587566</c:v>
                </c:pt>
                <c:pt idx="37">
                  <c:v>0.14114528766576931</c:v>
                </c:pt>
                <c:pt idx="38">
                  <c:v>0.14039923010475841</c:v>
                </c:pt>
                <c:pt idx="39">
                  <c:v>0.14201136200604286</c:v>
                </c:pt>
                <c:pt idx="40">
                  <c:v>0.14573409470246784</c:v>
                </c:pt>
                <c:pt idx="41">
                  <c:v>0.14245173083378779</c:v>
                </c:pt>
                <c:pt idx="42">
                  <c:v>0.1457153034841232</c:v>
                </c:pt>
                <c:pt idx="43">
                  <c:v>0.13903640485756846</c:v>
                </c:pt>
                <c:pt idx="44">
                  <c:v>0.14317239534093601</c:v>
                </c:pt>
                <c:pt idx="45">
                  <c:v>0.1478554390646506</c:v>
                </c:pt>
                <c:pt idx="46">
                  <c:v>0.14727824139448659</c:v>
                </c:pt>
                <c:pt idx="47">
                  <c:v>0.14573158396679736</c:v>
                </c:pt>
                <c:pt idx="48">
                  <c:v>0.14734368684358856</c:v>
                </c:pt>
                <c:pt idx="49">
                  <c:v>0.14596195784249938</c:v>
                </c:pt>
                <c:pt idx="50">
                  <c:v>0.14850319960483327</c:v>
                </c:pt>
                <c:pt idx="51">
                  <c:v>0.1542501183075885</c:v>
                </c:pt>
                <c:pt idx="52">
                  <c:v>0.14708467178862389</c:v>
                </c:pt>
                <c:pt idx="53">
                  <c:v>0.15170478397625883</c:v>
                </c:pt>
                <c:pt idx="54">
                  <c:v>0.14822059244897598</c:v>
                </c:pt>
                <c:pt idx="55">
                  <c:v>0.14752191583929261</c:v>
                </c:pt>
                <c:pt idx="56">
                  <c:v>0.15178725521913727</c:v>
                </c:pt>
                <c:pt idx="57">
                  <c:v>0.15190961034159359</c:v>
                </c:pt>
                <c:pt idx="58">
                  <c:v>0.1572840030658495</c:v>
                </c:pt>
                <c:pt idx="59">
                  <c:v>0.15701646205666112</c:v>
                </c:pt>
              </c:numCache>
            </c:numRef>
          </c:val>
          <c:smooth val="0"/>
          <c:extLst>
            <c:ext xmlns:c16="http://schemas.microsoft.com/office/drawing/2014/chart" uri="{C3380CC4-5D6E-409C-BE32-E72D297353CC}">
              <c16:uniqueId val="{0000000A-36F3-4736-A5D6-6C65FCD21465}"/>
            </c:ext>
          </c:extLst>
        </c:ser>
        <c:ser>
          <c:idx val="3"/>
          <c:order val="1"/>
          <c:tx>
            <c:strRef>
              <c:f>Graf_5!$C$3</c:f>
              <c:strCache>
                <c:ptCount val="1"/>
                <c:pt idx="0">
                  <c:v>Trend 2005-2012</c:v>
                </c:pt>
              </c:strCache>
            </c:strRef>
          </c:tx>
          <c:spPr>
            <a:ln w="12700">
              <a:solidFill>
                <a:sysClr val="windowText" lastClr="000000"/>
              </a:solidFill>
              <a:prstDash val="dash"/>
            </a:ln>
          </c:spPr>
          <c:marker>
            <c:symbol val="none"/>
          </c:marker>
          <c:cat>
            <c:strRef>
              <c:f>Graf_5!$A$4:$A$63</c:f>
              <c:strCache>
                <c:ptCount val="60"/>
                <c:pt idx="0">
                  <c:v>1 Q 2005</c:v>
                </c:pt>
                <c:pt idx="1">
                  <c:v>2 Q 2005</c:v>
                </c:pt>
                <c:pt idx="2">
                  <c:v>3 Q 2005</c:v>
                </c:pt>
                <c:pt idx="3">
                  <c:v>4 Q 2005</c:v>
                </c:pt>
                <c:pt idx="4">
                  <c:v>1 Q 2006</c:v>
                </c:pt>
                <c:pt idx="5">
                  <c:v>2 Q 2006</c:v>
                </c:pt>
                <c:pt idx="6">
                  <c:v>3 Q 2006</c:v>
                </c:pt>
                <c:pt idx="7">
                  <c:v>4 Q 2006</c:v>
                </c:pt>
                <c:pt idx="8">
                  <c:v>1 Q 2007</c:v>
                </c:pt>
                <c:pt idx="9">
                  <c:v>2 Q 2007</c:v>
                </c:pt>
                <c:pt idx="10">
                  <c:v>3 Q 2007</c:v>
                </c:pt>
                <c:pt idx="11">
                  <c:v>4 Q 2007</c:v>
                </c:pt>
                <c:pt idx="12">
                  <c:v>1 Q 2008</c:v>
                </c:pt>
                <c:pt idx="13">
                  <c:v>2 Q 2008</c:v>
                </c:pt>
                <c:pt idx="14">
                  <c:v>3 Q 2008</c:v>
                </c:pt>
                <c:pt idx="15">
                  <c:v>4 Q 2008</c:v>
                </c:pt>
                <c:pt idx="16">
                  <c:v>1 Q 2009</c:v>
                </c:pt>
                <c:pt idx="17">
                  <c:v>2 Q 2009</c:v>
                </c:pt>
                <c:pt idx="18">
                  <c:v>3 Q 2009</c:v>
                </c:pt>
                <c:pt idx="19">
                  <c:v>4 Q 2009</c:v>
                </c:pt>
                <c:pt idx="20">
                  <c:v>1 Q 2010</c:v>
                </c:pt>
                <c:pt idx="21">
                  <c:v>2 Q 2010</c:v>
                </c:pt>
                <c:pt idx="22">
                  <c:v>3 Q 2010</c:v>
                </c:pt>
                <c:pt idx="23">
                  <c:v>4 Q 2010</c:v>
                </c:pt>
                <c:pt idx="24">
                  <c:v>1 Q 2011</c:v>
                </c:pt>
                <c:pt idx="25">
                  <c:v>2 Q 2011</c:v>
                </c:pt>
                <c:pt idx="26">
                  <c:v>3 Q 2011</c:v>
                </c:pt>
                <c:pt idx="27">
                  <c:v>4 Q 2011</c:v>
                </c:pt>
                <c:pt idx="28">
                  <c:v>1 Q 2012</c:v>
                </c:pt>
                <c:pt idx="29">
                  <c:v>2 Q 2012</c:v>
                </c:pt>
                <c:pt idx="30">
                  <c:v>3 Q 2012</c:v>
                </c:pt>
                <c:pt idx="31">
                  <c:v>4 Q 2012</c:v>
                </c:pt>
                <c:pt idx="32">
                  <c:v>1 Q 2013</c:v>
                </c:pt>
                <c:pt idx="33">
                  <c:v>2 Q 2013</c:v>
                </c:pt>
                <c:pt idx="34">
                  <c:v>3 Q 2013</c:v>
                </c:pt>
                <c:pt idx="35">
                  <c:v>4 Q 2013</c:v>
                </c:pt>
                <c:pt idx="36">
                  <c:v>1 Q 2014</c:v>
                </c:pt>
                <c:pt idx="37">
                  <c:v>2 Q 2014</c:v>
                </c:pt>
                <c:pt idx="38">
                  <c:v>3 Q 2014</c:v>
                </c:pt>
                <c:pt idx="39">
                  <c:v>4 Q 2014</c:v>
                </c:pt>
                <c:pt idx="40">
                  <c:v>1 Q 2015</c:v>
                </c:pt>
                <c:pt idx="41">
                  <c:v>2 Q 2015</c:v>
                </c:pt>
                <c:pt idx="42">
                  <c:v>3 Q 2015</c:v>
                </c:pt>
                <c:pt idx="43">
                  <c:v>4 Q 2015</c:v>
                </c:pt>
                <c:pt idx="44">
                  <c:v>1 Q 2016</c:v>
                </c:pt>
                <c:pt idx="45">
                  <c:v>2 Q 2016</c:v>
                </c:pt>
                <c:pt idx="46">
                  <c:v>3 Q 2016</c:v>
                </c:pt>
                <c:pt idx="47">
                  <c:v>4 Q 2016</c:v>
                </c:pt>
                <c:pt idx="48">
                  <c:v>1 Q 2017</c:v>
                </c:pt>
                <c:pt idx="49">
                  <c:v>2 Q 2017</c:v>
                </c:pt>
                <c:pt idx="50">
                  <c:v>3 Q 2017</c:v>
                </c:pt>
                <c:pt idx="51">
                  <c:v>4 Q 2017</c:v>
                </c:pt>
                <c:pt idx="52">
                  <c:v>1 Q 2018</c:v>
                </c:pt>
                <c:pt idx="53">
                  <c:v>2 Q 2018</c:v>
                </c:pt>
                <c:pt idx="54">
                  <c:v>3 Q 2018</c:v>
                </c:pt>
                <c:pt idx="55">
                  <c:v>4 Q 2018</c:v>
                </c:pt>
                <c:pt idx="56">
                  <c:v>1 Q 2019</c:v>
                </c:pt>
                <c:pt idx="57">
                  <c:v>2 Q 2019</c:v>
                </c:pt>
                <c:pt idx="58">
                  <c:v>3 Q 2019</c:v>
                </c:pt>
                <c:pt idx="59">
                  <c:v>4 Q 2019</c:v>
                </c:pt>
              </c:strCache>
            </c:strRef>
          </c:cat>
          <c:val>
            <c:numRef>
              <c:f>Graf_5!$C$4:$C$63</c:f>
              <c:numCache>
                <c:formatCode>0.00%</c:formatCode>
                <c:ptCount val="60"/>
                <c:pt idx="0">
                  <c:v>0.15475483387751701</c:v>
                </c:pt>
                <c:pt idx="1">
                  <c:v>0.15367635361194273</c:v>
                </c:pt>
                <c:pt idx="2">
                  <c:v>0.15259787334636848</c:v>
                </c:pt>
                <c:pt idx="3">
                  <c:v>0.15151939308079423</c:v>
                </c:pt>
                <c:pt idx="4">
                  <c:v>0.15044091281521996</c:v>
                </c:pt>
                <c:pt idx="5">
                  <c:v>0.14936243254964571</c:v>
                </c:pt>
                <c:pt idx="6">
                  <c:v>0.14828395228407146</c:v>
                </c:pt>
                <c:pt idx="7">
                  <c:v>0.14720547201849718</c:v>
                </c:pt>
                <c:pt idx="8">
                  <c:v>0.14612699175292293</c:v>
                </c:pt>
                <c:pt idx="9">
                  <c:v>0.14504851148734868</c:v>
                </c:pt>
                <c:pt idx="10">
                  <c:v>0.1439700312217744</c:v>
                </c:pt>
                <c:pt idx="11">
                  <c:v>0.14289155095620015</c:v>
                </c:pt>
                <c:pt idx="12">
                  <c:v>0.14181307069062588</c:v>
                </c:pt>
                <c:pt idx="13">
                  <c:v>0.14073459042505163</c:v>
                </c:pt>
                <c:pt idx="14">
                  <c:v>0.13965611015947738</c:v>
                </c:pt>
                <c:pt idx="15">
                  <c:v>0.1385776298939031</c:v>
                </c:pt>
                <c:pt idx="16">
                  <c:v>0.13749914962832885</c:v>
                </c:pt>
                <c:pt idx="17">
                  <c:v>0.1364206693627546</c:v>
                </c:pt>
                <c:pt idx="18">
                  <c:v>0.13534218909718032</c:v>
                </c:pt>
                <c:pt idx="19">
                  <c:v>0.13426370883160607</c:v>
                </c:pt>
                <c:pt idx="20">
                  <c:v>0.13318522856603182</c:v>
                </c:pt>
                <c:pt idx="21">
                  <c:v>0.13210674830045754</c:v>
                </c:pt>
                <c:pt idx="22">
                  <c:v>0.13102826803488329</c:v>
                </c:pt>
                <c:pt idx="23">
                  <c:v>0.12994978776930904</c:v>
                </c:pt>
                <c:pt idx="24">
                  <c:v>0.12887130750373477</c:v>
                </c:pt>
                <c:pt idx="25">
                  <c:v>0.12779282723816052</c:v>
                </c:pt>
                <c:pt idx="26">
                  <c:v>0.12671434697258627</c:v>
                </c:pt>
                <c:pt idx="27">
                  <c:v>0.12563586670701199</c:v>
                </c:pt>
                <c:pt idx="28">
                  <c:v>0.12455738644143774</c:v>
                </c:pt>
                <c:pt idx="29">
                  <c:v>0.12347890617586349</c:v>
                </c:pt>
                <c:pt idx="30">
                  <c:v>0.12240042591028921</c:v>
                </c:pt>
                <c:pt idx="31">
                  <c:v>0.12132194564471496</c:v>
                </c:pt>
              </c:numCache>
            </c:numRef>
          </c:val>
          <c:smooth val="0"/>
          <c:extLst>
            <c:ext xmlns:c16="http://schemas.microsoft.com/office/drawing/2014/chart" uri="{C3380CC4-5D6E-409C-BE32-E72D297353CC}">
              <c16:uniqueId val="{0000000B-36F3-4736-A5D6-6C65FCD21465}"/>
            </c:ext>
          </c:extLst>
        </c:ser>
        <c:ser>
          <c:idx val="0"/>
          <c:order val="2"/>
          <c:tx>
            <c:strRef>
              <c:f>Graf_5!$D$3</c:f>
              <c:strCache>
                <c:ptCount val="1"/>
                <c:pt idx="0">
                  <c:v>Priemer 2008</c:v>
                </c:pt>
              </c:strCache>
            </c:strRef>
          </c:tx>
          <c:marker>
            <c:symbol val="none"/>
          </c:marker>
          <c:cat>
            <c:strRef>
              <c:f>Graf_5!$A$4:$A$63</c:f>
              <c:strCache>
                <c:ptCount val="60"/>
                <c:pt idx="0">
                  <c:v>1 Q 2005</c:v>
                </c:pt>
                <c:pt idx="1">
                  <c:v>2 Q 2005</c:v>
                </c:pt>
                <c:pt idx="2">
                  <c:v>3 Q 2005</c:v>
                </c:pt>
                <c:pt idx="3">
                  <c:v>4 Q 2005</c:v>
                </c:pt>
                <c:pt idx="4">
                  <c:v>1 Q 2006</c:v>
                </c:pt>
                <c:pt idx="5">
                  <c:v>2 Q 2006</c:v>
                </c:pt>
                <c:pt idx="6">
                  <c:v>3 Q 2006</c:v>
                </c:pt>
                <c:pt idx="7">
                  <c:v>4 Q 2006</c:v>
                </c:pt>
                <c:pt idx="8">
                  <c:v>1 Q 2007</c:v>
                </c:pt>
                <c:pt idx="9">
                  <c:v>2 Q 2007</c:v>
                </c:pt>
                <c:pt idx="10">
                  <c:v>3 Q 2007</c:v>
                </c:pt>
                <c:pt idx="11">
                  <c:v>4 Q 2007</c:v>
                </c:pt>
                <c:pt idx="12">
                  <c:v>1 Q 2008</c:v>
                </c:pt>
                <c:pt idx="13">
                  <c:v>2 Q 2008</c:v>
                </c:pt>
                <c:pt idx="14">
                  <c:v>3 Q 2008</c:v>
                </c:pt>
                <c:pt idx="15">
                  <c:v>4 Q 2008</c:v>
                </c:pt>
                <c:pt idx="16">
                  <c:v>1 Q 2009</c:v>
                </c:pt>
                <c:pt idx="17">
                  <c:v>2 Q 2009</c:v>
                </c:pt>
                <c:pt idx="18">
                  <c:v>3 Q 2009</c:v>
                </c:pt>
                <c:pt idx="19">
                  <c:v>4 Q 2009</c:v>
                </c:pt>
                <c:pt idx="20">
                  <c:v>1 Q 2010</c:v>
                </c:pt>
                <c:pt idx="21">
                  <c:v>2 Q 2010</c:v>
                </c:pt>
                <c:pt idx="22">
                  <c:v>3 Q 2010</c:v>
                </c:pt>
                <c:pt idx="23">
                  <c:v>4 Q 2010</c:v>
                </c:pt>
                <c:pt idx="24">
                  <c:v>1 Q 2011</c:v>
                </c:pt>
                <c:pt idx="25">
                  <c:v>2 Q 2011</c:v>
                </c:pt>
                <c:pt idx="26">
                  <c:v>3 Q 2011</c:v>
                </c:pt>
                <c:pt idx="27">
                  <c:v>4 Q 2011</c:v>
                </c:pt>
                <c:pt idx="28">
                  <c:v>1 Q 2012</c:v>
                </c:pt>
                <c:pt idx="29">
                  <c:v>2 Q 2012</c:v>
                </c:pt>
                <c:pt idx="30">
                  <c:v>3 Q 2012</c:v>
                </c:pt>
                <c:pt idx="31">
                  <c:v>4 Q 2012</c:v>
                </c:pt>
                <c:pt idx="32">
                  <c:v>1 Q 2013</c:v>
                </c:pt>
                <c:pt idx="33">
                  <c:v>2 Q 2013</c:v>
                </c:pt>
                <c:pt idx="34">
                  <c:v>3 Q 2013</c:v>
                </c:pt>
                <c:pt idx="35">
                  <c:v>4 Q 2013</c:v>
                </c:pt>
                <c:pt idx="36">
                  <c:v>1 Q 2014</c:v>
                </c:pt>
                <c:pt idx="37">
                  <c:v>2 Q 2014</c:v>
                </c:pt>
                <c:pt idx="38">
                  <c:v>3 Q 2014</c:v>
                </c:pt>
                <c:pt idx="39">
                  <c:v>4 Q 2014</c:v>
                </c:pt>
                <c:pt idx="40">
                  <c:v>1 Q 2015</c:v>
                </c:pt>
                <c:pt idx="41">
                  <c:v>2 Q 2015</c:v>
                </c:pt>
                <c:pt idx="42">
                  <c:v>3 Q 2015</c:v>
                </c:pt>
                <c:pt idx="43">
                  <c:v>4 Q 2015</c:v>
                </c:pt>
                <c:pt idx="44">
                  <c:v>1 Q 2016</c:v>
                </c:pt>
                <c:pt idx="45">
                  <c:v>2 Q 2016</c:v>
                </c:pt>
                <c:pt idx="46">
                  <c:v>3 Q 2016</c:v>
                </c:pt>
                <c:pt idx="47">
                  <c:v>4 Q 2016</c:v>
                </c:pt>
                <c:pt idx="48">
                  <c:v>1 Q 2017</c:v>
                </c:pt>
                <c:pt idx="49">
                  <c:v>2 Q 2017</c:v>
                </c:pt>
                <c:pt idx="50">
                  <c:v>3 Q 2017</c:v>
                </c:pt>
                <c:pt idx="51">
                  <c:v>4 Q 2017</c:v>
                </c:pt>
                <c:pt idx="52">
                  <c:v>1 Q 2018</c:v>
                </c:pt>
                <c:pt idx="53">
                  <c:v>2 Q 2018</c:v>
                </c:pt>
                <c:pt idx="54">
                  <c:v>3 Q 2018</c:v>
                </c:pt>
                <c:pt idx="55">
                  <c:v>4 Q 2018</c:v>
                </c:pt>
                <c:pt idx="56">
                  <c:v>1 Q 2019</c:v>
                </c:pt>
                <c:pt idx="57">
                  <c:v>2 Q 2019</c:v>
                </c:pt>
                <c:pt idx="58">
                  <c:v>3 Q 2019</c:v>
                </c:pt>
                <c:pt idx="59">
                  <c:v>4 Q 2019</c:v>
                </c:pt>
              </c:strCache>
            </c:strRef>
          </c:cat>
          <c:val>
            <c:numRef>
              <c:f>Graf_5!$D$4:$D$63</c:f>
              <c:numCache>
                <c:formatCode>General</c:formatCode>
                <c:ptCount val="60"/>
              </c:numCache>
            </c:numRef>
          </c:val>
          <c:smooth val="0"/>
          <c:extLst>
            <c:ext xmlns:c16="http://schemas.microsoft.com/office/drawing/2014/chart" uri="{C3380CC4-5D6E-409C-BE32-E72D297353CC}">
              <c16:uniqueId val="{0000000C-36F3-4736-A5D6-6C65FCD21465}"/>
            </c:ext>
          </c:extLst>
        </c:ser>
        <c:ser>
          <c:idx val="2"/>
          <c:order val="3"/>
          <c:tx>
            <c:strRef>
              <c:f>Graf_5!$E$3</c:f>
              <c:strCache>
                <c:ptCount val="1"/>
                <c:pt idx="0">
                  <c:v>12,86%</c:v>
                </c:pt>
              </c:strCache>
            </c:strRef>
          </c:tx>
          <c:spPr>
            <a:ln>
              <a:solidFill>
                <a:srgbClr val="F9C9BA">
                  <a:lumMod val="50000"/>
                </a:srgbClr>
              </a:solidFill>
            </a:ln>
          </c:spPr>
          <c:marker>
            <c:symbol val="none"/>
          </c:marker>
          <c:cat>
            <c:strRef>
              <c:f>Graf_5!$A$4:$A$63</c:f>
              <c:strCache>
                <c:ptCount val="60"/>
                <c:pt idx="0">
                  <c:v>1 Q 2005</c:v>
                </c:pt>
                <c:pt idx="1">
                  <c:v>2 Q 2005</c:v>
                </c:pt>
                <c:pt idx="2">
                  <c:v>3 Q 2005</c:v>
                </c:pt>
                <c:pt idx="3">
                  <c:v>4 Q 2005</c:v>
                </c:pt>
                <c:pt idx="4">
                  <c:v>1 Q 2006</c:v>
                </c:pt>
                <c:pt idx="5">
                  <c:v>2 Q 2006</c:v>
                </c:pt>
                <c:pt idx="6">
                  <c:v>3 Q 2006</c:v>
                </c:pt>
                <c:pt idx="7">
                  <c:v>4 Q 2006</c:v>
                </c:pt>
                <c:pt idx="8">
                  <c:v>1 Q 2007</c:v>
                </c:pt>
                <c:pt idx="9">
                  <c:v>2 Q 2007</c:v>
                </c:pt>
                <c:pt idx="10">
                  <c:v>3 Q 2007</c:v>
                </c:pt>
                <c:pt idx="11">
                  <c:v>4 Q 2007</c:v>
                </c:pt>
                <c:pt idx="12">
                  <c:v>1 Q 2008</c:v>
                </c:pt>
                <c:pt idx="13">
                  <c:v>2 Q 2008</c:v>
                </c:pt>
                <c:pt idx="14">
                  <c:v>3 Q 2008</c:v>
                </c:pt>
                <c:pt idx="15">
                  <c:v>4 Q 2008</c:v>
                </c:pt>
                <c:pt idx="16">
                  <c:v>1 Q 2009</c:v>
                </c:pt>
                <c:pt idx="17">
                  <c:v>2 Q 2009</c:v>
                </c:pt>
                <c:pt idx="18">
                  <c:v>3 Q 2009</c:v>
                </c:pt>
                <c:pt idx="19">
                  <c:v>4 Q 2009</c:v>
                </c:pt>
                <c:pt idx="20">
                  <c:v>1 Q 2010</c:v>
                </c:pt>
                <c:pt idx="21">
                  <c:v>2 Q 2010</c:v>
                </c:pt>
                <c:pt idx="22">
                  <c:v>3 Q 2010</c:v>
                </c:pt>
                <c:pt idx="23">
                  <c:v>4 Q 2010</c:v>
                </c:pt>
                <c:pt idx="24">
                  <c:v>1 Q 2011</c:v>
                </c:pt>
                <c:pt idx="25">
                  <c:v>2 Q 2011</c:v>
                </c:pt>
                <c:pt idx="26">
                  <c:v>3 Q 2011</c:v>
                </c:pt>
                <c:pt idx="27">
                  <c:v>4 Q 2011</c:v>
                </c:pt>
                <c:pt idx="28">
                  <c:v>1 Q 2012</c:v>
                </c:pt>
                <c:pt idx="29">
                  <c:v>2 Q 2012</c:v>
                </c:pt>
                <c:pt idx="30">
                  <c:v>3 Q 2012</c:v>
                </c:pt>
                <c:pt idx="31">
                  <c:v>4 Q 2012</c:v>
                </c:pt>
                <c:pt idx="32">
                  <c:v>1 Q 2013</c:v>
                </c:pt>
                <c:pt idx="33">
                  <c:v>2 Q 2013</c:v>
                </c:pt>
                <c:pt idx="34">
                  <c:v>3 Q 2013</c:v>
                </c:pt>
                <c:pt idx="35">
                  <c:v>4 Q 2013</c:v>
                </c:pt>
                <c:pt idx="36">
                  <c:v>1 Q 2014</c:v>
                </c:pt>
                <c:pt idx="37">
                  <c:v>2 Q 2014</c:v>
                </c:pt>
                <c:pt idx="38">
                  <c:v>3 Q 2014</c:v>
                </c:pt>
                <c:pt idx="39">
                  <c:v>4 Q 2014</c:v>
                </c:pt>
                <c:pt idx="40">
                  <c:v>1 Q 2015</c:v>
                </c:pt>
                <c:pt idx="41">
                  <c:v>2 Q 2015</c:v>
                </c:pt>
                <c:pt idx="42">
                  <c:v>3 Q 2015</c:v>
                </c:pt>
                <c:pt idx="43">
                  <c:v>4 Q 2015</c:v>
                </c:pt>
                <c:pt idx="44">
                  <c:v>1 Q 2016</c:v>
                </c:pt>
                <c:pt idx="45">
                  <c:v>2 Q 2016</c:v>
                </c:pt>
                <c:pt idx="46">
                  <c:v>3 Q 2016</c:v>
                </c:pt>
                <c:pt idx="47">
                  <c:v>4 Q 2016</c:v>
                </c:pt>
                <c:pt idx="48">
                  <c:v>1 Q 2017</c:v>
                </c:pt>
                <c:pt idx="49">
                  <c:v>2 Q 2017</c:v>
                </c:pt>
                <c:pt idx="50">
                  <c:v>3 Q 2017</c:v>
                </c:pt>
                <c:pt idx="51">
                  <c:v>4 Q 2017</c:v>
                </c:pt>
                <c:pt idx="52">
                  <c:v>1 Q 2018</c:v>
                </c:pt>
                <c:pt idx="53">
                  <c:v>2 Q 2018</c:v>
                </c:pt>
                <c:pt idx="54">
                  <c:v>3 Q 2018</c:v>
                </c:pt>
                <c:pt idx="55">
                  <c:v>4 Q 2018</c:v>
                </c:pt>
                <c:pt idx="56">
                  <c:v>1 Q 2019</c:v>
                </c:pt>
                <c:pt idx="57">
                  <c:v>2 Q 2019</c:v>
                </c:pt>
                <c:pt idx="58">
                  <c:v>3 Q 2019</c:v>
                </c:pt>
                <c:pt idx="59">
                  <c:v>4 Q 2019</c:v>
                </c:pt>
              </c:strCache>
            </c:strRef>
          </c:cat>
          <c:val>
            <c:numRef>
              <c:f>Graf_5!$E$4:$E$63</c:f>
              <c:numCache>
                <c:formatCode>General</c:formatCode>
                <c:ptCount val="60"/>
                <c:pt idx="16" formatCode="0.00%">
                  <c:v>0.12856181657650551</c:v>
                </c:pt>
                <c:pt idx="17" formatCode="0.00%">
                  <c:v>0.12856181657650551</c:v>
                </c:pt>
                <c:pt idx="18" formatCode="0.00%">
                  <c:v>0.12856181657650551</c:v>
                </c:pt>
                <c:pt idx="19" formatCode="0.00%">
                  <c:v>0.12856181657650551</c:v>
                </c:pt>
              </c:numCache>
            </c:numRef>
          </c:val>
          <c:smooth val="0"/>
          <c:extLst>
            <c:ext xmlns:c16="http://schemas.microsoft.com/office/drawing/2014/chart" uri="{C3380CC4-5D6E-409C-BE32-E72D297353CC}">
              <c16:uniqueId val="{0000000D-36F3-4736-A5D6-6C65FCD21465}"/>
            </c:ext>
          </c:extLst>
        </c:ser>
        <c:ser>
          <c:idx val="4"/>
          <c:order val="4"/>
          <c:tx>
            <c:strRef>
              <c:f>Graf_5!$F$3</c:f>
              <c:strCache>
                <c:ptCount val="1"/>
                <c:pt idx="0">
                  <c:v>13,59%</c:v>
                </c:pt>
              </c:strCache>
            </c:strRef>
          </c:tx>
          <c:spPr>
            <a:ln>
              <a:solidFill>
                <a:srgbClr val="B0D6AF">
                  <a:lumMod val="75000"/>
                </a:srgbClr>
              </a:solidFill>
            </a:ln>
          </c:spPr>
          <c:marker>
            <c:symbol val="none"/>
          </c:marker>
          <c:cat>
            <c:strRef>
              <c:f>Graf_5!$A$4:$A$63</c:f>
              <c:strCache>
                <c:ptCount val="60"/>
                <c:pt idx="0">
                  <c:v>1 Q 2005</c:v>
                </c:pt>
                <c:pt idx="1">
                  <c:v>2 Q 2005</c:v>
                </c:pt>
                <c:pt idx="2">
                  <c:v>3 Q 2005</c:v>
                </c:pt>
                <c:pt idx="3">
                  <c:v>4 Q 2005</c:v>
                </c:pt>
                <c:pt idx="4">
                  <c:v>1 Q 2006</c:v>
                </c:pt>
                <c:pt idx="5">
                  <c:v>2 Q 2006</c:v>
                </c:pt>
                <c:pt idx="6">
                  <c:v>3 Q 2006</c:v>
                </c:pt>
                <c:pt idx="7">
                  <c:v>4 Q 2006</c:v>
                </c:pt>
                <c:pt idx="8">
                  <c:v>1 Q 2007</c:v>
                </c:pt>
                <c:pt idx="9">
                  <c:v>2 Q 2007</c:v>
                </c:pt>
                <c:pt idx="10">
                  <c:v>3 Q 2007</c:v>
                </c:pt>
                <c:pt idx="11">
                  <c:v>4 Q 2007</c:v>
                </c:pt>
                <c:pt idx="12">
                  <c:v>1 Q 2008</c:v>
                </c:pt>
                <c:pt idx="13">
                  <c:v>2 Q 2008</c:v>
                </c:pt>
                <c:pt idx="14">
                  <c:v>3 Q 2008</c:v>
                </c:pt>
                <c:pt idx="15">
                  <c:v>4 Q 2008</c:v>
                </c:pt>
                <c:pt idx="16">
                  <c:v>1 Q 2009</c:v>
                </c:pt>
                <c:pt idx="17">
                  <c:v>2 Q 2009</c:v>
                </c:pt>
                <c:pt idx="18">
                  <c:v>3 Q 2009</c:v>
                </c:pt>
                <c:pt idx="19">
                  <c:v>4 Q 2009</c:v>
                </c:pt>
                <c:pt idx="20">
                  <c:v>1 Q 2010</c:v>
                </c:pt>
                <c:pt idx="21">
                  <c:v>2 Q 2010</c:v>
                </c:pt>
                <c:pt idx="22">
                  <c:v>3 Q 2010</c:v>
                </c:pt>
                <c:pt idx="23">
                  <c:v>4 Q 2010</c:v>
                </c:pt>
                <c:pt idx="24">
                  <c:v>1 Q 2011</c:v>
                </c:pt>
                <c:pt idx="25">
                  <c:v>2 Q 2011</c:v>
                </c:pt>
                <c:pt idx="26">
                  <c:v>3 Q 2011</c:v>
                </c:pt>
                <c:pt idx="27">
                  <c:v>4 Q 2011</c:v>
                </c:pt>
                <c:pt idx="28">
                  <c:v>1 Q 2012</c:v>
                </c:pt>
                <c:pt idx="29">
                  <c:v>2 Q 2012</c:v>
                </c:pt>
                <c:pt idx="30">
                  <c:v>3 Q 2012</c:v>
                </c:pt>
                <c:pt idx="31">
                  <c:v>4 Q 2012</c:v>
                </c:pt>
                <c:pt idx="32">
                  <c:v>1 Q 2013</c:v>
                </c:pt>
                <c:pt idx="33">
                  <c:v>2 Q 2013</c:v>
                </c:pt>
                <c:pt idx="34">
                  <c:v>3 Q 2013</c:v>
                </c:pt>
                <c:pt idx="35">
                  <c:v>4 Q 2013</c:v>
                </c:pt>
                <c:pt idx="36">
                  <c:v>1 Q 2014</c:v>
                </c:pt>
                <c:pt idx="37">
                  <c:v>2 Q 2014</c:v>
                </c:pt>
                <c:pt idx="38">
                  <c:v>3 Q 2014</c:v>
                </c:pt>
                <c:pt idx="39">
                  <c:v>4 Q 2014</c:v>
                </c:pt>
                <c:pt idx="40">
                  <c:v>1 Q 2015</c:v>
                </c:pt>
                <c:pt idx="41">
                  <c:v>2 Q 2015</c:v>
                </c:pt>
                <c:pt idx="42">
                  <c:v>3 Q 2015</c:v>
                </c:pt>
                <c:pt idx="43">
                  <c:v>4 Q 2015</c:v>
                </c:pt>
                <c:pt idx="44">
                  <c:v>1 Q 2016</c:v>
                </c:pt>
                <c:pt idx="45">
                  <c:v>2 Q 2016</c:v>
                </c:pt>
                <c:pt idx="46">
                  <c:v>3 Q 2016</c:v>
                </c:pt>
                <c:pt idx="47">
                  <c:v>4 Q 2016</c:v>
                </c:pt>
                <c:pt idx="48">
                  <c:v>1 Q 2017</c:v>
                </c:pt>
                <c:pt idx="49">
                  <c:v>2 Q 2017</c:v>
                </c:pt>
                <c:pt idx="50">
                  <c:v>3 Q 2017</c:v>
                </c:pt>
                <c:pt idx="51">
                  <c:v>4 Q 2017</c:v>
                </c:pt>
                <c:pt idx="52">
                  <c:v>1 Q 2018</c:v>
                </c:pt>
                <c:pt idx="53">
                  <c:v>2 Q 2018</c:v>
                </c:pt>
                <c:pt idx="54">
                  <c:v>3 Q 2018</c:v>
                </c:pt>
                <c:pt idx="55">
                  <c:v>4 Q 2018</c:v>
                </c:pt>
                <c:pt idx="56">
                  <c:v>1 Q 2019</c:v>
                </c:pt>
                <c:pt idx="57">
                  <c:v>2 Q 2019</c:v>
                </c:pt>
                <c:pt idx="58">
                  <c:v>3 Q 2019</c:v>
                </c:pt>
                <c:pt idx="59">
                  <c:v>4 Q 2019</c:v>
                </c:pt>
              </c:strCache>
            </c:strRef>
          </c:cat>
          <c:val>
            <c:numRef>
              <c:f>Graf_5!$F$4:$F$63</c:f>
              <c:numCache>
                <c:formatCode>General</c:formatCode>
                <c:ptCount val="60"/>
                <c:pt idx="16" formatCode="0.00%">
                  <c:v>0.13588142922996746</c:v>
                </c:pt>
                <c:pt idx="17" formatCode="0.00%">
                  <c:v>0.13588142922996746</c:v>
                </c:pt>
                <c:pt idx="18" formatCode="0.00%">
                  <c:v>0.13588142922996746</c:v>
                </c:pt>
                <c:pt idx="19" formatCode="0.00%">
                  <c:v>0.13588142922996746</c:v>
                </c:pt>
              </c:numCache>
            </c:numRef>
          </c:val>
          <c:smooth val="0"/>
          <c:extLst>
            <c:ext xmlns:c16="http://schemas.microsoft.com/office/drawing/2014/chart" uri="{C3380CC4-5D6E-409C-BE32-E72D297353CC}">
              <c16:uniqueId val="{0000000E-36F3-4736-A5D6-6C65FCD21465}"/>
            </c:ext>
          </c:extLst>
        </c:ser>
        <c:dLbls>
          <c:showLegendKey val="0"/>
          <c:showVal val="0"/>
          <c:showCatName val="0"/>
          <c:showSerName val="0"/>
          <c:showPercent val="0"/>
          <c:showBubbleSize val="0"/>
        </c:dLbls>
        <c:smooth val="0"/>
        <c:axId val="529016000"/>
        <c:axId val="818774816"/>
      </c:lineChart>
      <c:catAx>
        <c:axId val="529016000"/>
        <c:scaling>
          <c:orientation val="minMax"/>
        </c:scaling>
        <c:delete val="0"/>
        <c:axPos val="b"/>
        <c:numFmt formatCode="General" sourceLinked="0"/>
        <c:majorTickMark val="out"/>
        <c:minorTickMark val="none"/>
        <c:tickLblPos val="nextTo"/>
        <c:spPr>
          <a:ln>
            <a:noFill/>
          </a:ln>
        </c:spPr>
        <c:txPr>
          <a:bodyPr rot="0" vert="horz"/>
          <a:lstStyle/>
          <a:p>
            <a:pPr>
              <a:defRPr/>
            </a:pPr>
            <a:endParaRPr lang="sk-SK"/>
          </a:p>
        </c:txPr>
        <c:crossAx val="818774816"/>
        <c:crosses val="autoZero"/>
        <c:auto val="1"/>
        <c:lblAlgn val="ctr"/>
        <c:lblOffset val="100"/>
        <c:tickLblSkip val="3"/>
        <c:tickMarkSkip val="3"/>
        <c:noMultiLvlLbl val="0"/>
      </c:catAx>
      <c:valAx>
        <c:axId val="818774816"/>
        <c:scaling>
          <c:orientation val="minMax"/>
          <c:max val="0.16500000000000004"/>
          <c:min val="0.11000000000000001"/>
        </c:scaling>
        <c:delete val="0"/>
        <c:axPos val="l"/>
        <c:majorGridlines>
          <c:spPr>
            <a:ln>
              <a:solidFill>
                <a:schemeClr val="bg1">
                  <a:lumMod val="75000"/>
                </a:schemeClr>
              </a:solidFill>
              <a:prstDash val="sysDash"/>
            </a:ln>
          </c:spPr>
        </c:majorGridlines>
        <c:numFmt formatCode="0\ %" sourceLinked="0"/>
        <c:majorTickMark val="out"/>
        <c:minorTickMark val="none"/>
        <c:tickLblPos val="nextTo"/>
        <c:spPr>
          <a:ln>
            <a:noFill/>
          </a:ln>
        </c:spPr>
        <c:txPr>
          <a:bodyPr rot="0" vert="horz"/>
          <a:lstStyle/>
          <a:p>
            <a:pPr>
              <a:defRPr/>
            </a:pPr>
            <a:endParaRPr lang="sk-SK"/>
          </a:p>
        </c:txPr>
        <c:crossAx val="529016000"/>
        <c:crosses val="autoZero"/>
        <c:crossBetween val="midCat"/>
      </c:valAx>
      <c:spPr>
        <a:noFill/>
        <a:ln>
          <a:noFill/>
        </a:ln>
      </c:spPr>
    </c:plotArea>
    <c:plotVisOnly val="1"/>
    <c:dispBlanksAs val="gap"/>
    <c:showDLblsOverMax val="0"/>
  </c:chart>
  <c:spPr>
    <a:ln>
      <a:noFill/>
    </a:ln>
  </c:spPr>
  <c:txPr>
    <a:bodyPr/>
    <a:lstStyle/>
    <a:p>
      <a:pPr>
        <a:defRPr sz="900" b="0" i="0" u="none" strike="noStrike" baseline="0">
          <a:solidFill>
            <a:sysClr val="windowText" lastClr="000000"/>
          </a:solidFill>
          <a:latin typeface="Arial Narrow" panose="020B0606020202030204" pitchFamily="34" charset="0"/>
          <a:ea typeface="Calibri"/>
          <a:cs typeface="Calibri"/>
        </a:defRPr>
      </a:pPr>
      <a:endParaRPr lang="sk-SK"/>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506866237548206E-2"/>
          <c:y val="7.2751322751322747E-2"/>
          <c:w val="0.95029651606456622"/>
          <c:h val="0.76527583024724655"/>
        </c:manualLayout>
      </c:layout>
      <c:barChart>
        <c:barDir val="col"/>
        <c:grouping val="clustered"/>
        <c:varyColors val="0"/>
        <c:ser>
          <c:idx val="0"/>
          <c:order val="0"/>
          <c:tx>
            <c:strRef>
              <c:f>Hárok1!$B$1</c:f>
              <c:strCache>
                <c:ptCount val="1"/>
                <c:pt idx="0">
                  <c:v>2017</c:v>
                </c:pt>
              </c:strCache>
            </c:strRef>
          </c:tx>
          <c:spPr>
            <a:solidFill>
              <a:srgbClr val="0070C0"/>
            </a:solidFill>
            <a:ln>
              <a:noFill/>
            </a:ln>
            <a:effectLst/>
          </c:spPr>
          <c:invertIfNegative val="0"/>
          <c:dPt>
            <c:idx val="5"/>
            <c:invertIfNegative val="0"/>
            <c:bubble3D val="0"/>
            <c:spPr>
              <a:solidFill>
                <a:srgbClr val="4F81BD">
                  <a:lumMod val="40000"/>
                  <a:lumOff val="60000"/>
                </a:srgbClr>
              </a:solidFill>
              <a:ln>
                <a:noFill/>
              </a:ln>
              <a:effectLst/>
            </c:spPr>
            <c:extLst>
              <c:ext xmlns:c16="http://schemas.microsoft.com/office/drawing/2014/chart" uri="{C3380CC4-5D6E-409C-BE32-E72D297353CC}">
                <c16:uniqueId val="{00000001-5A56-4732-9C79-C2C99EA6C4D0}"/>
              </c:ext>
            </c:extLst>
          </c:dPt>
          <c:dPt>
            <c:idx val="12"/>
            <c:invertIfNegative val="0"/>
            <c:bubble3D val="0"/>
            <c:spPr>
              <a:solidFill>
                <a:srgbClr val="4F81BD">
                  <a:lumMod val="40000"/>
                  <a:lumOff val="60000"/>
                </a:srgbClr>
              </a:solidFill>
              <a:ln>
                <a:noFill/>
              </a:ln>
              <a:effectLst/>
            </c:spPr>
            <c:extLst>
              <c:ext xmlns:c16="http://schemas.microsoft.com/office/drawing/2014/chart" uri="{C3380CC4-5D6E-409C-BE32-E72D297353CC}">
                <c16:uniqueId val="{00000003-5A56-4732-9C79-C2C99EA6C4D0}"/>
              </c:ext>
            </c:extLst>
          </c:dPt>
          <c:dPt>
            <c:idx val="14"/>
            <c:invertIfNegative val="0"/>
            <c:bubble3D val="0"/>
            <c:spPr>
              <a:solidFill>
                <a:srgbClr val="0070C0"/>
              </a:solidFill>
              <a:ln>
                <a:noFill/>
              </a:ln>
              <a:effectLst/>
            </c:spPr>
            <c:extLst>
              <c:ext xmlns:c16="http://schemas.microsoft.com/office/drawing/2014/chart" uri="{C3380CC4-5D6E-409C-BE32-E72D297353CC}">
                <c16:uniqueId val="{00000005-5A56-4732-9C79-C2C99EA6C4D0}"/>
              </c:ext>
            </c:extLst>
          </c:dPt>
          <c:dPt>
            <c:idx val="15"/>
            <c:invertIfNegative val="0"/>
            <c:bubble3D val="0"/>
            <c:spPr>
              <a:solidFill>
                <a:srgbClr val="0070C0"/>
              </a:solidFill>
              <a:ln>
                <a:noFill/>
              </a:ln>
              <a:effectLst/>
            </c:spPr>
            <c:extLst>
              <c:ext xmlns:c16="http://schemas.microsoft.com/office/drawing/2014/chart" uri="{C3380CC4-5D6E-409C-BE32-E72D297353CC}">
                <c16:uniqueId val="{00000007-5A56-4732-9C79-C2C99EA6C4D0}"/>
              </c:ext>
            </c:extLst>
          </c:dPt>
          <c:dPt>
            <c:idx val="18"/>
            <c:invertIfNegative val="0"/>
            <c:bubble3D val="0"/>
            <c:spPr>
              <a:solidFill>
                <a:srgbClr val="4F81BD">
                  <a:lumMod val="40000"/>
                  <a:lumOff val="60000"/>
                </a:srgbClr>
              </a:solidFill>
              <a:ln>
                <a:noFill/>
              </a:ln>
              <a:effectLst/>
            </c:spPr>
            <c:extLst>
              <c:ext xmlns:c16="http://schemas.microsoft.com/office/drawing/2014/chart" uri="{C3380CC4-5D6E-409C-BE32-E72D297353CC}">
                <c16:uniqueId val="{00000015-BBEA-487A-B2B3-C0F34EC5A470}"/>
              </c:ext>
            </c:extLst>
          </c:dPt>
          <c:dPt>
            <c:idx val="19"/>
            <c:invertIfNegative val="0"/>
            <c:bubble3D val="0"/>
            <c:spPr>
              <a:solidFill>
                <a:srgbClr val="0070C0"/>
              </a:solidFill>
              <a:ln>
                <a:noFill/>
              </a:ln>
              <a:effectLst/>
            </c:spPr>
            <c:extLst>
              <c:ext xmlns:c16="http://schemas.microsoft.com/office/drawing/2014/chart" uri="{C3380CC4-5D6E-409C-BE32-E72D297353CC}">
                <c16:uniqueId val="{00000009-5A56-4732-9C79-C2C99EA6C4D0}"/>
              </c:ext>
            </c:extLst>
          </c:dPt>
          <c:dPt>
            <c:idx val="20"/>
            <c:invertIfNegative val="0"/>
            <c:bubble3D val="0"/>
            <c:spPr>
              <a:solidFill>
                <a:srgbClr val="4F81BD">
                  <a:lumMod val="40000"/>
                  <a:lumOff val="60000"/>
                </a:srgbClr>
              </a:solidFill>
              <a:ln>
                <a:noFill/>
              </a:ln>
              <a:effectLst/>
            </c:spPr>
            <c:extLst>
              <c:ext xmlns:c16="http://schemas.microsoft.com/office/drawing/2014/chart" uri="{C3380CC4-5D6E-409C-BE32-E72D297353CC}">
                <c16:uniqueId val="{0000000B-5A56-4732-9C79-C2C99EA6C4D0}"/>
              </c:ext>
            </c:extLst>
          </c:dPt>
          <c:dPt>
            <c:idx val="21"/>
            <c:invertIfNegative val="0"/>
            <c:bubble3D val="0"/>
            <c:spPr>
              <a:solidFill>
                <a:srgbClr val="4F81BD">
                  <a:lumMod val="40000"/>
                  <a:lumOff val="60000"/>
                </a:srgbClr>
              </a:solidFill>
              <a:ln>
                <a:noFill/>
              </a:ln>
              <a:effectLst/>
            </c:spPr>
            <c:extLst>
              <c:ext xmlns:c16="http://schemas.microsoft.com/office/drawing/2014/chart" uri="{C3380CC4-5D6E-409C-BE32-E72D297353CC}">
                <c16:uniqueId val="{0000000D-5A56-4732-9C79-C2C99EA6C4D0}"/>
              </c:ext>
            </c:extLst>
          </c:dPt>
          <c:dPt>
            <c:idx val="22"/>
            <c:invertIfNegative val="0"/>
            <c:bubble3D val="0"/>
            <c:spPr>
              <a:solidFill>
                <a:srgbClr val="0070C0"/>
              </a:solidFill>
              <a:ln>
                <a:noFill/>
              </a:ln>
              <a:effectLst/>
            </c:spPr>
            <c:extLst>
              <c:ext xmlns:c16="http://schemas.microsoft.com/office/drawing/2014/chart" uri="{C3380CC4-5D6E-409C-BE32-E72D297353CC}">
                <c16:uniqueId val="{0000000F-5A56-4732-9C79-C2C99EA6C4D0}"/>
              </c:ext>
            </c:extLst>
          </c:dPt>
          <c:dPt>
            <c:idx val="23"/>
            <c:invertIfNegative val="0"/>
            <c:bubble3D val="0"/>
            <c:spPr>
              <a:solidFill>
                <a:srgbClr val="C0504D"/>
              </a:solidFill>
              <a:ln>
                <a:noFill/>
              </a:ln>
              <a:effectLst/>
            </c:spPr>
            <c:extLst>
              <c:ext xmlns:c16="http://schemas.microsoft.com/office/drawing/2014/chart" uri="{C3380CC4-5D6E-409C-BE32-E72D297353CC}">
                <c16:uniqueId val="{00000014-BBEA-487A-B2B3-C0F34EC5A470}"/>
              </c:ext>
            </c:extLst>
          </c:dPt>
          <c:dPt>
            <c:idx val="24"/>
            <c:invertIfNegative val="0"/>
            <c:bubble3D val="0"/>
            <c:spPr>
              <a:solidFill>
                <a:srgbClr val="0070C0"/>
              </a:solidFill>
              <a:ln>
                <a:noFill/>
              </a:ln>
              <a:effectLst/>
            </c:spPr>
            <c:extLst>
              <c:ext xmlns:c16="http://schemas.microsoft.com/office/drawing/2014/chart" uri="{C3380CC4-5D6E-409C-BE32-E72D297353CC}">
                <c16:uniqueId val="{00000011-5A56-4732-9C79-C2C99EA6C4D0}"/>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A56-4732-9C79-C2C99EA6C4D0}"/>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56-4732-9C79-C2C99EA6C4D0}"/>
                </c:ext>
              </c:extLst>
            </c:dLbl>
            <c:dLbl>
              <c:idx val="12"/>
              <c:layout>
                <c:manualLayout>
                  <c:x val="0"/>
                  <c:y val="-4.56621004566210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56-4732-9C79-C2C99EA6C4D0}"/>
                </c:ext>
              </c:extLst>
            </c:dLbl>
            <c:dLbl>
              <c:idx val="1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BEA-487A-B2B3-C0F34EC5A470}"/>
                </c:ext>
              </c:extLst>
            </c:dLbl>
            <c:dLbl>
              <c:idx val="2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A56-4732-9C79-C2C99EA6C4D0}"/>
                </c:ext>
              </c:extLst>
            </c:dLbl>
            <c:dLbl>
              <c:idx val="2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A56-4732-9C79-C2C99EA6C4D0}"/>
                </c:ext>
              </c:extLst>
            </c:dLbl>
            <c:dLbl>
              <c:idx val="2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BEA-487A-B2B3-C0F34EC5A470}"/>
                </c:ext>
              </c:extLst>
            </c:dLbl>
            <c:dLbl>
              <c:idx val="2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BEA-487A-B2B3-C0F34EC5A470}"/>
                </c:ext>
              </c:extLst>
            </c:dLbl>
            <c:dLbl>
              <c:idx val="2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A56-4732-9C79-C2C99EA6C4D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Hárok1!$A$2:$A$29</c:f>
              <c:strCache>
                <c:ptCount val="28"/>
                <c:pt idx="0">
                  <c:v>CY</c:v>
                </c:pt>
                <c:pt idx="1">
                  <c:v>LU</c:v>
                </c:pt>
                <c:pt idx="2">
                  <c:v>MT</c:v>
                </c:pt>
                <c:pt idx="3">
                  <c:v>SE</c:v>
                </c:pt>
                <c:pt idx="4">
                  <c:v>ES</c:v>
                </c:pt>
                <c:pt idx="5">
                  <c:v>SI</c:v>
                </c:pt>
                <c:pt idx="6">
                  <c:v>NL</c:v>
                </c:pt>
                <c:pt idx="7">
                  <c:v>EE</c:v>
                </c:pt>
                <c:pt idx="8">
                  <c:v>HR</c:v>
                </c:pt>
                <c:pt idx="9">
                  <c:v>FR</c:v>
                </c:pt>
                <c:pt idx="10">
                  <c:v>DK</c:v>
                </c:pt>
                <c:pt idx="11">
                  <c:v>FI</c:v>
                </c:pt>
                <c:pt idx="12">
                  <c:v>AT</c:v>
                </c:pt>
                <c:pt idx="13">
                  <c:v>DE</c:v>
                </c:pt>
                <c:pt idx="14">
                  <c:v>PT</c:v>
                </c:pt>
                <c:pt idx="15">
                  <c:v>UK</c:v>
                </c:pt>
                <c:pt idx="16">
                  <c:v>BE</c:v>
                </c:pt>
                <c:pt idx="17">
                  <c:v>BG</c:v>
                </c:pt>
                <c:pt idx="18">
                  <c:v>CZ</c:v>
                </c:pt>
                <c:pt idx="19">
                  <c:v>IE</c:v>
                </c:pt>
                <c:pt idx="20">
                  <c:v>PL</c:v>
                </c:pt>
                <c:pt idx="21">
                  <c:v>HU</c:v>
                </c:pt>
                <c:pt idx="22">
                  <c:v>LV</c:v>
                </c:pt>
                <c:pt idx="23">
                  <c:v>SK</c:v>
                </c:pt>
                <c:pt idx="24">
                  <c:v>IT</c:v>
                </c:pt>
                <c:pt idx="25">
                  <c:v>LT</c:v>
                </c:pt>
                <c:pt idx="26">
                  <c:v>EL</c:v>
                </c:pt>
                <c:pt idx="27">
                  <c:v>RO</c:v>
                </c:pt>
              </c:strCache>
            </c:strRef>
          </c:cat>
          <c:val>
            <c:numRef>
              <c:f>Hárok1!$B$2:$B$29</c:f>
              <c:numCache>
                <c:formatCode>General</c:formatCode>
                <c:ptCount val="28"/>
                <c:pt idx="0">
                  <c:v>0.6</c:v>
                </c:pt>
                <c:pt idx="1">
                  <c:v>0.7</c:v>
                </c:pt>
                <c:pt idx="2">
                  <c:v>1.3</c:v>
                </c:pt>
                <c:pt idx="3">
                  <c:v>1.5</c:v>
                </c:pt>
                <c:pt idx="4">
                  <c:v>2.4</c:v>
                </c:pt>
                <c:pt idx="5">
                  <c:v>3.5</c:v>
                </c:pt>
                <c:pt idx="6">
                  <c:v>5.2</c:v>
                </c:pt>
                <c:pt idx="7">
                  <c:v>5.4</c:v>
                </c:pt>
                <c:pt idx="8">
                  <c:v>6.6</c:v>
                </c:pt>
                <c:pt idx="9">
                  <c:v>6.9</c:v>
                </c:pt>
                <c:pt idx="10">
                  <c:v>7.4</c:v>
                </c:pt>
                <c:pt idx="11">
                  <c:v>7.4</c:v>
                </c:pt>
                <c:pt idx="12">
                  <c:v>7.9</c:v>
                </c:pt>
                <c:pt idx="13">
                  <c:v>9.9</c:v>
                </c:pt>
                <c:pt idx="14">
                  <c:v>10.3</c:v>
                </c:pt>
                <c:pt idx="15">
                  <c:v>10.6</c:v>
                </c:pt>
                <c:pt idx="16">
                  <c:v>11.8</c:v>
                </c:pt>
                <c:pt idx="17">
                  <c:v>11.8</c:v>
                </c:pt>
                <c:pt idx="18">
                  <c:v>12.4</c:v>
                </c:pt>
                <c:pt idx="19">
                  <c:v>12.7</c:v>
                </c:pt>
                <c:pt idx="20">
                  <c:v>13.7</c:v>
                </c:pt>
                <c:pt idx="21">
                  <c:v>13.9</c:v>
                </c:pt>
                <c:pt idx="22">
                  <c:v>15.1</c:v>
                </c:pt>
                <c:pt idx="23">
                  <c:v>23.2</c:v>
                </c:pt>
                <c:pt idx="24">
                  <c:v>23.8</c:v>
                </c:pt>
                <c:pt idx="25">
                  <c:v>25.3</c:v>
                </c:pt>
                <c:pt idx="26">
                  <c:v>33.6</c:v>
                </c:pt>
                <c:pt idx="27">
                  <c:v>35.5</c:v>
                </c:pt>
              </c:numCache>
            </c:numRef>
          </c:val>
          <c:extLst>
            <c:ext xmlns:c16="http://schemas.microsoft.com/office/drawing/2014/chart" uri="{C3380CC4-5D6E-409C-BE32-E72D297353CC}">
              <c16:uniqueId val="{00000015-5A56-4732-9C79-C2C99EA6C4D0}"/>
            </c:ext>
          </c:extLst>
        </c:ser>
        <c:dLbls>
          <c:showLegendKey val="0"/>
          <c:showVal val="0"/>
          <c:showCatName val="0"/>
          <c:showSerName val="0"/>
          <c:showPercent val="0"/>
          <c:showBubbleSize val="0"/>
        </c:dLbls>
        <c:gapWidth val="75"/>
        <c:axId val="74318240"/>
        <c:axId val="2092458832"/>
      </c:barChart>
      <c:lineChart>
        <c:grouping val="standard"/>
        <c:varyColors val="0"/>
        <c:ser>
          <c:idx val="1"/>
          <c:order val="1"/>
          <c:tx>
            <c:strRef>
              <c:f>Hárok1!$C$1</c:f>
              <c:strCache>
                <c:ptCount val="1"/>
                <c:pt idx="0">
                  <c:v>EÚ 28</c:v>
                </c:pt>
              </c:strCache>
            </c:strRef>
          </c:tx>
          <c:spPr>
            <a:ln w="12700" cap="rnd">
              <a:solidFill>
                <a:sysClr val="windowText" lastClr="000000"/>
              </a:solidFill>
              <a:prstDash val="dash"/>
              <a:round/>
            </a:ln>
            <a:effectLst/>
          </c:spPr>
          <c:marker>
            <c:symbol val="none"/>
          </c:marker>
          <c:cat>
            <c:strRef>
              <c:f>Hárok1!$A$2:$A$29</c:f>
              <c:strCache>
                <c:ptCount val="28"/>
                <c:pt idx="0">
                  <c:v>CY</c:v>
                </c:pt>
                <c:pt idx="1">
                  <c:v>LU</c:v>
                </c:pt>
                <c:pt idx="2">
                  <c:v>MT</c:v>
                </c:pt>
                <c:pt idx="3">
                  <c:v>SE</c:v>
                </c:pt>
                <c:pt idx="4">
                  <c:v>ES</c:v>
                </c:pt>
                <c:pt idx="5">
                  <c:v>SI</c:v>
                </c:pt>
                <c:pt idx="6">
                  <c:v>NL</c:v>
                </c:pt>
                <c:pt idx="7">
                  <c:v>EE</c:v>
                </c:pt>
                <c:pt idx="8">
                  <c:v>HR</c:v>
                </c:pt>
                <c:pt idx="9">
                  <c:v>FR</c:v>
                </c:pt>
                <c:pt idx="10">
                  <c:v>DK</c:v>
                </c:pt>
                <c:pt idx="11">
                  <c:v>FI</c:v>
                </c:pt>
                <c:pt idx="12">
                  <c:v>AT</c:v>
                </c:pt>
                <c:pt idx="13">
                  <c:v>DE</c:v>
                </c:pt>
                <c:pt idx="14">
                  <c:v>PT</c:v>
                </c:pt>
                <c:pt idx="15">
                  <c:v>UK</c:v>
                </c:pt>
                <c:pt idx="16">
                  <c:v>BE</c:v>
                </c:pt>
                <c:pt idx="17">
                  <c:v>BG</c:v>
                </c:pt>
                <c:pt idx="18">
                  <c:v>CZ</c:v>
                </c:pt>
                <c:pt idx="19">
                  <c:v>IE</c:v>
                </c:pt>
                <c:pt idx="20">
                  <c:v>PL</c:v>
                </c:pt>
                <c:pt idx="21">
                  <c:v>HU</c:v>
                </c:pt>
                <c:pt idx="22">
                  <c:v>LV</c:v>
                </c:pt>
                <c:pt idx="23">
                  <c:v>SK</c:v>
                </c:pt>
                <c:pt idx="24">
                  <c:v>IT</c:v>
                </c:pt>
                <c:pt idx="25">
                  <c:v>LT</c:v>
                </c:pt>
                <c:pt idx="26">
                  <c:v>EL</c:v>
                </c:pt>
                <c:pt idx="27">
                  <c:v>RO</c:v>
                </c:pt>
              </c:strCache>
            </c:strRef>
          </c:cat>
          <c:val>
            <c:numRef>
              <c:f>Hárok1!$C$2:$C$29</c:f>
              <c:numCache>
                <c:formatCode>General</c:formatCode>
                <c:ptCount val="28"/>
                <c:pt idx="0">
                  <c:v>11.2</c:v>
                </c:pt>
                <c:pt idx="1">
                  <c:v>11.2</c:v>
                </c:pt>
                <c:pt idx="2">
                  <c:v>11.2</c:v>
                </c:pt>
                <c:pt idx="3">
                  <c:v>11.2</c:v>
                </c:pt>
                <c:pt idx="4">
                  <c:v>11.2</c:v>
                </c:pt>
                <c:pt idx="5">
                  <c:v>11.2</c:v>
                </c:pt>
                <c:pt idx="6">
                  <c:v>11.2</c:v>
                </c:pt>
                <c:pt idx="7">
                  <c:v>11.2</c:v>
                </c:pt>
                <c:pt idx="8">
                  <c:v>11.2</c:v>
                </c:pt>
                <c:pt idx="9">
                  <c:v>11.2</c:v>
                </c:pt>
                <c:pt idx="10">
                  <c:v>11.2</c:v>
                </c:pt>
                <c:pt idx="11">
                  <c:v>11.2</c:v>
                </c:pt>
                <c:pt idx="12">
                  <c:v>11.2</c:v>
                </c:pt>
                <c:pt idx="13">
                  <c:v>11.2</c:v>
                </c:pt>
                <c:pt idx="14">
                  <c:v>11.2</c:v>
                </c:pt>
                <c:pt idx="15">
                  <c:v>11.2</c:v>
                </c:pt>
                <c:pt idx="16">
                  <c:v>11.2</c:v>
                </c:pt>
                <c:pt idx="17">
                  <c:v>11.2</c:v>
                </c:pt>
                <c:pt idx="18">
                  <c:v>11.2</c:v>
                </c:pt>
                <c:pt idx="19">
                  <c:v>11.2</c:v>
                </c:pt>
                <c:pt idx="20">
                  <c:v>11.2</c:v>
                </c:pt>
                <c:pt idx="21">
                  <c:v>11.2</c:v>
                </c:pt>
                <c:pt idx="22">
                  <c:v>11.2</c:v>
                </c:pt>
                <c:pt idx="23">
                  <c:v>11.2</c:v>
                </c:pt>
                <c:pt idx="24">
                  <c:v>11.2</c:v>
                </c:pt>
                <c:pt idx="25">
                  <c:v>11.2</c:v>
                </c:pt>
                <c:pt idx="26">
                  <c:v>11.2</c:v>
                </c:pt>
                <c:pt idx="27">
                  <c:v>11.2</c:v>
                </c:pt>
              </c:numCache>
            </c:numRef>
          </c:val>
          <c:smooth val="0"/>
          <c:extLst>
            <c:ext xmlns:c16="http://schemas.microsoft.com/office/drawing/2014/chart" uri="{C3380CC4-5D6E-409C-BE32-E72D297353CC}">
              <c16:uniqueId val="{00000012-BBEA-487A-B2B3-C0F34EC5A470}"/>
            </c:ext>
          </c:extLst>
        </c:ser>
        <c:dLbls>
          <c:showLegendKey val="0"/>
          <c:showVal val="0"/>
          <c:showCatName val="0"/>
          <c:showSerName val="0"/>
          <c:showPercent val="0"/>
          <c:showBubbleSize val="0"/>
        </c:dLbls>
        <c:marker val="1"/>
        <c:smooth val="0"/>
        <c:axId val="74318240"/>
        <c:axId val="2092458832"/>
      </c:lineChart>
      <c:catAx>
        <c:axId val="743182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2092458832"/>
        <c:crosses val="autoZero"/>
        <c:auto val="1"/>
        <c:lblAlgn val="ctr"/>
        <c:lblOffset val="100"/>
        <c:noMultiLvlLbl val="0"/>
      </c:catAx>
      <c:valAx>
        <c:axId val="2092458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74318240"/>
        <c:crosses val="autoZero"/>
        <c:crossBetween val="between"/>
      </c:valAx>
      <c:spPr>
        <a:noFill/>
        <a:ln>
          <a:noFill/>
        </a:ln>
        <a:effectLst/>
      </c:spPr>
    </c:plotArea>
    <c:legend>
      <c:legendPos val="r"/>
      <c:layout>
        <c:manualLayout>
          <c:xMode val="edge"/>
          <c:yMode val="edge"/>
          <c:x val="6.4243379290756825E-2"/>
          <c:y val="8.8370546147485005E-2"/>
          <c:w val="0.14479616873184203"/>
          <c:h val="0.2448723019211639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Narrow" panose="020B0606020202030204" pitchFamily="34" charset="0"/>
        </a:defRPr>
      </a:pPr>
      <a:endParaRPr lang="sk-SK"/>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303776518381064E-2"/>
          <c:y val="6.455399061032864E-2"/>
          <c:w val="0.93934165872578035"/>
          <c:h val="0.81091549295774645"/>
        </c:manualLayout>
      </c:layout>
      <c:lineChart>
        <c:grouping val="standard"/>
        <c:varyColors val="0"/>
        <c:ser>
          <c:idx val="1"/>
          <c:order val="1"/>
          <c:tx>
            <c:strRef>
              <c:f>'Graf 3'!$A$4</c:f>
              <c:strCache>
                <c:ptCount val="1"/>
                <c:pt idx="0">
                  <c:v>DPH medzera</c:v>
                </c:pt>
              </c:strCache>
            </c:strRef>
          </c:tx>
          <c:spPr>
            <a:ln w="28575" cap="rnd">
              <a:solidFill>
                <a:srgbClr val="0070C0"/>
              </a:solidFill>
              <a:round/>
            </a:ln>
            <a:effectLst/>
          </c:spPr>
          <c:marker>
            <c:symbol val="none"/>
          </c:marker>
          <c:dLbls>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7C-44DC-B2A5-91A9497B7ECC}"/>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 3'!$B$2:$T$2</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'Graf 3'!$B$4:$T$4</c:f>
              <c:numCache>
                <c:formatCode>0.0</c:formatCode>
                <c:ptCount val="19"/>
                <c:pt idx="0">
                  <c:v>20.539006440035472</c:v>
                </c:pt>
                <c:pt idx="1">
                  <c:v>17.981154939472081</c:v>
                </c:pt>
                <c:pt idx="2">
                  <c:v>20.273398893987622</c:v>
                </c:pt>
                <c:pt idx="3">
                  <c:v>15.538242902431607</c:v>
                </c:pt>
                <c:pt idx="4">
                  <c:v>23.326946389646071</c:v>
                </c:pt>
                <c:pt idx="5">
                  <c:v>21.305748893528705</c:v>
                </c:pt>
                <c:pt idx="6">
                  <c:v>26.429308528507438</c:v>
                </c:pt>
                <c:pt idx="7">
                  <c:v>31.26735410746781</c:v>
                </c:pt>
                <c:pt idx="8">
                  <c:v>31.122782716720604</c:v>
                </c:pt>
                <c:pt idx="9">
                  <c:v>34.727321237247274</c:v>
                </c:pt>
                <c:pt idx="10">
                  <c:v>34.828664108815545</c:v>
                </c:pt>
                <c:pt idx="11">
                  <c:v>36.059935538041309</c:v>
                </c:pt>
                <c:pt idx="12">
                  <c:v>40.293510129677998</c:v>
                </c:pt>
                <c:pt idx="13">
                  <c:v>36.36325176533132</c:v>
                </c:pt>
                <c:pt idx="14">
                  <c:v>31.952172830368447</c:v>
                </c:pt>
                <c:pt idx="15">
                  <c:v>31.100818320796762</c:v>
                </c:pt>
                <c:pt idx="16">
                  <c:v>28.935185052644247</c:v>
                </c:pt>
                <c:pt idx="17">
                  <c:v>26.956310257893474</c:v>
                </c:pt>
                <c:pt idx="18">
                  <c:v>26.865608545812826</c:v>
                </c:pt>
              </c:numCache>
            </c:numRef>
          </c:val>
          <c:smooth val="0"/>
          <c:extLst>
            <c:ext xmlns:c16="http://schemas.microsoft.com/office/drawing/2014/chart" uri="{C3380CC4-5D6E-409C-BE32-E72D297353CC}">
              <c16:uniqueId val="{00000001-907C-44DC-B2A5-91A9497B7ECC}"/>
            </c:ext>
          </c:extLst>
        </c:ser>
        <c:dLbls>
          <c:dLblPos val="t"/>
          <c:showLegendKey val="0"/>
          <c:showVal val="1"/>
          <c:showCatName val="0"/>
          <c:showSerName val="0"/>
          <c:showPercent val="0"/>
          <c:showBubbleSize val="0"/>
        </c:dLbls>
        <c:smooth val="0"/>
        <c:axId val="655386688"/>
        <c:axId val="656143000"/>
        <c:extLst>
          <c:ext xmlns:c15="http://schemas.microsoft.com/office/drawing/2012/chart" uri="{02D57815-91ED-43cb-92C2-25804820EDAC}">
            <c15:filteredLineSeries>
              <c15:ser>
                <c:idx val="0"/>
                <c:order val="0"/>
                <c:tx>
                  <c:strRef>
                    <c:extLst>
                      <c:ext uri="{02D57815-91ED-43cb-92C2-25804820EDAC}">
                        <c15:formulaRef>
                          <c15:sqref>'Graf 3'!$A$3</c15:sqref>
                        </c15:formulaRef>
                      </c:ext>
                    </c:extLst>
                    <c:strCache>
                      <c:ptCount val="1"/>
                      <c:pt idx="0">
                        <c:v>DPH medzera</c:v>
                      </c:pt>
                    </c:strCache>
                  </c:strRef>
                </c:tx>
                <c:spPr>
                  <a:ln w="28575" cap="rnd">
                    <a:solidFill>
                      <a:srgbClr val="00B0F0"/>
                    </a:solidFill>
                    <a:round/>
                  </a:ln>
                  <a:effectLst/>
                </c:spPr>
                <c:marker>
                  <c:symbol val="none"/>
                </c:marker>
                <c:dPt>
                  <c:idx val="15"/>
                  <c:marker>
                    <c:symbol val="none"/>
                  </c:marker>
                  <c:bubble3D val="0"/>
                  <c:spPr>
                    <a:ln w="28575" cap="rnd">
                      <a:solidFill>
                        <a:srgbClr val="00B0F0"/>
                      </a:solidFill>
                      <a:round/>
                    </a:ln>
                    <a:effectLst/>
                  </c:spPr>
                  <c:extLst>
                    <c:ext xmlns:c16="http://schemas.microsoft.com/office/drawing/2014/chart" uri="{C3380CC4-5D6E-409C-BE32-E72D297353CC}">
                      <c16:uniqueId val="{00000003-907C-44DC-B2A5-91A9497B7ECC}"/>
                    </c:ext>
                  </c:extLst>
                </c:dPt>
                <c:dPt>
                  <c:idx val="16"/>
                  <c:marker>
                    <c:symbol val="none"/>
                  </c:marker>
                  <c:bubble3D val="0"/>
                  <c:spPr>
                    <a:ln w="28575" cap="rnd">
                      <a:solidFill>
                        <a:srgbClr val="00B0F0"/>
                      </a:solidFill>
                      <a:round/>
                    </a:ln>
                    <a:effectLst/>
                  </c:spPr>
                  <c:extLst>
                    <c:ext xmlns:c16="http://schemas.microsoft.com/office/drawing/2014/chart" uri="{C3380CC4-5D6E-409C-BE32-E72D297353CC}">
                      <c16:uniqueId val="{00000005-907C-44DC-B2A5-91A9497B7ECC}"/>
                    </c:ext>
                  </c:extLst>
                </c:dPt>
                <c:dPt>
                  <c:idx val="17"/>
                  <c:marker>
                    <c:symbol val="none"/>
                  </c:marker>
                  <c:bubble3D val="0"/>
                  <c:spPr>
                    <a:ln w="28575" cap="rnd">
                      <a:solidFill>
                        <a:srgbClr val="2C9ADC"/>
                      </a:solidFill>
                      <a:round/>
                    </a:ln>
                    <a:effectLst/>
                  </c:spPr>
                  <c:extLst>
                    <c:ext xmlns:c16="http://schemas.microsoft.com/office/drawing/2014/chart" uri="{C3380CC4-5D6E-409C-BE32-E72D297353CC}">
                      <c16:uniqueId val="{00000007-907C-44DC-B2A5-91A9497B7E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'Graf 3'!$B$2:$T$2</c15:sqref>
                        </c15:formulaRef>
                      </c:ext>
                    </c:extLst>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extLst>
                      <c:ext uri="{02D57815-91ED-43cb-92C2-25804820EDAC}">
                        <c15:formulaRef>
                          <c15:sqref>'Graf 3'!$B$3:$T$3</c15:sqref>
                        </c15:formulaRef>
                      </c:ext>
                    </c:extLst>
                    <c:numCache>
                      <c:formatCode>0.00</c:formatCode>
                      <c:ptCount val="19"/>
                      <c:pt idx="0">
                        <c:v>0.20539006440035473</c:v>
                      </c:pt>
                      <c:pt idx="1">
                        <c:v>0.1798115493947208</c:v>
                      </c:pt>
                      <c:pt idx="2">
                        <c:v>0.20273398893987624</c:v>
                      </c:pt>
                      <c:pt idx="3">
                        <c:v>0.15538242902431607</c:v>
                      </c:pt>
                      <c:pt idx="4">
                        <c:v>0.23326946389646072</c:v>
                      </c:pt>
                      <c:pt idx="5">
                        <c:v>0.21305748893528703</c:v>
                      </c:pt>
                      <c:pt idx="6">
                        <c:v>0.26429308528507439</c:v>
                      </c:pt>
                      <c:pt idx="7">
                        <c:v>0.3126735410746781</c:v>
                      </c:pt>
                      <c:pt idx="8">
                        <c:v>0.31122782716720604</c:v>
                      </c:pt>
                      <c:pt idx="9">
                        <c:v>0.34727321237247272</c:v>
                      </c:pt>
                      <c:pt idx="10">
                        <c:v>0.34828664108815544</c:v>
                      </c:pt>
                      <c:pt idx="11">
                        <c:v>0.3605993553804131</c:v>
                      </c:pt>
                      <c:pt idx="12">
                        <c:v>0.40293510129678001</c:v>
                      </c:pt>
                      <c:pt idx="13">
                        <c:v>0.36363251765331323</c:v>
                      </c:pt>
                      <c:pt idx="14">
                        <c:v>0.31952172830368447</c:v>
                      </c:pt>
                      <c:pt idx="15">
                        <c:v>0.31100818320796764</c:v>
                      </c:pt>
                      <c:pt idx="16">
                        <c:v>0.28935185052644247</c:v>
                      </c:pt>
                      <c:pt idx="17">
                        <c:v>0.26956310257893473</c:v>
                      </c:pt>
                      <c:pt idx="18">
                        <c:v>0.26865608545812825</c:v>
                      </c:pt>
                    </c:numCache>
                  </c:numRef>
                </c:val>
                <c:smooth val="0"/>
                <c:extLst>
                  <c:ext xmlns:c16="http://schemas.microsoft.com/office/drawing/2014/chart" uri="{C3380CC4-5D6E-409C-BE32-E72D297353CC}">
                    <c16:uniqueId val="{00000008-907C-44DC-B2A5-91A9497B7ECC}"/>
                  </c:ext>
                </c:extLst>
              </c15:ser>
            </c15:filteredLineSeries>
          </c:ext>
        </c:extLst>
      </c:lineChart>
      <c:catAx>
        <c:axId val="655386688"/>
        <c:scaling>
          <c:orientation val="minMax"/>
        </c:scaling>
        <c:delete val="0"/>
        <c:axPos val="b"/>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656143000"/>
        <c:crosses val="autoZero"/>
        <c:auto val="1"/>
        <c:lblAlgn val="ctr"/>
        <c:lblOffset val="100"/>
        <c:noMultiLvlLbl val="0"/>
      </c:catAx>
      <c:valAx>
        <c:axId val="656143000"/>
        <c:scaling>
          <c:orientation val="minMax"/>
          <c:min val="10"/>
        </c:scaling>
        <c:delete val="0"/>
        <c:axPos val="l"/>
        <c:majorGridlines>
          <c:spPr>
            <a:ln w="952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6553866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Narrow" panose="020B0606020202030204" pitchFamily="34" charset="0"/>
        </a:defRPr>
      </a:pPr>
      <a:endParaRPr lang="sk-SK"/>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827094219949538E-2"/>
          <c:y val="7.2751322751322747E-2"/>
          <c:w val="0.91997619799465558"/>
          <c:h val="0.78384242917911118"/>
        </c:manualLayout>
      </c:layout>
      <c:barChart>
        <c:barDir val="col"/>
        <c:grouping val="clustered"/>
        <c:varyColors val="0"/>
        <c:ser>
          <c:idx val="0"/>
          <c:order val="0"/>
          <c:tx>
            <c:strRef>
              <c:f>Hárok1!$B$1</c:f>
              <c:strCache>
                <c:ptCount val="1"/>
                <c:pt idx="0">
                  <c:v>2019 OS</c:v>
                </c:pt>
              </c:strCache>
            </c:strRef>
          </c:tx>
          <c:spPr>
            <a:solidFill>
              <a:srgbClr val="0070C0"/>
            </a:solidFill>
            <a:ln>
              <a:noFill/>
            </a:ln>
            <a:effectLst/>
          </c:spPr>
          <c:invertIfNegative val="0"/>
          <c:dPt>
            <c:idx val="5"/>
            <c:invertIfNegative val="0"/>
            <c:bubble3D val="0"/>
            <c:spPr>
              <a:solidFill>
                <a:srgbClr val="4F81BD">
                  <a:lumMod val="40000"/>
                  <a:lumOff val="60000"/>
                </a:srgbClr>
              </a:solidFill>
              <a:ln>
                <a:noFill/>
              </a:ln>
              <a:effectLst/>
            </c:spPr>
            <c:extLst>
              <c:ext xmlns:c16="http://schemas.microsoft.com/office/drawing/2014/chart" uri="{C3380CC4-5D6E-409C-BE32-E72D297353CC}">
                <c16:uniqueId val="{00000001-BB20-40C0-9C48-C4DBBB6C574B}"/>
              </c:ext>
            </c:extLst>
          </c:dPt>
          <c:dPt>
            <c:idx val="11"/>
            <c:invertIfNegative val="0"/>
            <c:bubble3D val="0"/>
            <c:spPr>
              <a:solidFill>
                <a:srgbClr val="4F81BD">
                  <a:lumMod val="40000"/>
                  <a:lumOff val="60000"/>
                </a:srgbClr>
              </a:solidFill>
              <a:ln>
                <a:noFill/>
              </a:ln>
              <a:effectLst/>
            </c:spPr>
            <c:extLst>
              <c:ext xmlns:c16="http://schemas.microsoft.com/office/drawing/2014/chart" uri="{C3380CC4-5D6E-409C-BE32-E72D297353CC}">
                <c16:uniqueId val="{00000003-BB20-40C0-9C48-C4DBBB6C574B}"/>
              </c:ext>
            </c:extLst>
          </c:dPt>
          <c:dPt>
            <c:idx val="12"/>
            <c:invertIfNegative val="0"/>
            <c:bubble3D val="0"/>
            <c:spPr>
              <a:solidFill>
                <a:srgbClr val="4F81BD">
                  <a:lumMod val="40000"/>
                  <a:lumOff val="60000"/>
                </a:srgbClr>
              </a:solidFill>
              <a:ln>
                <a:noFill/>
              </a:ln>
              <a:effectLst/>
            </c:spPr>
            <c:extLst>
              <c:ext xmlns:c16="http://schemas.microsoft.com/office/drawing/2014/chart" uri="{C3380CC4-5D6E-409C-BE32-E72D297353CC}">
                <c16:uniqueId val="{00000005-BB20-40C0-9C48-C4DBBB6C574B}"/>
              </c:ext>
            </c:extLst>
          </c:dPt>
          <c:dPt>
            <c:idx val="13"/>
            <c:invertIfNegative val="0"/>
            <c:bubble3D val="0"/>
            <c:spPr>
              <a:solidFill>
                <a:srgbClr val="0070C0"/>
              </a:solidFill>
              <a:ln>
                <a:noFill/>
              </a:ln>
              <a:effectLst/>
            </c:spPr>
            <c:extLst>
              <c:ext xmlns:c16="http://schemas.microsoft.com/office/drawing/2014/chart" uri="{C3380CC4-5D6E-409C-BE32-E72D297353CC}">
                <c16:uniqueId val="{00000007-BB20-40C0-9C48-C4DBBB6C574B}"/>
              </c:ext>
            </c:extLst>
          </c:dPt>
          <c:dPt>
            <c:idx val="14"/>
            <c:invertIfNegative val="0"/>
            <c:bubble3D val="0"/>
            <c:spPr>
              <a:solidFill>
                <a:srgbClr val="0070C0"/>
              </a:solidFill>
              <a:ln>
                <a:noFill/>
              </a:ln>
              <a:effectLst/>
            </c:spPr>
            <c:extLst>
              <c:ext xmlns:c16="http://schemas.microsoft.com/office/drawing/2014/chart" uri="{C3380CC4-5D6E-409C-BE32-E72D297353CC}">
                <c16:uniqueId val="{00000009-BB20-40C0-9C48-C4DBBB6C574B}"/>
              </c:ext>
            </c:extLst>
          </c:dPt>
          <c:dPt>
            <c:idx val="15"/>
            <c:invertIfNegative val="0"/>
            <c:bubble3D val="0"/>
            <c:spPr>
              <a:solidFill>
                <a:srgbClr val="4F81BD">
                  <a:lumMod val="40000"/>
                  <a:lumOff val="60000"/>
                </a:srgbClr>
              </a:solidFill>
              <a:ln>
                <a:noFill/>
              </a:ln>
              <a:effectLst/>
            </c:spPr>
            <c:extLst>
              <c:ext xmlns:c16="http://schemas.microsoft.com/office/drawing/2014/chart" uri="{C3380CC4-5D6E-409C-BE32-E72D297353CC}">
                <c16:uniqueId val="{0000000B-BB20-40C0-9C48-C4DBBB6C574B}"/>
              </c:ext>
            </c:extLst>
          </c:dPt>
          <c:dPt>
            <c:idx val="16"/>
            <c:invertIfNegative val="0"/>
            <c:bubble3D val="0"/>
            <c:spPr>
              <a:solidFill>
                <a:srgbClr val="C0504D"/>
              </a:solidFill>
              <a:ln>
                <a:noFill/>
              </a:ln>
              <a:effectLst/>
            </c:spPr>
            <c:extLst>
              <c:ext xmlns:c16="http://schemas.microsoft.com/office/drawing/2014/chart" uri="{C3380CC4-5D6E-409C-BE32-E72D297353CC}">
                <c16:uniqueId val="{0000000D-BB20-40C0-9C48-C4DBBB6C574B}"/>
              </c:ext>
            </c:extLst>
          </c:dPt>
          <c:dPt>
            <c:idx val="17"/>
            <c:invertIfNegative val="0"/>
            <c:bubble3D val="0"/>
            <c:spPr>
              <a:solidFill>
                <a:srgbClr val="4F81BD">
                  <a:lumMod val="40000"/>
                  <a:lumOff val="60000"/>
                </a:srgbClr>
              </a:solidFill>
              <a:ln>
                <a:noFill/>
              </a:ln>
              <a:effectLst/>
            </c:spPr>
            <c:extLst>
              <c:ext xmlns:c16="http://schemas.microsoft.com/office/drawing/2014/chart" uri="{C3380CC4-5D6E-409C-BE32-E72D297353CC}">
                <c16:uniqueId val="{0000000F-BB20-40C0-9C48-C4DBBB6C574B}"/>
              </c:ext>
            </c:extLst>
          </c:dPt>
          <c:dPt>
            <c:idx val="18"/>
            <c:invertIfNegative val="0"/>
            <c:bubble3D val="0"/>
            <c:spPr>
              <a:solidFill>
                <a:srgbClr val="0070C0"/>
              </a:solidFill>
              <a:ln>
                <a:noFill/>
              </a:ln>
              <a:effectLst/>
            </c:spPr>
            <c:extLst>
              <c:ext xmlns:c16="http://schemas.microsoft.com/office/drawing/2014/chart" uri="{C3380CC4-5D6E-409C-BE32-E72D297353CC}">
                <c16:uniqueId val="{00000011-BB20-40C0-9C48-C4DBBB6C574B}"/>
              </c:ext>
            </c:extLst>
          </c:dPt>
          <c:dPt>
            <c:idx val="19"/>
            <c:invertIfNegative val="0"/>
            <c:bubble3D val="0"/>
            <c:spPr>
              <a:solidFill>
                <a:srgbClr val="0070C0"/>
              </a:solidFill>
              <a:ln>
                <a:noFill/>
              </a:ln>
              <a:effectLst/>
            </c:spPr>
            <c:extLst>
              <c:ext xmlns:c16="http://schemas.microsoft.com/office/drawing/2014/chart" uri="{C3380CC4-5D6E-409C-BE32-E72D297353CC}">
                <c16:uniqueId val="{00000013-BB20-40C0-9C48-C4DBBB6C574B}"/>
              </c:ext>
            </c:extLst>
          </c:dPt>
          <c:dPt>
            <c:idx val="22"/>
            <c:invertIfNegative val="0"/>
            <c:bubble3D val="0"/>
            <c:spPr>
              <a:solidFill>
                <a:srgbClr val="0070C0"/>
              </a:solidFill>
              <a:ln>
                <a:noFill/>
              </a:ln>
              <a:effectLst/>
            </c:spPr>
            <c:extLst>
              <c:ext xmlns:c16="http://schemas.microsoft.com/office/drawing/2014/chart" uri="{C3380CC4-5D6E-409C-BE32-E72D297353CC}">
                <c16:uniqueId val="{00000015-BB20-40C0-9C48-C4DBBB6C574B}"/>
              </c:ext>
            </c:extLst>
          </c:dPt>
          <c:dPt>
            <c:idx val="29"/>
            <c:invertIfNegative val="0"/>
            <c:bubble3D val="0"/>
            <c:spPr>
              <a:solidFill>
                <a:srgbClr val="0070C0"/>
              </a:solidFill>
              <a:ln>
                <a:noFill/>
              </a:ln>
              <a:effectLst/>
            </c:spPr>
            <c:extLst>
              <c:ext xmlns:c16="http://schemas.microsoft.com/office/drawing/2014/chart" uri="{C3380CC4-5D6E-409C-BE32-E72D297353CC}">
                <c16:uniqueId val="{00000017-BB20-40C0-9C48-C4DBBB6C574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B20-40C0-9C48-C4DBBB6C574B}"/>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20-40C0-9C48-C4DBBB6C574B}"/>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20-40C0-9C48-C4DBBB6C574B}"/>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20-40C0-9C48-C4DBBB6C574B}"/>
                </c:ext>
              </c:extLst>
            </c:dLbl>
            <c:dLbl>
              <c:idx val="16"/>
              <c:layout>
                <c:manualLayout>
                  <c:x val="-7.9056151563384177E-17"/>
                  <c:y val="-2.87356321839080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B20-40C0-9C48-C4DBBB6C574B}"/>
                </c:ext>
              </c:extLst>
            </c:dLbl>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B20-40C0-9C48-C4DBBB6C57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Hárok1!$A$2:$A$29</c:f>
              <c:strCache>
                <c:ptCount val="28"/>
                <c:pt idx="0">
                  <c:v>DK</c:v>
                </c:pt>
                <c:pt idx="1">
                  <c:v>FR</c:v>
                </c:pt>
                <c:pt idx="2">
                  <c:v>FI</c:v>
                </c:pt>
                <c:pt idx="3">
                  <c:v>BE</c:v>
                </c:pt>
                <c:pt idx="4">
                  <c:v>SE</c:v>
                </c:pt>
                <c:pt idx="5">
                  <c:v>AT</c:v>
                </c:pt>
                <c:pt idx="6">
                  <c:v>EL</c:v>
                </c:pt>
                <c:pt idx="7">
                  <c:v>HR</c:v>
                </c:pt>
                <c:pt idx="8">
                  <c:v>IT</c:v>
                </c:pt>
                <c:pt idx="9">
                  <c:v>DE</c:v>
                </c:pt>
                <c:pt idx="10">
                  <c:v>LU</c:v>
                </c:pt>
                <c:pt idx="11">
                  <c:v>SI</c:v>
                </c:pt>
                <c:pt idx="12">
                  <c:v>HU</c:v>
                </c:pt>
                <c:pt idx="13">
                  <c:v>NL</c:v>
                </c:pt>
                <c:pt idx="14">
                  <c:v>PT</c:v>
                </c:pt>
                <c:pt idx="15">
                  <c:v>CZ</c:v>
                </c:pt>
                <c:pt idx="16">
                  <c:v>SK</c:v>
                </c:pt>
                <c:pt idx="17">
                  <c:v>PL</c:v>
                </c:pt>
                <c:pt idx="18">
                  <c:v>CY</c:v>
                </c:pt>
                <c:pt idx="19">
                  <c:v>ES</c:v>
                </c:pt>
                <c:pt idx="20">
                  <c:v>UK</c:v>
                </c:pt>
                <c:pt idx="21">
                  <c:v>EE</c:v>
                </c:pt>
                <c:pt idx="22">
                  <c:v>LV</c:v>
                </c:pt>
                <c:pt idx="23">
                  <c:v>BG</c:v>
                </c:pt>
                <c:pt idx="24">
                  <c:v>MT</c:v>
                </c:pt>
                <c:pt idx="25">
                  <c:v>LT</c:v>
                </c:pt>
                <c:pt idx="26">
                  <c:v>RO</c:v>
                </c:pt>
                <c:pt idx="27">
                  <c:v>IE</c:v>
                </c:pt>
              </c:strCache>
            </c:strRef>
          </c:cat>
          <c:val>
            <c:numRef>
              <c:f>Hárok1!$B$2:$B$29</c:f>
              <c:numCache>
                <c:formatCode>General</c:formatCode>
                <c:ptCount val="28"/>
                <c:pt idx="0">
                  <c:v>53.3</c:v>
                </c:pt>
                <c:pt idx="1">
                  <c:v>52.6</c:v>
                </c:pt>
                <c:pt idx="2">
                  <c:v>52.2</c:v>
                </c:pt>
                <c:pt idx="3">
                  <c:v>50.3</c:v>
                </c:pt>
                <c:pt idx="4">
                  <c:v>49.8</c:v>
                </c:pt>
                <c:pt idx="5">
                  <c:v>49</c:v>
                </c:pt>
                <c:pt idx="6">
                  <c:v>47.7</c:v>
                </c:pt>
                <c:pt idx="7">
                  <c:v>47.5</c:v>
                </c:pt>
                <c:pt idx="8">
                  <c:v>47.1</c:v>
                </c:pt>
                <c:pt idx="9">
                  <c:v>46.8</c:v>
                </c:pt>
                <c:pt idx="10">
                  <c:v>44.8</c:v>
                </c:pt>
                <c:pt idx="11">
                  <c:v>44.2</c:v>
                </c:pt>
                <c:pt idx="12">
                  <c:v>44</c:v>
                </c:pt>
                <c:pt idx="13">
                  <c:v>43.6</c:v>
                </c:pt>
                <c:pt idx="14">
                  <c:v>42.9</c:v>
                </c:pt>
                <c:pt idx="15">
                  <c:v>42.1</c:v>
                </c:pt>
                <c:pt idx="16">
                  <c:v>41.5</c:v>
                </c:pt>
                <c:pt idx="17">
                  <c:v>41.3</c:v>
                </c:pt>
                <c:pt idx="18">
                  <c:v>41.2</c:v>
                </c:pt>
                <c:pt idx="19">
                  <c:v>39.1</c:v>
                </c:pt>
                <c:pt idx="20">
                  <c:v>38.9</c:v>
                </c:pt>
                <c:pt idx="21">
                  <c:v>38.700000000000003</c:v>
                </c:pt>
                <c:pt idx="22">
                  <c:v>38.700000000000003</c:v>
                </c:pt>
                <c:pt idx="23">
                  <c:v>38.4</c:v>
                </c:pt>
                <c:pt idx="24">
                  <c:v>38.200000000000003</c:v>
                </c:pt>
                <c:pt idx="25">
                  <c:v>35.200000000000003</c:v>
                </c:pt>
                <c:pt idx="26">
                  <c:v>31.7</c:v>
                </c:pt>
                <c:pt idx="27">
                  <c:v>25.2</c:v>
                </c:pt>
              </c:numCache>
            </c:numRef>
          </c:val>
          <c:extLst>
            <c:ext xmlns:c16="http://schemas.microsoft.com/office/drawing/2014/chart" uri="{C3380CC4-5D6E-409C-BE32-E72D297353CC}">
              <c16:uniqueId val="{0000001A-BB20-40C0-9C48-C4DBBB6C574B}"/>
            </c:ext>
          </c:extLst>
        </c:ser>
        <c:dLbls>
          <c:showLegendKey val="0"/>
          <c:showVal val="0"/>
          <c:showCatName val="0"/>
          <c:showSerName val="0"/>
          <c:showPercent val="0"/>
          <c:showBubbleSize val="0"/>
        </c:dLbls>
        <c:gapWidth val="75"/>
        <c:axId val="74318240"/>
        <c:axId val="2092458832"/>
      </c:barChart>
      <c:lineChart>
        <c:grouping val="standard"/>
        <c:varyColors val="0"/>
        <c:ser>
          <c:idx val="1"/>
          <c:order val="1"/>
          <c:tx>
            <c:strRef>
              <c:f>Hárok1!$C$1</c:f>
              <c:strCache>
                <c:ptCount val="1"/>
                <c:pt idx="0">
                  <c:v>EÚ 28</c:v>
                </c:pt>
              </c:strCache>
            </c:strRef>
          </c:tx>
          <c:spPr>
            <a:ln w="12700" cap="rnd">
              <a:solidFill>
                <a:sysClr val="windowText" lastClr="000000"/>
              </a:solidFill>
              <a:prstDash val="dash"/>
              <a:round/>
            </a:ln>
            <a:effectLst/>
          </c:spPr>
          <c:marker>
            <c:symbol val="none"/>
          </c:marker>
          <c:cat>
            <c:strRef>
              <c:f>Hárok1!$A$2:$A$29</c:f>
              <c:strCache>
                <c:ptCount val="28"/>
                <c:pt idx="0">
                  <c:v>DK</c:v>
                </c:pt>
                <c:pt idx="1">
                  <c:v>FR</c:v>
                </c:pt>
                <c:pt idx="2">
                  <c:v>FI</c:v>
                </c:pt>
                <c:pt idx="3">
                  <c:v>BE</c:v>
                </c:pt>
                <c:pt idx="4">
                  <c:v>SE</c:v>
                </c:pt>
                <c:pt idx="5">
                  <c:v>AT</c:v>
                </c:pt>
                <c:pt idx="6">
                  <c:v>EL</c:v>
                </c:pt>
                <c:pt idx="7">
                  <c:v>HR</c:v>
                </c:pt>
                <c:pt idx="8">
                  <c:v>IT</c:v>
                </c:pt>
                <c:pt idx="9">
                  <c:v>DE</c:v>
                </c:pt>
                <c:pt idx="10">
                  <c:v>LU</c:v>
                </c:pt>
                <c:pt idx="11">
                  <c:v>SI</c:v>
                </c:pt>
                <c:pt idx="12">
                  <c:v>HU</c:v>
                </c:pt>
                <c:pt idx="13">
                  <c:v>NL</c:v>
                </c:pt>
                <c:pt idx="14">
                  <c:v>PT</c:v>
                </c:pt>
                <c:pt idx="15">
                  <c:v>CZ</c:v>
                </c:pt>
                <c:pt idx="16">
                  <c:v>SK</c:v>
                </c:pt>
                <c:pt idx="17">
                  <c:v>PL</c:v>
                </c:pt>
                <c:pt idx="18">
                  <c:v>CY</c:v>
                </c:pt>
                <c:pt idx="19">
                  <c:v>ES</c:v>
                </c:pt>
                <c:pt idx="20">
                  <c:v>UK</c:v>
                </c:pt>
                <c:pt idx="21">
                  <c:v>EE</c:v>
                </c:pt>
                <c:pt idx="22">
                  <c:v>LV</c:v>
                </c:pt>
                <c:pt idx="23">
                  <c:v>BG</c:v>
                </c:pt>
                <c:pt idx="24">
                  <c:v>MT</c:v>
                </c:pt>
                <c:pt idx="25">
                  <c:v>LT</c:v>
                </c:pt>
                <c:pt idx="26">
                  <c:v>RO</c:v>
                </c:pt>
                <c:pt idx="27">
                  <c:v>IE</c:v>
                </c:pt>
              </c:strCache>
            </c:strRef>
          </c:cat>
          <c:val>
            <c:numRef>
              <c:f>Hárok1!$C$2:$C$29</c:f>
              <c:numCache>
                <c:formatCode>General</c:formatCode>
                <c:ptCount val="28"/>
                <c:pt idx="0">
                  <c:v>45.1</c:v>
                </c:pt>
                <c:pt idx="1">
                  <c:v>45.1</c:v>
                </c:pt>
                <c:pt idx="2">
                  <c:v>45.1</c:v>
                </c:pt>
                <c:pt idx="3">
                  <c:v>45.1</c:v>
                </c:pt>
                <c:pt idx="4">
                  <c:v>45.1</c:v>
                </c:pt>
                <c:pt idx="5">
                  <c:v>45.1</c:v>
                </c:pt>
                <c:pt idx="6">
                  <c:v>45.1</c:v>
                </c:pt>
                <c:pt idx="7">
                  <c:v>45.1</c:v>
                </c:pt>
                <c:pt idx="8">
                  <c:v>45.1</c:v>
                </c:pt>
                <c:pt idx="9">
                  <c:v>45.1</c:v>
                </c:pt>
                <c:pt idx="10">
                  <c:v>45.1</c:v>
                </c:pt>
                <c:pt idx="11">
                  <c:v>45.1</c:v>
                </c:pt>
                <c:pt idx="12">
                  <c:v>45.1</c:v>
                </c:pt>
                <c:pt idx="13">
                  <c:v>45.1</c:v>
                </c:pt>
                <c:pt idx="14">
                  <c:v>45.1</c:v>
                </c:pt>
                <c:pt idx="15">
                  <c:v>45.1</c:v>
                </c:pt>
                <c:pt idx="16">
                  <c:v>45.1</c:v>
                </c:pt>
                <c:pt idx="17">
                  <c:v>45.1</c:v>
                </c:pt>
                <c:pt idx="18">
                  <c:v>45.1</c:v>
                </c:pt>
                <c:pt idx="19">
                  <c:v>45.1</c:v>
                </c:pt>
                <c:pt idx="20">
                  <c:v>45.1</c:v>
                </c:pt>
                <c:pt idx="21">
                  <c:v>45.1</c:v>
                </c:pt>
                <c:pt idx="22">
                  <c:v>45.1</c:v>
                </c:pt>
                <c:pt idx="23">
                  <c:v>45.1</c:v>
                </c:pt>
                <c:pt idx="24">
                  <c:v>45.1</c:v>
                </c:pt>
                <c:pt idx="25">
                  <c:v>45.1</c:v>
                </c:pt>
                <c:pt idx="26">
                  <c:v>45.1</c:v>
                </c:pt>
                <c:pt idx="27">
                  <c:v>45.1</c:v>
                </c:pt>
              </c:numCache>
            </c:numRef>
          </c:val>
          <c:smooth val="0"/>
          <c:extLst>
            <c:ext xmlns:c16="http://schemas.microsoft.com/office/drawing/2014/chart" uri="{C3380CC4-5D6E-409C-BE32-E72D297353CC}">
              <c16:uniqueId val="{0000001B-BB20-40C0-9C48-C4DBBB6C574B}"/>
            </c:ext>
          </c:extLst>
        </c:ser>
        <c:dLbls>
          <c:showLegendKey val="0"/>
          <c:showVal val="0"/>
          <c:showCatName val="0"/>
          <c:showSerName val="0"/>
          <c:showPercent val="0"/>
          <c:showBubbleSize val="0"/>
        </c:dLbls>
        <c:marker val="1"/>
        <c:smooth val="0"/>
        <c:axId val="74318240"/>
        <c:axId val="2092458832"/>
      </c:lineChart>
      <c:catAx>
        <c:axId val="743182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2092458832"/>
        <c:crosses val="autoZero"/>
        <c:auto val="1"/>
        <c:lblAlgn val="ctr"/>
        <c:lblOffset val="100"/>
        <c:noMultiLvlLbl val="0"/>
      </c:catAx>
      <c:valAx>
        <c:axId val="2092458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a:t>
                </a:r>
                <a:r>
                  <a:rPr lang="sk-SK" baseline="0"/>
                  <a:t> HDP</a:t>
                </a:r>
                <a:endParaRPr lang="sk-SK"/>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74318240"/>
        <c:crosses val="autoZero"/>
        <c:crossBetween val="between"/>
      </c:valAx>
      <c:spPr>
        <a:noFill/>
        <a:ln>
          <a:noFill/>
        </a:ln>
        <a:effectLst/>
      </c:spPr>
    </c:plotArea>
    <c:legend>
      <c:legendPos val="r"/>
      <c:layout>
        <c:manualLayout>
          <c:xMode val="edge"/>
          <c:yMode val="edge"/>
          <c:x val="0.84770332718759445"/>
          <c:y val="2.6928587051618547E-2"/>
          <c:w val="0.14367226574039177"/>
          <c:h val="0.2311510091410987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481654355061287E-2"/>
          <c:y val="7.2751322751322747E-2"/>
          <c:w val="0.92432167789593311"/>
          <c:h val="0.81200314960629938"/>
        </c:manualLayout>
      </c:layout>
      <c:barChart>
        <c:barDir val="col"/>
        <c:grouping val="clustered"/>
        <c:varyColors val="0"/>
        <c:ser>
          <c:idx val="0"/>
          <c:order val="0"/>
          <c:tx>
            <c:strRef>
              <c:f>Hárok1!$B$1</c:f>
              <c:strCache>
                <c:ptCount val="1"/>
                <c:pt idx="0">
                  <c:v>2019 OS</c:v>
                </c:pt>
              </c:strCache>
            </c:strRef>
          </c:tx>
          <c:spPr>
            <a:solidFill>
              <a:srgbClr val="0070C0"/>
            </a:solidFill>
            <a:ln>
              <a:noFill/>
            </a:ln>
            <a:effectLst/>
          </c:spPr>
          <c:invertIfNegative val="0"/>
          <c:dPt>
            <c:idx val="6"/>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1-E79B-43DF-BC2D-0C66DC998621}"/>
              </c:ext>
            </c:extLst>
          </c:dPt>
          <c:dPt>
            <c:idx val="9"/>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E79B-43DF-BC2D-0C66DC998621}"/>
              </c:ext>
            </c:extLst>
          </c:dPt>
          <c:dPt>
            <c:idx val="10"/>
            <c:invertIfNegative val="0"/>
            <c:bubble3D val="0"/>
            <c:spPr>
              <a:solidFill>
                <a:srgbClr val="0070C0"/>
              </a:solidFill>
              <a:ln>
                <a:noFill/>
              </a:ln>
              <a:effectLst/>
            </c:spPr>
            <c:extLst>
              <c:ext xmlns:c16="http://schemas.microsoft.com/office/drawing/2014/chart" uri="{C3380CC4-5D6E-409C-BE32-E72D297353CC}">
                <c16:uniqueId val="{00000005-E79B-43DF-BC2D-0C66DC998621}"/>
              </c:ext>
            </c:extLst>
          </c:dPt>
          <c:dPt>
            <c:idx val="1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7-E79B-43DF-BC2D-0C66DC998621}"/>
              </c:ext>
            </c:extLst>
          </c:dPt>
          <c:dPt>
            <c:idx val="12"/>
            <c:invertIfNegative val="0"/>
            <c:bubble3D val="0"/>
            <c:spPr>
              <a:solidFill>
                <a:schemeClr val="accent2"/>
              </a:solidFill>
              <a:ln>
                <a:noFill/>
              </a:ln>
              <a:effectLst/>
            </c:spPr>
            <c:extLst>
              <c:ext xmlns:c16="http://schemas.microsoft.com/office/drawing/2014/chart" uri="{C3380CC4-5D6E-409C-BE32-E72D297353CC}">
                <c16:uniqueId val="{00000009-E79B-43DF-BC2D-0C66DC998621}"/>
              </c:ext>
            </c:extLst>
          </c:dPt>
          <c:dPt>
            <c:idx val="13"/>
            <c:invertIfNegative val="0"/>
            <c:bubble3D val="0"/>
            <c:spPr>
              <a:solidFill>
                <a:srgbClr val="0070C0"/>
              </a:solidFill>
              <a:ln>
                <a:noFill/>
              </a:ln>
              <a:effectLst/>
            </c:spPr>
            <c:extLst>
              <c:ext xmlns:c16="http://schemas.microsoft.com/office/drawing/2014/chart" uri="{C3380CC4-5D6E-409C-BE32-E72D297353CC}">
                <c16:uniqueId val="{0000000B-E79B-43DF-BC2D-0C66DC998621}"/>
              </c:ext>
            </c:extLst>
          </c:dPt>
          <c:dPt>
            <c:idx val="14"/>
            <c:invertIfNegative val="0"/>
            <c:bubble3D val="0"/>
            <c:spPr>
              <a:solidFill>
                <a:srgbClr val="0070C0"/>
              </a:solidFill>
              <a:ln>
                <a:noFill/>
              </a:ln>
              <a:effectLst/>
            </c:spPr>
            <c:extLst>
              <c:ext xmlns:c16="http://schemas.microsoft.com/office/drawing/2014/chart" uri="{C3380CC4-5D6E-409C-BE32-E72D297353CC}">
                <c16:uniqueId val="{0000000D-E79B-43DF-BC2D-0C66DC998621}"/>
              </c:ext>
            </c:extLst>
          </c:dPt>
          <c:dPt>
            <c:idx val="15"/>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F-E79B-43DF-BC2D-0C66DC998621}"/>
              </c:ext>
            </c:extLst>
          </c:dPt>
          <c:dPt>
            <c:idx val="16"/>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1-E79B-43DF-BC2D-0C66DC998621}"/>
              </c:ext>
            </c:extLst>
          </c:dPt>
          <c:dPt>
            <c:idx val="17"/>
            <c:invertIfNegative val="0"/>
            <c:bubble3D val="0"/>
            <c:spPr>
              <a:solidFill>
                <a:srgbClr val="0070C0"/>
              </a:solidFill>
              <a:ln>
                <a:noFill/>
              </a:ln>
              <a:effectLst/>
            </c:spPr>
            <c:extLst>
              <c:ext xmlns:c16="http://schemas.microsoft.com/office/drawing/2014/chart" uri="{C3380CC4-5D6E-409C-BE32-E72D297353CC}">
                <c16:uniqueId val="{00000013-E79B-43DF-BC2D-0C66DC998621}"/>
              </c:ext>
            </c:extLst>
          </c:dPt>
          <c:dPt>
            <c:idx val="18"/>
            <c:invertIfNegative val="0"/>
            <c:bubble3D val="0"/>
            <c:spPr>
              <a:solidFill>
                <a:srgbClr val="0070C0"/>
              </a:solidFill>
              <a:ln>
                <a:noFill/>
              </a:ln>
              <a:effectLst/>
            </c:spPr>
            <c:extLst>
              <c:ext xmlns:c16="http://schemas.microsoft.com/office/drawing/2014/chart" uri="{C3380CC4-5D6E-409C-BE32-E72D297353CC}">
                <c16:uniqueId val="{00000015-E79B-43DF-BC2D-0C66DC998621}"/>
              </c:ext>
            </c:extLst>
          </c:dPt>
          <c:dPt>
            <c:idx val="21"/>
            <c:invertIfNegative val="0"/>
            <c:bubble3D val="0"/>
            <c:spPr>
              <a:solidFill>
                <a:srgbClr val="0070C0"/>
              </a:solidFill>
              <a:ln>
                <a:noFill/>
              </a:ln>
              <a:effectLst/>
            </c:spPr>
            <c:extLst>
              <c:ext xmlns:c16="http://schemas.microsoft.com/office/drawing/2014/chart" uri="{C3380CC4-5D6E-409C-BE32-E72D297353CC}">
                <c16:uniqueId val="{00000017-E79B-43DF-BC2D-0C66DC998621}"/>
              </c:ext>
            </c:extLst>
          </c:dPt>
          <c:dPt>
            <c:idx val="29"/>
            <c:invertIfNegative val="0"/>
            <c:bubble3D val="0"/>
            <c:spPr>
              <a:solidFill>
                <a:srgbClr val="0070C0"/>
              </a:solidFill>
              <a:ln>
                <a:noFill/>
              </a:ln>
              <a:effectLst/>
            </c:spPr>
            <c:extLst>
              <c:ext xmlns:c16="http://schemas.microsoft.com/office/drawing/2014/chart" uri="{C3380CC4-5D6E-409C-BE32-E72D297353CC}">
                <c16:uniqueId val="{00000019-E79B-43DF-BC2D-0C66DC998621}"/>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79B-43DF-BC2D-0C66DC998621}"/>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9B-43DF-BC2D-0C66DC998621}"/>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9B-43DF-BC2D-0C66DC998621}"/>
                </c:ext>
              </c:extLst>
            </c:dLbl>
            <c:dLbl>
              <c:idx val="12"/>
              <c:layout>
                <c:manualLayout>
                  <c:x val="-7.8750522111463869E-17"/>
                  <c:y val="-2.0000000000000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9B-43DF-BC2D-0C66DC998621}"/>
                </c:ext>
              </c:extLst>
            </c:dLbl>
            <c:dLbl>
              <c:idx val="16"/>
              <c:layout>
                <c:manualLayout>
                  <c:x val="0"/>
                  <c:y val="-0.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79B-43DF-BC2D-0C66DC998621}"/>
                </c:ext>
              </c:extLst>
            </c:dLbl>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79B-43DF-BC2D-0C66DC9986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Hárok1!$A$2:$A$29</c:f>
              <c:strCache>
                <c:ptCount val="28"/>
                <c:pt idx="0">
                  <c:v>FR</c:v>
                </c:pt>
                <c:pt idx="1">
                  <c:v>FI</c:v>
                </c:pt>
                <c:pt idx="2">
                  <c:v>BE</c:v>
                </c:pt>
                <c:pt idx="3">
                  <c:v>DK</c:v>
                </c:pt>
                <c:pt idx="4">
                  <c:v>SE</c:v>
                </c:pt>
                <c:pt idx="5">
                  <c:v>IT</c:v>
                </c:pt>
                <c:pt idx="6">
                  <c:v>AT</c:v>
                </c:pt>
                <c:pt idx="7">
                  <c:v>HR</c:v>
                </c:pt>
                <c:pt idx="8">
                  <c:v>EL</c:v>
                </c:pt>
                <c:pt idx="9">
                  <c:v>HU</c:v>
                </c:pt>
                <c:pt idx="10">
                  <c:v>DE</c:v>
                </c:pt>
                <c:pt idx="11">
                  <c:v>SI</c:v>
                </c:pt>
                <c:pt idx="12">
                  <c:v>SK</c:v>
                </c:pt>
                <c:pt idx="13">
                  <c:v>PT</c:v>
                </c:pt>
                <c:pt idx="14">
                  <c:v>LU</c:v>
                </c:pt>
                <c:pt idx="15">
                  <c:v>PL</c:v>
                </c:pt>
                <c:pt idx="16">
                  <c:v>CZ</c:v>
                </c:pt>
                <c:pt idx="17">
                  <c:v>ES</c:v>
                </c:pt>
                <c:pt idx="18">
                  <c:v>NL</c:v>
                </c:pt>
                <c:pt idx="19">
                  <c:v>UK</c:v>
                </c:pt>
                <c:pt idx="20">
                  <c:v>CY</c:v>
                </c:pt>
                <c:pt idx="21">
                  <c:v>EE</c:v>
                </c:pt>
                <c:pt idx="22">
                  <c:v>LV</c:v>
                </c:pt>
                <c:pt idx="23">
                  <c:v>MT</c:v>
                </c:pt>
                <c:pt idx="24">
                  <c:v>BG</c:v>
                </c:pt>
                <c:pt idx="25">
                  <c:v>RO</c:v>
                </c:pt>
                <c:pt idx="26">
                  <c:v>LT</c:v>
                </c:pt>
                <c:pt idx="27">
                  <c:v>IE</c:v>
                </c:pt>
              </c:strCache>
            </c:strRef>
          </c:cat>
          <c:val>
            <c:numRef>
              <c:f>Hárok1!$B$2:$B$29</c:f>
              <c:numCache>
                <c:formatCode>General</c:formatCode>
                <c:ptCount val="28"/>
                <c:pt idx="0">
                  <c:v>55.6</c:v>
                </c:pt>
                <c:pt idx="1">
                  <c:v>53.3</c:v>
                </c:pt>
                <c:pt idx="2">
                  <c:v>52.2</c:v>
                </c:pt>
                <c:pt idx="3">
                  <c:v>49.6</c:v>
                </c:pt>
                <c:pt idx="4">
                  <c:v>49.3</c:v>
                </c:pt>
                <c:pt idx="5">
                  <c:v>48.7</c:v>
                </c:pt>
                <c:pt idx="6">
                  <c:v>48.2</c:v>
                </c:pt>
                <c:pt idx="7">
                  <c:v>47.1</c:v>
                </c:pt>
                <c:pt idx="8">
                  <c:v>46.3</c:v>
                </c:pt>
                <c:pt idx="9">
                  <c:v>46.1</c:v>
                </c:pt>
                <c:pt idx="10">
                  <c:v>45.4</c:v>
                </c:pt>
                <c:pt idx="11">
                  <c:v>43.7</c:v>
                </c:pt>
                <c:pt idx="12">
                  <c:v>42.8</c:v>
                </c:pt>
                <c:pt idx="13">
                  <c:v>42.7</c:v>
                </c:pt>
                <c:pt idx="14">
                  <c:v>42.6</c:v>
                </c:pt>
                <c:pt idx="15">
                  <c:v>42</c:v>
                </c:pt>
                <c:pt idx="16">
                  <c:v>41.9</c:v>
                </c:pt>
                <c:pt idx="17">
                  <c:v>41.9</c:v>
                </c:pt>
                <c:pt idx="18">
                  <c:v>41.9</c:v>
                </c:pt>
                <c:pt idx="19">
                  <c:v>41</c:v>
                </c:pt>
                <c:pt idx="20">
                  <c:v>39.5</c:v>
                </c:pt>
                <c:pt idx="21">
                  <c:v>39</c:v>
                </c:pt>
                <c:pt idx="22">
                  <c:v>38.9</c:v>
                </c:pt>
                <c:pt idx="23">
                  <c:v>37.700000000000003</c:v>
                </c:pt>
                <c:pt idx="24">
                  <c:v>36.299999999999997</c:v>
                </c:pt>
                <c:pt idx="25">
                  <c:v>36</c:v>
                </c:pt>
                <c:pt idx="26">
                  <c:v>34.9</c:v>
                </c:pt>
                <c:pt idx="27">
                  <c:v>24.8</c:v>
                </c:pt>
              </c:numCache>
            </c:numRef>
          </c:val>
          <c:extLst>
            <c:ext xmlns:c16="http://schemas.microsoft.com/office/drawing/2014/chart" uri="{C3380CC4-5D6E-409C-BE32-E72D297353CC}">
              <c16:uniqueId val="{0000001C-E79B-43DF-BC2D-0C66DC998621}"/>
            </c:ext>
          </c:extLst>
        </c:ser>
        <c:dLbls>
          <c:showLegendKey val="0"/>
          <c:showVal val="0"/>
          <c:showCatName val="0"/>
          <c:showSerName val="0"/>
          <c:showPercent val="0"/>
          <c:showBubbleSize val="0"/>
        </c:dLbls>
        <c:gapWidth val="75"/>
        <c:axId val="74318240"/>
        <c:axId val="2092458832"/>
      </c:barChart>
      <c:lineChart>
        <c:grouping val="standard"/>
        <c:varyColors val="0"/>
        <c:ser>
          <c:idx val="1"/>
          <c:order val="1"/>
          <c:tx>
            <c:strRef>
              <c:f>Hárok1!$C$1</c:f>
              <c:strCache>
                <c:ptCount val="1"/>
                <c:pt idx="0">
                  <c:v>EÚ 28</c:v>
                </c:pt>
              </c:strCache>
            </c:strRef>
          </c:tx>
          <c:spPr>
            <a:ln w="12700" cap="rnd">
              <a:solidFill>
                <a:schemeClr val="tx1"/>
              </a:solidFill>
              <a:prstDash val="dash"/>
              <a:round/>
            </a:ln>
            <a:effectLst/>
          </c:spPr>
          <c:marker>
            <c:symbol val="none"/>
          </c:marker>
          <c:cat>
            <c:strRef>
              <c:f>Hárok1!$A$2:$A$29</c:f>
              <c:strCache>
                <c:ptCount val="28"/>
                <c:pt idx="0">
                  <c:v>FR</c:v>
                </c:pt>
                <c:pt idx="1">
                  <c:v>FI</c:v>
                </c:pt>
                <c:pt idx="2">
                  <c:v>BE</c:v>
                </c:pt>
                <c:pt idx="3">
                  <c:v>DK</c:v>
                </c:pt>
                <c:pt idx="4">
                  <c:v>SE</c:v>
                </c:pt>
                <c:pt idx="5">
                  <c:v>IT</c:v>
                </c:pt>
                <c:pt idx="6">
                  <c:v>AT</c:v>
                </c:pt>
                <c:pt idx="7">
                  <c:v>HR</c:v>
                </c:pt>
                <c:pt idx="8">
                  <c:v>EL</c:v>
                </c:pt>
                <c:pt idx="9">
                  <c:v>HU</c:v>
                </c:pt>
                <c:pt idx="10">
                  <c:v>DE</c:v>
                </c:pt>
                <c:pt idx="11">
                  <c:v>SI</c:v>
                </c:pt>
                <c:pt idx="12">
                  <c:v>SK</c:v>
                </c:pt>
                <c:pt idx="13">
                  <c:v>PT</c:v>
                </c:pt>
                <c:pt idx="14">
                  <c:v>LU</c:v>
                </c:pt>
                <c:pt idx="15">
                  <c:v>PL</c:v>
                </c:pt>
                <c:pt idx="16">
                  <c:v>CZ</c:v>
                </c:pt>
                <c:pt idx="17">
                  <c:v>ES</c:v>
                </c:pt>
                <c:pt idx="18">
                  <c:v>NL</c:v>
                </c:pt>
                <c:pt idx="19">
                  <c:v>UK</c:v>
                </c:pt>
                <c:pt idx="20">
                  <c:v>CY</c:v>
                </c:pt>
                <c:pt idx="21">
                  <c:v>EE</c:v>
                </c:pt>
                <c:pt idx="22">
                  <c:v>LV</c:v>
                </c:pt>
                <c:pt idx="23">
                  <c:v>MT</c:v>
                </c:pt>
                <c:pt idx="24">
                  <c:v>BG</c:v>
                </c:pt>
                <c:pt idx="25">
                  <c:v>RO</c:v>
                </c:pt>
                <c:pt idx="26">
                  <c:v>LT</c:v>
                </c:pt>
                <c:pt idx="27">
                  <c:v>IE</c:v>
                </c:pt>
              </c:strCache>
            </c:strRef>
          </c:cat>
          <c:val>
            <c:numRef>
              <c:f>Hárok1!$C$2:$C$29</c:f>
              <c:numCache>
                <c:formatCode>General</c:formatCode>
                <c:ptCount val="28"/>
                <c:pt idx="0">
                  <c:v>45.8</c:v>
                </c:pt>
                <c:pt idx="1">
                  <c:v>45.8</c:v>
                </c:pt>
                <c:pt idx="2">
                  <c:v>45.8</c:v>
                </c:pt>
                <c:pt idx="3">
                  <c:v>45.8</c:v>
                </c:pt>
                <c:pt idx="4">
                  <c:v>45.8</c:v>
                </c:pt>
                <c:pt idx="5">
                  <c:v>45.8</c:v>
                </c:pt>
                <c:pt idx="6">
                  <c:v>45.8</c:v>
                </c:pt>
                <c:pt idx="7">
                  <c:v>45.8</c:v>
                </c:pt>
                <c:pt idx="8">
                  <c:v>45.8</c:v>
                </c:pt>
                <c:pt idx="9">
                  <c:v>45.8</c:v>
                </c:pt>
                <c:pt idx="10">
                  <c:v>45.8</c:v>
                </c:pt>
                <c:pt idx="11">
                  <c:v>45.8</c:v>
                </c:pt>
                <c:pt idx="12">
                  <c:v>45.8</c:v>
                </c:pt>
                <c:pt idx="13">
                  <c:v>45.8</c:v>
                </c:pt>
                <c:pt idx="14">
                  <c:v>45.8</c:v>
                </c:pt>
                <c:pt idx="15">
                  <c:v>45.8</c:v>
                </c:pt>
                <c:pt idx="16">
                  <c:v>45.8</c:v>
                </c:pt>
                <c:pt idx="17">
                  <c:v>45.8</c:v>
                </c:pt>
                <c:pt idx="18">
                  <c:v>45.8</c:v>
                </c:pt>
                <c:pt idx="19">
                  <c:v>45.8</c:v>
                </c:pt>
                <c:pt idx="20">
                  <c:v>45.8</c:v>
                </c:pt>
                <c:pt idx="21">
                  <c:v>45.8</c:v>
                </c:pt>
                <c:pt idx="22">
                  <c:v>45.8</c:v>
                </c:pt>
                <c:pt idx="23">
                  <c:v>45.8</c:v>
                </c:pt>
                <c:pt idx="24">
                  <c:v>45.8</c:v>
                </c:pt>
                <c:pt idx="25">
                  <c:v>45.8</c:v>
                </c:pt>
                <c:pt idx="26">
                  <c:v>45.8</c:v>
                </c:pt>
                <c:pt idx="27">
                  <c:v>45.8</c:v>
                </c:pt>
              </c:numCache>
            </c:numRef>
          </c:val>
          <c:smooth val="0"/>
          <c:extLst>
            <c:ext xmlns:c16="http://schemas.microsoft.com/office/drawing/2014/chart" uri="{C3380CC4-5D6E-409C-BE32-E72D297353CC}">
              <c16:uniqueId val="{0000001D-E79B-43DF-BC2D-0C66DC998621}"/>
            </c:ext>
          </c:extLst>
        </c:ser>
        <c:dLbls>
          <c:showLegendKey val="0"/>
          <c:showVal val="0"/>
          <c:showCatName val="0"/>
          <c:showSerName val="0"/>
          <c:showPercent val="0"/>
          <c:showBubbleSize val="0"/>
        </c:dLbls>
        <c:marker val="1"/>
        <c:smooth val="0"/>
        <c:axId val="74318240"/>
        <c:axId val="2092458832"/>
      </c:lineChart>
      <c:catAx>
        <c:axId val="743182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2092458832"/>
        <c:crosses val="autoZero"/>
        <c:auto val="1"/>
        <c:lblAlgn val="ctr"/>
        <c:lblOffset val="100"/>
        <c:noMultiLvlLbl val="0"/>
      </c:catAx>
      <c:valAx>
        <c:axId val="2092458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 HDP</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crossAx val="74318240"/>
        <c:crosses val="autoZero"/>
        <c:crossBetween val="between"/>
      </c:valAx>
      <c:spPr>
        <a:noFill/>
        <a:ln>
          <a:noFill/>
        </a:ln>
        <a:effectLst/>
      </c:spPr>
    </c:plotArea>
    <c:legend>
      <c:legendPos val="r"/>
      <c:layout>
        <c:manualLayout>
          <c:xMode val="edge"/>
          <c:yMode val="edge"/>
          <c:x val="0.84399657033850162"/>
          <c:y val="2.6079265091863514E-2"/>
          <c:w val="0.14311683172335418"/>
          <c:h val="0.2145081364829396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Reversed" id="21">
  <a:schemeClr val="accent1"/>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4">
  <a:schemeClr val="accent1"/>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withinLinear" id="14">
  <a:schemeClr val="accent1"/>
</cs:colorStyle>
</file>

<file path=word/charts/colors22.xml><?xml version="1.0" encoding="utf-8"?>
<cs:colorStyle xmlns:cs="http://schemas.microsoft.com/office/drawing/2012/chartStyle" xmlns:a="http://schemas.openxmlformats.org/drawingml/2006/main" meth="withinLinear" id="14">
  <a:schemeClr val="accent1"/>
</cs:colorStyle>
</file>

<file path=word/charts/colors23.xml><?xml version="1.0" encoding="utf-8"?>
<cs:colorStyle xmlns:cs="http://schemas.microsoft.com/office/drawing/2012/chartStyle" xmlns:a="http://schemas.openxmlformats.org/drawingml/2006/main" meth="withinLinear" id="14">
  <a:schemeClr val="accent1"/>
</cs:colorStyle>
</file>

<file path=word/charts/colors24.xml><?xml version="1.0" encoding="utf-8"?>
<cs:colorStyle xmlns:cs="http://schemas.microsoft.com/office/drawing/2012/chartStyle" xmlns:a="http://schemas.openxmlformats.org/drawingml/2006/main" meth="withinLinear" id="14">
  <a:schemeClr val="accent1"/>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0.60256</cdr:x>
      <cdr:y>0.8797</cdr:y>
    </cdr:from>
    <cdr:to>
      <cdr:x>0.81684</cdr:x>
      <cdr:y>0.97696</cdr:y>
    </cdr:to>
    <cdr:sp macro="" textlink="">
      <cdr:nvSpPr>
        <cdr:cNvPr id="2" name="Textové pole 1"/>
        <cdr:cNvSpPr txBox="1"/>
      </cdr:nvSpPr>
      <cdr:spPr>
        <a:xfrm xmlns:a="http://schemas.openxmlformats.org/drawingml/2006/main">
          <a:off x="3664003" y="2205391"/>
          <a:ext cx="1302985" cy="2438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k-SK" sz="900">
              <a:latin typeface="Arial Narrow" panose="020B0606020202030204" pitchFamily="34" charset="0"/>
            </a:rPr>
            <a:t>% - zmena oproti odhadu</a:t>
          </a:r>
        </a:p>
      </cdr:txBody>
    </cdr:sp>
  </cdr:relSizeAnchor>
</c:userShapes>
</file>

<file path=word/drawings/drawing2.xml><?xml version="1.0" encoding="utf-8"?>
<c:userShapes xmlns:c="http://schemas.openxmlformats.org/drawingml/2006/chart">
  <cdr:relSizeAnchor xmlns:cdr="http://schemas.openxmlformats.org/drawingml/2006/chartDrawing">
    <cdr:from>
      <cdr:x>0.52915</cdr:x>
      <cdr:y>0.87338</cdr:y>
    </cdr:from>
    <cdr:to>
      <cdr:x>0.74343</cdr:x>
      <cdr:y>0.97275</cdr:y>
    </cdr:to>
    <cdr:sp macro="" textlink="">
      <cdr:nvSpPr>
        <cdr:cNvPr id="2" name="Textové pole 1"/>
        <cdr:cNvSpPr txBox="1"/>
      </cdr:nvSpPr>
      <cdr:spPr>
        <a:xfrm xmlns:a="http://schemas.openxmlformats.org/drawingml/2006/main">
          <a:off x="3217620" y="2056443"/>
          <a:ext cx="1302985" cy="2339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k-SK" sz="900">
              <a:latin typeface="Arial Narrow" panose="020B0606020202030204" pitchFamily="34" charset="0"/>
            </a:rPr>
            <a:t>% - tempo rastu</a:t>
          </a:r>
        </a:p>
      </cdr:txBody>
    </cdr:sp>
  </cdr:relSizeAnchor>
</c:userShapes>
</file>

<file path=word/drawings/drawing3.xml><?xml version="1.0" encoding="utf-8"?>
<c:userShapes xmlns:c="http://schemas.openxmlformats.org/drawingml/2006/chart">
  <cdr:relSizeAnchor xmlns:cdr="http://schemas.openxmlformats.org/drawingml/2006/chartDrawing">
    <cdr:from>
      <cdr:x>0.22425</cdr:x>
      <cdr:y>0.40626</cdr:y>
    </cdr:from>
    <cdr:to>
      <cdr:x>0.32249</cdr:x>
      <cdr:y>0.53098</cdr:y>
    </cdr:to>
    <cdr:sp macro="" textlink="">
      <cdr:nvSpPr>
        <cdr:cNvPr id="2" name="BlokTextu 5"/>
        <cdr:cNvSpPr txBox="1"/>
      </cdr:nvSpPr>
      <cdr:spPr>
        <a:xfrm xmlns:a="http://schemas.openxmlformats.org/drawingml/2006/main">
          <a:off x="1310622" y="780122"/>
          <a:ext cx="574168" cy="23949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sk-SK" sz="900" b="1">
              <a:latin typeface="Arial Narrow" panose="020B0606020202030204" pitchFamily="34" charset="0"/>
            </a:rPr>
            <a:t>0,7</a:t>
          </a:r>
          <a:r>
            <a:rPr lang="sk-SK" sz="1000" b="1">
              <a:latin typeface="Arial Narrow" panose="020B0606020202030204" pitchFamily="34" charset="0"/>
            </a:rPr>
            <a:t> p.b.</a:t>
          </a:r>
        </a:p>
      </cdr:txBody>
    </cdr:sp>
  </cdr:relSizeAnchor>
  <cdr:relSizeAnchor xmlns:cdr="http://schemas.openxmlformats.org/drawingml/2006/chartDrawing">
    <cdr:from>
      <cdr:x>0.32264</cdr:x>
      <cdr:y>0.41928</cdr:y>
    </cdr:from>
    <cdr:to>
      <cdr:x>0.32264</cdr:x>
      <cdr:y>0.52748</cdr:y>
    </cdr:to>
    <cdr:cxnSp macro="">
      <cdr:nvCxnSpPr>
        <cdr:cNvPr id="7" name="Rovná spojovacia šípka 6"/>
        <cdr:cNvCxnSpPr/>
      </cdr:nvCxnSpPr>
      <cdr:spPr>
        <a:xfrm xmlns:a="http://schemas.openxmlformats.org/drawingml/2006/main">
          <a:off x="1885689" y="805113"/>
          <a:ext cx="0" cy="207770"/>
        </a:xfrm>
        <a:prstGeom xmlns:a="http://schemas.openxmlformats.org/drawingml/2006/main" prst="straightConnector1">
          <a:avLst/>
        </a:prstGeom>
        <a:ln xmlns:a="http://schemas.openxmlformats.org/drawingml/2006/main">
          <a:solidFill>
            <a:schemeClr val="tx1"/>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F5BB-51AF-4EFB-AF6D-038F6A40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20607</Words>
  <Characters>117462</Characters>
  <Application>Microsoft Office Word</Application>
  <DocSecurity>0</DocSecurity>
  <Lines>978</Lines>
  <Paragraphs>275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137794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Gaspar Igor</dc:creator>
  <cp:lastModifiedBy>Juriová Jana</cp:lastModifiedBy>
  <cp:revision>2</cp:revision>
  <cp:lastPrinted>2020-06-16T05:41:00Z</cp:lastPrinted>
  <dcterms:created xsi:type="dcterms:W3CDTF">2020-06-19T09:48:00Z</dcterms:created>
  <dcterms:modified xsi:type="dcterms:W3CDTF">2020-06-19T09:48:00Z</dcterms:modified>
</cp:coreProperties>
</file>