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1E5E02" w:rsidP="003548F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E5E0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1E5E02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1E5E02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E5E02">
        <w:rPr>
          <w:rFonts w:ascii="Book Antiqua" w:hAnsi="Book Antiqua"/>
          <w:spacing w:val="20"/>
          <w:sz w:val="22"/>
          <w:szCs w:val="22"/>
        </w:rPr>
        <w:t>V</w:t>
      </w:r>
      <w:r w:rsidR="0083787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I</w:t>
      </w:r>
      <w:r w:rsidR="00D438F8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. volebné obdobie</w:t>
      </w:r>
    </w:p>
    <w:p w:rsidR="006A2A48" w:rsidRPr="001E5E02" w:rsidP="003548FB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1E5E02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E5E0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1E5E02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1E5E02" w:rsidP="003548FB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5E02" w:rsidR="00355DF8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50A28" w:rsidRPr="001E5E02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E5E02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E5E02" w:rsidR="00AF3E6D">
        <w:rPr>
          <w:rFonts w:ascii="Book Antiqua" w:hAnsi="Book Antiqua"/>
          <w:sz w:val="22"/>
          <w:szCs w:val="22"/>
        </w:rPr>
        <w:t>z ... 20</w:t>
      </w:r>
      <w:r w:rsidR="00D438F8">
        <w:rPr>
          <w:rFonts w:ascii="Book Antiqua" w:hAnsi="Book Antiqua"/>
          <w:sz w:val="22"/>
          <w:szCs w:val="22"/>
        </w:rPr>
        <w:t>20</w:t>
      </w:r>
      <w:r w:rsidRPr="001E5E02">
        <w:rPr>
          <w:rFonts w:ascii="Book Antiqua" w:hAnsi="Book Antiqua"/>
          <w:sz w:val="22"/>
          <w:szCs w:val="22"/>
        </w:rPr>
        <w:t>,</w:t>
      </w:r>
    </w:p>
    <w:p w:rsidR="00355DF8" w:rsidRPr="001E5E02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E5E02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 xml:space="preserve">ktorým sa </w:t>
      </w:r>
      <w:r w:rsidRPr="001E5E02" w:rsidR="00496A32">
        <w:rPr>
          <w:rFonts w:ascii="Book Antiqua" w:hAnsi="Book Antiqua"/>
          <w:b/>
          <w:sz w:val="22"/>
          <w:szCs w:val="22"/>
        </w:rPr>
        <w:t xml:space="preserve">mení a </w:t>
      </w:r>
      <w:r w:rsidRPr="001E5E02">
        <w:rPr>
          <w:rFonts w:ascii="Book Antiqua" w:hAnsi="Book Antiqua"/>
          <w:b/>
          <w:sz w:val="22"/>
          <w:szCs w:val="22"/>
        </w:rPr>
        <w:t xml:space="preserve">dopĺňa </w:t>
      </w:r>
      <w:r w:rsidR="00F177B8">
        <w:rPr>
          <w:rFonts w:ascii="Book Antiqua" w:hAnsi="Book Antiqua"/>
          <w:b/>
          <w:sz w:val="22"/>
          <w:szCs w:val="22"/>
        </w:rPr>
        <w:t>zákon č. 73/1986</w:t>
      </w:r>
      <w:r w:rsidRPr="001E5E02">
        <w:rPr>
          <w:rFonts w:ascii="Book Antiqua" w:hAnsi="Book Antiqua"/>
          <w:b/>
          <w:sz w:val="22"/>
          <w:szCs w:val="22"/>
        </w:rPr>
        <w:t xml:space="preserve"> Zb. </w:t>
      </w:r>
      <w:r w:rsidRPr="00F177B8" w:rsidR="00F177B8">
        <w:rPr>
          <w:rFonts w:ascii="Book Antiqua" w:hAnsi="Book Antiqua"/>
          <w:b/>
          <w:sz w:val="22"/>
          <w:szCs w:val="22"/>
        </w:rPr>
        <w:t>o umelom prerušení tehotenstva</w:t>
      </w:r>
      <w:r w:rsidR="00F177B8">
        <w:rPr>
          <w:rFonts w:ascii="Book Antiqua" w:hAnsi="Book Antiqua"/>
          <w:b/>
          <w:sz w:val="22"/>
          <w:szCs w:val="22"/>
        </w:rPr>
        <w:t xml:space="preserve"> </w:t>
        <w:br/>
      </w:r>
      <w:r w:rsidRPr="001E5E02"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:rsidR="002613AF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1E5E02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>Národná rada Slovenskej republiky sa uzniesla na tomto zákon</w:t>
      </w:r>
      <w:r w:rsidRPr="001E5E02">
        <w:rPr>
          <w:rFonts w:ascii="Book Antiqua" w:hAnsi="Book Antiqua"/>
          <w:sz w:val="22"/>
          <w:szCs w:val="22"/>
        </w:rPr>
        <w:t>e</w:t>
      </w:r>
      <w:r w:rsidRPr="001E5E02">
        <w:rPr>
          <w:rFonts w:ascii="Book Antiqua" w:hAnsi="Book Antiqua"/>
          <w:sz w:val="22"/>
          <w:szCs w:val="22"/>
        </w:rPr>
        <w:t xml:space="preserve">: </w:t>
      </w:r>
    </w:p>
    <w:p w:rsidR="00355DF8" w:rsidRPr="001E5E02" w:rsidP="003548F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1E5E02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 w:rsidR="00AF3E6D">
        <w:rPr>
          <w:rFonts w:ascii="Book Antiqua" w:hAnsi="Book Antiqua"/>
          <w:b/>
          <w:sz w:val="22"/>
          <w:szCs w:val="22"/>
        </w:rPr>
        <w:t>Čl. I</w:t>
      </w:r>
    </w:p>
    <w:p w:rsidR="00355DF8" w:rsidRPr="001E5E02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="00F177B8">
        <w:rPr>
          <w:rFonts w:ascii="Book Antiqua" w:hAnsi="Book Antiqua"/>
          <w:color w:val="231F20"/>
          <w:sz w:val="22"/>
          <w:szCs w:val="22"/>
          <w:lang w:eastAsia="en-US"/>
        </w:rPr>
        <w:t>Zákon</w:t>
      </w:r>
      <w:r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F177B8" w:rsidR="00F177B8">
        <w:rPr>
          <w:rFonts w:ascii="Book Antiqua" w:hAnsi="Book Antiqua"/>
          <w:color w:val="231F20"/>
          <w:sz w:val="22"/>
          <w:szCs w:val="22"/>
          <w:lang w:eastAsia="en-US"/>
        </w:rPr>
        <w:t>č. 73/1986 Zb. o umelom prerušení tehotenstva</w:t>
      </w:r>
      <w:r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v znení zákona č. </w:t>
      </w:r>
      <w:r w:rsidR="00F177B8">
        <w:rPr>
          <w:rFonts w:ascii="Book Antiqua" w:hAnsi="Book Antiqua"/>
          <w:color w:val="231F20"/>
          <w:sz w:val="22"/>
          <w:szCs w:val="22"/>
          <w:lang w:eastAsia="en-US"/>
        </w:rPr>
        <w:t xml:space="preserve">419/1991 Zb. a zákona č. 363/2011 Z. z. </w:t>
      </w:r>
      <w:r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sa </w:t>
      </w:r>
      <w:r w:rsidRPr="001E5E02" w:rsidR="00472D5D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Pr="001E5E0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355DF8" w:rsidRPr="007218AB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Cs/>
          <w:sz w:val="10"/>
          <w:szCs w:val="22"/>
        </w:rPr>
      </w:pPr>
    </w:p>
    <w:p w:rsidR="0039747B" w:rsidP="003548FB">
      <w:pPr>
        <w:numPr>
          <w:ilvl w:val="0"/>
          <w:numId w:val="3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F177B8">
        <w:rPr>
          <w:rFonts w:ascii="Book Antiqua" w:hAnsi="Book Antiqua"/>
          <w:bCs/>
          <w:sz w:val="22"/>
          <w:szCs w:val="22"/>
        </w:rPr>
        <w:t>§</w:t>
      </w:r>
      <w:r w:rsidRPr="001E5E02" w:rsidR="00B519D3">
        <w:rPr>
          <w:rFonts w:ascii="Book Antiqua" w:hAnsi="Book Antiqua"/>
          <w:bCs/>
          <w:sz w:val="22"/>
          <w:szCs w:val="22"/>
        </w:rPr>
        <w:t xml:space="preserve"> </w:t>
      </w:r>
      <w:r w:rsidRPr="001E5E02">
        <w:rPr>
          <w:rFonts w:ascii="Book Antiqua" w:hAnsi="Book Antiqua"/>
          <w:bCs/>
          <w:sz w:val="22"/>
          <w:szCs w:val="22"/>
        </w:rPr>
        <w:t>1</w:t>
      </w:r>
      <w:r w:rsidR="00F177B8">
        <w:rPr>
          <w:rFonts w:ascii="Book Antiqua" w:hAnsi="Book Antiqua"/>
          <w:bCs/>
          <w:sz w:val="22"/>
          <w:szCs w:val="22"/>
        </w:rPr>
        <w:t xml:space="preserve"> </w:t>
      </w:r>
      <w:r w:rsidRPr="001E5E02">
        <w:rPr>
          <w:rFonts w:ascii="Book Antiqua" w:hAnsi="Book Antiqua"/>
          <w:bCs/>
          <w:sz w:val="22"/>
          <w:szCs w:val="22"/>
        </w:rPr>
        <w:t>znie:</w:t>
      </w:r>
    </w:p>
    <w:p w:rsidR="008177D6" w:rsidP="003548FB">
      <w:pPr>
        <w:tabs>
          <w:tab w:val="left" w:pos="709"/>
        </w:tabs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="00B52FB6">
        <w:rPr>
          <w:rFonts w:ascii="Book Antiqua" w:hAnsi="Book Antiqua"/>
          <w:bCs/>
          <w:sz w:val="22"/>
          <w:szCs w:val="22"/>
        </w:rPr>
        <w:t>„</w:t>
      </w:r>
      <w:r w:rsidRPr="00F177B8" w:rsidR="00F177B8">
        <w:rPr>
          <w:rFonts w:ascii="Book Antiqua" w:hAnsi="Book Antiqua"/>
          <w:bCs/>
          <w:color w:val="000000"/>
          <w:sz w:val="22"/>
          <w:szCs w:val="22"/>
        </w:rPr>
        <w:t xml:space="preserve">Zákon upravuje umelé prerušenie tehotenstva a so zreteľom na ochranu života </w:t>
      </w:r>
      <w:r w:rsidR="00F177B8">
        <w:rPr>
          <w:rFonts w:ascii="Book Antiqua" w:hAnsi="Book Antiqua"/>
          <w:bCs/>
          <w:color w:val="000000"/>
          <w:sz w:val="22"/>
          <w:szCs w:val="22"/>
        </w:rPr>
        <w:br/>
      </w:r>
      <w:r w:rsidRPr="00F177B8" w:rsidR="00F177B8">
        <w:rPr>
          <w:rFonts w:ascii="Book Antiqua" w:hAnsi="Book Antiqua"/>
          <w:bCs/>
          <w:color w:val="000000"/>
          <w:sz w:val="22"/>
          <w:szCs w:val="22"/>
        </w:rPr>
        <w:t>a zdravia ženy</w:t>
      </w:r>
      <w:r w:rsidR="00F177B8">
        <w:rPr>
          <w:rFonts w:ascii="Book Antiqua" w:hAnsi="Book Antiqua"/>
          <w:bCs/>
          <w:color w:val="000000"/>
          <w:sz w:val="22"/>
          <w:szCs w:val="22"/>
        </w:rPr>
        <w:t xml:space="preserve"> a počaté</w:t>
      </w:r>
      <w:r w:rsidR="00F177B8">
        <w:rPr>
          <w:rFonts w:ascii="Book Antiqua" w:hAnsi="Book Antiqua"/>
          <w:bCs/>
          <w:color w:val="000000"/>
          <w:sz w:val="22"/>
          <w:szCs w:val="22"/>
        </w:rPr>
        <w:t>ho dieťaťa</w:t>
      </w:r>
      <w:r w:rsidRPr="00F177B8" w:rsidR="00F177B8">
        <w:rPr>
          <w:rFonts w:ascii="Book Antiqua" w:hAnsi="Book Antiqua"/>
          <w:bCs/>
          <w:color w:val="000000"/>
          <w:sz w:val="22"/>
          <w:szCs w:val="22"/>
        </w:rPr>
        <w:t xml:space="preserve"> ustanovuje podmienky na jeho vykonávanie.</w:t>
      </w:r>
      <w:r w:rsidR="00B52FB6">
        <w:rPr>
          <w:rFonts w:ascii="Book Antiqua" w:hAnsi="Book Antiqua"/>
          <w:bCs/>
          <w:color w:val="000000"/>
          <w:sz w:val="22"/>
          <w:szCs w:val="22"/>
        </w:rPr>
        <w:t>“.</w:t>
      </w:r>
    </w:p>
    <w:p w:rsidR="00B83E13" w:rsidP="003548FB">
      <w:pPr>
        <w:numPr>
          <w:ilvl w:val="0"/>
          <w:numId w:val="3"/>
        </w:numPr>
        <w:tabs>
          <w:tab w:val="left" w:pos="709"/>
        </w:tabs>
        <w:spacing w:before="12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="006F6BF8">
        <w:rPr>
          <w:rFonts w:ascii="Book Antiqua" w:hAnsi="Book Antiqua"/>
          <w:bCs/>
          <w:color w:val="000000"/>
          <w:sz w:val="22"/>
          <w:szCs w:val="22"/>
        </w:rPr>
        <w:t>§ 4</w:t>
      </w:r>
      <w:r w:rsidRPr="006F6BF8" w:rsidR="006F6BF8">
        <w:rPr>
          <w:rFonts w:ascii="Book Antiqua" w:hAnsi="Book Antiqua"/>
          <w:bCs/>
          <w:color w:val="000000"/>
          <w:sz w:val="22"/>
          <w:szCs w:val="22"/>
        </w:rPr>
        <w:t xml:space="preserve"> sa </w:t>
      </w:r>
      <w:r w:rsidR="006F6BF8">
        <w:rPr>
          <w:rFonts w:ascii="Book Antiqua" w:hAnsi="Book Antiqua"/>
          <w:bCs/>
          <w:color w:val="000000"/>
          <w:sz w:val="22"/>
          <w:szCs w:val="22"/>
        </w:rPr>
        <w:t>v</w:t>
      </w:r>
      <w:r w:rsidR="00F177B8">
        <w:rPr>
          <w:rFonts w:ascii="Book Antiqua" w:hAnsi="Book Antiqua"/>
          <w:bCs/>
          <w:color w:val="000000"/>
          <w:sz w:val="22"/>
          <w:szCs w:val="22"/>
        </w:rPr>
        <w:t>ypúšťa.</w:t>
      </w:r>
    </w:p>
    <w:p w:rsidR="00B52FB6" w:rsidP="003548FB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§ </w:t>
      </w:r>
      <w:r w:rsidR="006F6BF8">
        <w:rPr>
          <w:rFonts w:ascii="Book Antiqua" w:hAnsi="Book Antiqua"/>
          <w:bCs/>
          <w:color w:val="000000"/>
          <w:sz w:val="22"/>
          <w:szCs w:val="22"/>
        </w:rPr>
        <w:t>5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znie:</w:t>
      </w:r>
    </w:p>
    <w:p w:rsidR="00D1744B" w:rsidP="007B6D46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="00B52FB6">
        <w:rPr>
          <w:rFonts w:ascii="Book Antiqua" w:hAnsi="Book Antiqua"/>
          <w:bCs/>
          <w:color w:val="000000"/>
          <w:sz w:val="22"/>
          <w:szCs w:val="22"/>
        </w:rPr>
        <w:t>„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(1) </w:t>
      </w:r>
      <w:r w:rsidRPr="00B52FB6" w:rsidR="00B52FB6">
        <w:rPr>
          <w:rFonts w:ascii="Book Antiqua" w:hAnsi="Book Antiqua"/>
          <w:bCs/>
          <w:color w:val="000000"/>
          <w:sz w:val="22"/>
          <w:szCs w:val="22"/>
        </w:rPr>
        <w:t>Žene možno umelo prerušiť tehotenstvo s jej súhlasom, ak je ohrozený jej život</w:t>
      </w:r>
      <w:r w:rsidR="00B52FB6">
        <w:rPr>
          <w:rFonts w:ascii="Book Antiqua" w:hAnsi="Book Antiqua"/>
          <w:bCs/>
          <w:color w:val="000000"/>
          <w:sz w:val="22"/>
          <w:szCs w:val="22"/>
        </w:rPr>
        <w:t>.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 xml:space="preserve"> </w:t>
      </w:r>
    </w:p>
    <w:p w:rsidR="00D1744B" w:rsidP="00D1744B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(2) 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 xml:space="preserve">Žene možno umelo prerušiť tehotenstvo </w:t>
      </w:r>
      <w:r w:rsidR="00442391">
        <w:rPr>
          <w:rFonts w:ascii="Book Antiqua" w:hAnsi="Book Antiqua"/>
          <w:bCs/>
          <w:color w:val="000000"/>
          <w:sz w:val="22"/>
          <w:szCs w:val="22"/>
        </w:rPr>
        <w:t>na jej podnet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 xml:space="preserve">, 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ak 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>je dôvodné podozrenie, že žen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>a otehotnela v dôsledku trestného činu</w:t>
      </w:r>
      <w:r w:rsidR="00442391">
        <w:rPr>
          <w:rFonts w:ascii="Book Antiqua" w:hAnsi="Book Antiqua"/>
          <w:bCs/>
          <w:color w:val="000000"/>
          <w:sz w:val="22"/>
          <w:szCs w:val="22"/>
        </w:rPr>
        <w:t xml:space="preserve"> a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442391">
        <w:rPr>
          <w:rFonts w:ascii="Book Antiqua" w:hAnsi="Book Antiqua"/>
          <w:bCs/>
          <w:color w:val="000000"/>
          <w:sz w:val="22"/>
          <w:szCs w:val="22"/>
        </w:rPr>
        <w:t xml:space="preserve">tehotenstvo 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>nepresahuje 12 týždňov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FA7630">
        <w:rPr>
          <w:rFonts w:ascii="Book Antiqua" w:hAnsi="Book Antiqua"/>
          <w:bCs/>
          <w:color w:val="000000"/>
          <w:sz w:val="22"/>
          <w:szCs w:val="22"/>
        </w:rPr>
        <w:br/>
      </w:r>
      <w:r w:rsidRPr="00D1744B">
        <w:rPr>
          <w:rFonts w:ascii="Book Antiqua" w:hAnsi="Book Antiqua"/>
          <w:bCs/>
          <w:color w:val="000000"/>
          <w:sz w:val="22"/>
          <w:szCs w:val="22"/>
        </w:rPr>
        <w:t>a</w:t>
      </w:r>
      <w:r w:rsidRPr="00D1744B">
        <w:rPr>
          <w:rFonts w:ascii="Book Antiqua" w:hAnsi="Book Antiqua"/>
          <w:sz w:val="22"/>
          <w:szCs w:val="22"/>
        </w:rPr>
        <w:t xml:space="preserve"> </w:t>
      </w:r>
      <w:r w:rsidR="00AE5128">
        <w:rPr>
          <w:rFonts w:ascii="Book Antiqua" w:hAnsi="Book Antiqua"/>
          <w:bCs/>
          <w:color w:val="000000"/>
          <w:sz w:val="22"/>
          <w:szCs w:val="22"/>
        </w:rPr>
        <w:t xml:space="preserve">nebránia </w:t>
      </w:r>
      <w:r w:rsidRPr="00D1744B" w:rsidR="00442391">
        <w:rPr>
          <w:rFonts w:ascii="Book Antiqua" w:hAnsi="Book Antiqua"/>
          <w:sz w:val="22"/>
          <w:szCs w:val="22"/>
        </w:rPr>
        <w:t>tomu</w:t>
      </w:r>
      <w:r w:rsidR="00442391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AE5128">
        <w:rPr>
          <w:rFonts w:ascii="Book Antiqua" w:hAnsi="Book Antiqua"/>
          <w:bCs/>
          <w:color w:val="000000"/>
          <w:sz w:val="22"/>
          <w:szCs w:val="22"/>
        </w:rPr>
        <w:t>jej zdravotné dôvody.</w:t>
      </w:r>
    </w:p>
    <w:p w:rsidR="009A5681" w:rsidP="009A5681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(3) </w:t>
      </w:r>
      <w:r w:rsidRPr="009A5681">
        <w:rPr>
          <w:rFonts w:ascii="Book Antiqua" w:hAnsi="Book Antiqua"/>
          <w:bCs/>
          <w:color w:val="000000"/>
          <w:sz w:val="22"/>
          <w:szCs w:val="22"/>
        </w:rPr>
        <w:t xml:space="preserve">Žene možno umelo prerušiť tehotenstvo na jej podnet, </w:t>
      </w:r>
      <w:r>
        <w:rPr>
          <w:rFonts w:ascii="Book Antiqua" w:hAnsi="Book Antiqua"/>
          <w:bCs/>
          <w:color w:val="000000"/>
          <w:sz w:val="22"/>
          <w:szCs w:val="22"/>
        </w:rPr>
        <w:t>ak ide o</w:t>
      </w:r>
      <w:r w:rsidRPr="009A5681">
        <w:rPr>
          <w:rFonts w:ascii="Book Antiqua" w:hAnsi="Book Antiqua"/>
          <w:bCs/>
          <w:color w:val="000000"/>
          <w:sz w:val="22"/>
          <w:szCs w:val="22"/>
        </w:rPr>
        <w:t xml:space="preserve"> preukázateľne geneticky chybný vývoj plodu a tehotenstvo nepresahuje 24</w:t>
      </w:r>
      <w:r w:rsidRPr="009A5681">
        <w:rPr>
          <w:rFonts w:ascii="Book Antiqua" w:hAnsi="Book Antiqua"/>
          <w:bCs/>
          <w:color w:val="000000"/>
          <w:sz w:val="22"/>
          <w:szCs w:val="22"/>
        </w:rPr>
        <w:t xml:space="preserve"> týždňov a nebránia tomu jej zdravotné dôvody.</w:t>
      </w:r>
      <w:r>
        <w:rPr>
          <w:rFonts w:ascii="Book Antiqua" w:hAnsi="Book Antiqua"/>
          <w:bCs/>
          <w:color w:val="000000"/>
          <w:sz w:val="22"/>
          <w:szCs w:val="22"/>
        </w:rPr>
        <w:t>“.</w:t>
      </w:r>
    </w:p>
    <w:p w:rsidR="00B52FB6" w:rsidRPr="0054294B" w:rsidP="003548FB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="0054294B">
        <w:rPr>
          <w:rFonts w:ascii="Book Antiqua" w:hAnsi="Book Antiqua"/>
          <w:bCs/>
          <w:color w:val="000000"/>
          <w:sz w:val="22"/>
          <w:szCs w:val="22"/>
        </w:rPr>
        <w:t xml:space="preserve">Slová </w:t>
      </w:r>
      <w:r w:rsidRPr="0054294B" w:rsidR="0054294B">
        <w:rPr>
          <w:rFonts w:ascii="Book Antiqua" w:hAnsi="Book Antiqua"/>
          <w:bCs/>
          <w:color w:val="000000"/>
          <w:sz w:val="22"/>
          <w:szCs w:val="22"/>
        </w:rPr>
        <w:t>„podľa § 4“</w:t>
      </w:r>
      <w:r w:rsidRPr="0054294B" w:rsidR="0054294B">
        <w:rPr>
          <w:color w:val="000000"/>
          <w:sz w:val="23"/>
          <w:szCs w:val="23"/>
        </w:rPr>
        <w:t xml:space="preserve"> </w:t>
      </w:r>
      <w:r w:rsidRPr="0054294B" w:rsidR="0054294B">
        <w:rPr>
          <w:rFonts w:ascii="Book Antiqua" w:hAnsi="Book Antiqua"/>
          <w:bCs/>
          <w:color w:val="000000"/>
          <w:sz w:val="22"/>
          <w:szCs w:val="22"/>
        </w:rPr>
        <w:t>sa v celom texte zákona, v právnych predpisoch vydaných na jeho vykonanie a v súvisiacich právnych predpisoch nahrádzajú slovami</w:t>
      </w:r>
      <w:r w:rsidRPr="0054294B" w:rsidR="001459A7">
        <w:rPr>
          <w:rFonts w:ascii="Book Antiqua" w:hAnsi="Book Antiqua"/>
          <w:bCs/>
          <w:color w:val="000000"/>
          <w:sz w:val="22"/>
          <w:szCs w:val="22"/>
        </w:rPr>
        <w:t xml:space="preserve"> „podľa § 5“.</w:t>
      </w:r>
    </w:p>
    <w:p w:rsidR="00B52FB6" w:rsidP="003548FB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="001459A7">
        <w:rPr>
          <w:rFonts w:ascii="Book Antiqua" w:hAnsi="Book Antiqua"/>
          <w:bCs/>
          <w:color w:val="000000"/>
          <w:sz w:val="22"/>
          <w:szCs w:val="22"/>
        </w:rPr>
        <w:t>V § 8 sa slová: „(§ 4 a 5)“ nahrádzajú slovami:</w:t>
      </w:r>
      <w:r w:rsidR="001459A7">
        <w:rPr>
          <w:rFonts w:ascii="Book Antiqua" w:hAnsi="Book Antiqua"/>
          <w:bCs/>
          <w:color w:val="000000"/>
          <w:sz w:val="22"/>
          <w:szCs w:val="22"/>
        </w:rPr>
        <w:t xml:space="preserve"> „(§ 5)“.</w:t>
      </w:r>
    </w:p>
    <w:p w:rsidR="00A55FCF" w:rsidP="00A55FCF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977BE6" w:rsidP="00977BE6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§ 10 znie:</w:t>
      </w:r>
    </w:p>
    <w:p w:rsidR="00977BE6" w:rsidRPr="00977BE6" w:rsidP="00977BE6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„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 xml:space="preserve">Umelé prerušenie tehotenstva podľa </w:t>
      </w:r>
      <w:r w:rsidR="00414FCE">
        <w:rPr>
          <w:rFonts w:ascii="Book Antiqua" w:hAnsi="Book Antiqua"/>
          <w:bCs/>
          <w:color w:val="000000"/>
          <w:sz w:val="22"/>
          <w:szCs w:val="22"/>
        </w:rPr>
        <w:t>§ 5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414FCE">
        <w:rPr>
          <w:rFonts w:ascii="Book Antiqua" w:hAnsi="Book Antiqua"/>
          <w:bCs/>
          <w:color w:val="000000"/>
          <w:sz w:val="22"/>
          <w:szCs w:val="22"/>
        </w:rPr>
        <w:t xml:space="preserve">ods. 2 a 3 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>sa nevykoná cudzinkám.</w:t>
      </w:r>
      <w:r w:rsidR="00414FCE">
        <w:rPr>
          <w:rFonts w:ascii="Book Antiqua" w:hAnsi="Book Antiqua"/>
          <w:bCs/>
          <w:color w:val="000000"/>
          <w:sz w:val="22"/>
          <w:szCs w:val="22"/>
        </w:rPr>
        <w:t>“.</w:t>
      </w:r>
    </w:p>
    <w:p w:rsidR="00EA44D1" w:rsidRPr="00414FCE" w:rsidP="00414FCE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414FCE">
        <w:rPr>
          <w:rFonts w:ascii="Book Antiqua" w:hAnsi="Book Antiqua"/>
          <w:bCs/>
          <w:color w:val="000000"/>
          <w:sz w:val="22"/>
          <w:szCs w:val="22"/>
        </w:rPr>
        <w:t>Vypúšťa sa § 11.</w:t>
      </w:r>
    </w:p>
    <w:p w:rsidR="0054294B" w:rsidP="003548FB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V § 14 sa vkladá nový bod 4., ktorý znie:</w:t>
      </w:r>
    </w:p>
    <w:p w:rsidR="0054294B" w:rsidRPr="0054294B" w:rsidP="003548FB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„Vyhláška </w:t>
      </w:r>
      <w:r w:rsidRPr="0054294B">
        <w:rPr>
          <w:rFonts w:ascii="Book Antiqua" w:hAnsi="Book Antiqua"/>
          <w:bCs/>
          <w:color w:val="000000"/>
          <w:sz w:val="22"/>
          <w:szCs w:val="22"/>
        </w:rPr>
        <w:t>Ministerstva zdravotníctva Slovenskej socialistickej republiky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č. 74/1986 Zb., </w:t>
      </w:r>
      <w:r w:rsidRPr="0054294B">
        <w:rPr>
          <w:rFonts w:ascii="Book Antiqua" w:hAnsi="Book Antiqua"/>
          <w:bCs/>
          <w:color w:val="000000"/>
          <w:sz w:val="22"/>
          <w:szCs w:val="22"/>
        </w:rPr>
        <w:t xml:space="preserve">ktorou sa </w:t>
      </w:r>
      <w:r w:rsidRPr="0054294B">
        <w:rPr>
          <w:rFonts w:ascii="Book Antiqua" w:hAnsi="Book Antiqua"/>
          <w:bCs/>
          <w:color w:val="000000"/>
          <w:sz w:val="22"/>
          <w:szCs w:val="22"/>
        </w:rPr>
        <w:t>vykonáva zákon Slovenskej národnej rady č. 73/1986 Zb. o umelom prerušení tehotenstva</w:t>
      </w:r>
      <w:r>
        <w:rPr>
          <w:rFonts w:ascii="Book Antiqua" w:hAnsi="Book Antiqua"/>
          <w:bCs/>
          <w:color w:val="000000"/>
          <w:sz w:val="22"/>
          <w:szCs w:val="22"/>
        </w:rPr>
        <w:t>.“.</w:t>
      </w:r>
    </w:p>
    <w:p w:rsidR="00B83E13" w:rsidRPr="007218AB" w:rsidP="003548FB">
      <w:pPr>
        <w:tabs>
          <w:tab w:val="left" w:pos="709"/>
        </w:tabs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10"/>
          <w:szCs w:val="22"/>
        </w:rPr>
      </w:pPr>
    </w:p>
    <w:p w:rsidR="003548FB" w:rsidRPr="003548FB" w:rsidP="003548FB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548FB">
        <w:rPr>
          <w:rFonts w:ascii="Book Antiqua" w:hAnsi="Book Antiqua"/>
          <w:b/>
          <w:bCs/>
          <w:sz w:val="22"/>
          <w:szCs w:val="22"/>
        </w:rPr>
        <w:t xml:space="preserve">Čl. </w:t>
      </w:r>
      <w:r>
        <w:rPr>
          <w:rFonts w:ascii="Book Antiqua" w:hAnsi="Book Antiqua"/>
          <w:b/>
          <w:bCs/>
          <w:sz w:val="22"/>
          <w:szCs w:val="22"/>
        </w:rPr>
        <w:t>II</w:t>
      </w:r>
    </w:p>
    <w:p w:rsidR="00D438F8" w:rsidP="00D438F8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:rsidR="00D438F8" w:rsidRPr="00F14804" w:rsidP="00D438F8">
      <w:pPr>
        <w:pStyle w:val="Default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 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zákon nadobúda účinnosť </w:t>
      </w:r>
      <w:r w:rsidRPr="005C4313">
        <w:rPr>
          <w:rFonts w:ascii="Book Antiqua" w:hAnsi="Book Antiqua"/>
          <w:sz w:val="22"/>
        </w:rPr>
        <w:t xml:space="preserve">pätnástym dňom po </w:t>
      </w:r>
      <w:r>
        <w:rPr>
          <w:rFonts w:ascii="Book Antiqua" w:hAnsi="Book Antiqua"/>
          <w:sz w:val="22"/>
        </w:rPr>
        <w:t>jeho</w:t>
      </w:r>
      <w:r w:rsidRPr="005C4313">
        <w:rPr>
          <w:rFonts w:ascii="Book Antiqua" w:hAnsi="Book Antiqua"/>
          <w:sz w:val="22"/>
        </w:rPr>
        <w:t xml:space="preserve"> vyhlásení v Zbierke zákonov</w:t>
      </w:r>
      <w:r>
        <w:rPr>
          <w:rFonts w:ascii="Book Antiqua" w:hAnsi="Book Antiqua"/>
          <w:sz w:val="22"/>
        </w:rPr>
        <w:t>.</w:t>
      </w:r>
    </w:p>
    <w:p w:rsidR="003548FB" w:rsidRPr="003548FB" w:rsidP="003548FB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1459A7" w:rsidP="003548FB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1459A7" w:rsidP="003548FB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sectPr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287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E3B"/>
    <w:multiLevelType w:val="hybridMultilevel"/>
    <w:tmpl w:val="A4FCFA4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714A47"/>
    <w:multiLevelType w:val="hybridMultilevel"/>
    <w:tmpl w:val="0B3C7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E4E76"/>
    <w:multiLevelType w:val="hybridMultilevel"/>
    <w:tmpl w:val="EA8CA57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1F30A5"/>
    <w:multiLevelType w:val="hybridMultilevel"/>
    <w:tmpl w:val="13120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705074"/>
    <w:multiLevelType w:val="hybridMultilevel"/>
    <w:tmpl w:val="0B3C7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D42B38"/>
    <w:multiLevelType w:val="hybridMultilevel"/>
    <w:tmpl w:val="874CD8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DF8"/>
    <w:rsid w:val="00026FF8"/>
    <w:rsid w:val="000B450C"/>
    <w:rsid w:val="000C70DA"/>
    <w:rsid w:val="000D2E53"/>
    <w:rsid w:val="000D3A37"/>
    <w:rsid w:val="000E1C3B"/>
    <w:rsid w:val="000E310D"/>
    <w:rsid w:val="000F0F6F"/>
    <w:rsid w:val="000F4272"/>
    <w:rsid w:val="00113A5A"/>
    <w:rsid w:val="0011595B"/>
    <w:rsid w:val="00120770"/>
    <w:rsid w:val="00122FC2"/>
    <w:rsid w:val="00134A54"/>
    <w:rsid w:val="00144062"/>
    <w:rsid w:val="001459A7"/>
    <w:rsid w:val="0015522B"/>
    <w:rsid w:val="001717B1"/>
    <w:rsid w:val="00191453"/>
    <w:rsid w:val="00195FF0"/>
    <w:rsid w:val="001D1370"/>
    <w:rsid w:val="001D66A3"/>
    <w:rsid w:val="001E271E"/>
    <w:rsid w:val="001E5E02"/>
    <w:rsid w:val="002026B4"/>
    <w:rsid w:val="0021153E"/>
    <w:rsid w:val="002126CF"/>
    <w:rsid w:val="00220626"/>
    <w:rsid w:val="0022529E"/>
    <w:rsid w:val="00243657"/>
    <w:rsid w:val="00251AFB"/>
    <w:rsid w:val="002613AF"/>
    <w:rsid w:val="002637A5"/>
    <w:rsid w:val="00273F9E"/>
    <w:rsid w:val="002835DF"/>
    <w:rsid w:val="0029474D"/>
    <w:rsid w:val="002A10BC"/>
    <w:rsid w:val="002B1719"/>
    <w:rsid w:val="002D3D18"/>
    <w:rsid w:val="002E1092"/>
    <w:rsid w:val="002F1482"/>
    <w:rsid w:val="002F5EBF"/>
    <w:rsid w:val="00312673"/>
    <w:rsid w:val="00315A87"/>
    <w:rsid w:val="00317EA7"/>
    <w:rsid w:val="003375F9"/>
    <w:rsid w:val="003548FB"/>
    <w:rsid w:val="00355DF8"/>
    <w:rsid w:val="003608EA"/>
    <w:rsid w:val="00365988"/>
    <w:rsid w:val="00376567"/>
    <w:rsid w:val="00384A20"/>
    <w:rsid w:val="00392D5C"/>
    <w:rsid w:val="00392FEC"/>
    <w:rsid w:val="00393EA5"/>
    <w:rsid w:val="0039747B"/>
    <w:rsid w:val="003A3B7B"/>
    <w:rsid w:val="003A5A0D"/>
    <w:rsid w:val="003C59B5"/>
    <w:rsid w:val="003E126A"/>
    <w:rsid w:val="003F408B"/>
    <w:rsid w:val="0041067C"/>
    <w:rsid w:val="00412EA8"/>
    <w:rsid w:val="00414FCE"/>
    <w:rsid w:val="00442391"/>
    <w:rsid w:val="00444BCC"/>
    <w:rsid w:val="00450A28"/>
    <w:rsid w:val="00452619"/>
    <w:rsid w:val="00472D5D"/>
    <w:rsid w:val="00474ADD"/>
    <w:rsid w:val="00476C21"/>
    <w:rsid w:val="004931CF"/>
    <w:rsid w:val="00496A32"/>
    <w:rsid w:val="00496EE0"/>
    <w:rsid w:val="004A3E2C"/>
    <w:rsid w:val="004A567E"/>
    <w:rsid w:val="004E18D5"/>
    <w:rsid w:val="004F1872"/>
    <w:rsid w:val="00511153"/>
    <w:rsid w:val="00527A12"/>
    <w:rsid w:val="00532326"/>
    <w:rsid w:val="0054294B"/>
    <w:rsid w:val="005514DF"/>
    <w:rsid w:val="0055359C"/>
    <w:rsid w:val="005741B6"/>
    <w:rsid w:val="005748BA"/>
    <w:rsid w:val="005849AA"/>
    <w:rsid w:val="005A2487"/>
    <w:rsid w:val="005B0047"/>
    <w:rsid w:val="005C2B5D"/>
    <w:rsid w:val="005C4313"/>
    <w:rsid w:val="005D18E8"/>
    <w:rsid w:val="006245E9"/>
    <w:rsid w:val="00661B75"/>
    <w:rsid w:val="00663192"/>
    <w:rsid w:val="00687BDE"/>
    <w:rsid w:val="006A2A48"/>
    <w:rsid w:val="006B1572"/>
    <w:rsid w:val="006F6BF8"/>
    <w:rsid w:val="006F7055"/>
    <w:rsid w:val="0071290A"/>
    <w:rsid w:val="007218AB"/>
    <w:rsid w:val="00723FC1"/>
    <w:rsid w:val="00740E04"/>
    <w:rsid w:val="00764629"/>
    <w:rsid w:val="00774D36"/>
    <w:rsid w:val="007858C5"/>
    <w:rsid w:val="00791D62"/>
    <w:rsid w:val="007A60C4"/>
    <w:rsid w:val="007B2565"/>
    <w:rsid w:val="007B5ED5"/>
    <w:rsid w:val="007B6D46"/>
    <w:rsid w:val="007D10BF"/>
    <w:rsid w:val="007D3D90"/>
    <w:rsid w:val="007D7456"/>
    <w:rsid w:val="007F147B"/>
    <w:rsid w:val="007F3CB7"/>
    <w:rsid w:val="008078FC"/>
    <w:rsid w:val="008177D6"/>
    <w:rsid w:val="00823364"/>
    <w:rsid w:val="00837877"/>
    <w:rsid w:val="008523D9"/>
    <w:rsid w:val="008553F9"/>
    <w:rsid w:val="008A27B6"/>
    <w:rsid w:val="008A3335"/>
    <w:rsid w:val="008F562B"/>
    <w:rsid w:val="00902E8E"/>
    <w:rsid w:val="00911577"/>
    <w:rsid w:val="00934976"/>
    <w:rsid w:val="00936F27"/>
    <w:rsid w:val="009374D4"/>
    <w:rsid w:val="00937679"/>
    <w:rsid w:val="0094187B"/>
    <w:rsid w:val="00943BA1"/>
    <w:rsid w:val="00944446"/>
    <w:rsid w:val="00944C31"/>
    <w:rsid w:val="0094671B"/>
    <w:rsid w:val="00950795"/>
    <w:rsid w:val="00972F78"/>
    <w:rsid w:val="00977BE6"/>
    <w:rsid w:val="00997038"/>
    <w:rsid w:val="009A5681"/>
    <w:rsid w:val="009B3C7E"/>
    <w:rsid w:val="009B6B8A"/>
    <w:rsid w:val="009B6EF2"/>
    <w:rsid w:val="009C4F09"/>
    <w:rsid w:val="00A10A36"/>
    <w:rsid w:val="00A2405F"/>
    <w:rsid w:val="00A26DF2"/>
    <w:rsid w:val="00A37F27"/>
    <w:rsid w:val="00A5140A"/>
    <w:rsid w:val="00A55FCF"/>
    <w:rsid w:val="00A62BA4"/>
    <w:rsid w:val="00A64F41"/>
    <w:rsid w:val="00A65321"/>
    <w:rsid w:val="00A90DCB"/>
    <w:rsid w:val="00AA0244"/>
    <w:rsid w:val="00AA4642"/>
    <w:rsid w:val="00AA4F49"/>
    <w:rsid w:val="00AD61AB"/>
    <w:rsid w:val="00AE4888"/>
    <w:rsid w:val="00AE5128"/>
    <w:rsid w:val="00AF3E6D"/>
    <w:rsid w:val="00B16FB6"/>
    <w:rsid w:val="00B32B22"/>
    <w:rsid w:val="00B519D3"/>
    <w:rsid w:val="00B52FB6"/>
    <w:rsid w:val="00B56A74"/>
    <w:rsid w:val="00B7503C"/>
    <w:rsid w:val="00B82B4A"/>
    <w:rsid w:val="00B83E13"/>
    <w:rsid w:val="00B92160"/>
    <w:rsid w:val="00BA26F3"/>
    <w:rsid w:val="00BC4E65"/>
    <w:rsid w:val="00BE04C0"/>
    <w:rsid w:val="00BE3A84"/>
    <w:rsid w:val="00BE4D66"/>
    <w:rsid w:val="00C210C5"/>
    <w:rsid w:val="00C35D3F"/>
    <w:rsid w:val="00C61FB1"/>
    <w:rsid w:val="00C663A5"/>
    <w:rsid w:val="00C66B12"/>
    <w:rsid w:val="00C80508"/>
    <w:rsid w:val="00C85130"/>
    <w:rsid w:val="00C975EF"/>
    <w:rsid w:val="00CC39A5"/>
    <w:rsid w:val="00CC7324"/>
    <w:rsid w:val="00CD076A"/>
    <w:rsid w:val="00D03809"/>
    <w:rsid w:val="00D1744B"/>
    <w:rsid w:val="00D24847"/>
    <w:rsid w:val="00D27DCB"/>
    <w:rsid w:val="00D33F44"/>
    <w:rsid w:val="00D35302"/>
    <w:rsid w:val="00D438F8"/>
    <w:rsid w:val="00D51FC3"/>
    <w:rsid w:val="00D54367"/>
    <w:rsid w:val="00D6011F"/>
    <w:rsid w:val="00D72D34"/>
    <w:rsid w:val="00D822E9"/>
    <w:rsid w:val="00DA3EBF"/>
    <w:rsid w:val="00DB26F1"/>
    <w:rsid w:val="00DB457A"/>
    <w:rsid w:val="00DD7574"/>
    <w:rsid w:val="00DE56A9"/>
    <w:rsid w:val="00E129F9"/>
    <w:rsid w:val="00E21846"/>
    <w:rsid w:val="00E22DC1"/>
    <w:rsid w:val="00E31D48"/>
    <w:rsid w:val="00E36B8E"/>
    <w:rsid w:val="00E8769E"/>
    <w:rsid w:val="00E92C16"/>
    <w:rsid w:val="00E96C09"/>
    <w:rsid w:val="00EA44D1"/>
    <w:rsid w:val="00EA5452"/>
    <w:rsid w:val="00EC0B98"/>
    <w:rsid w:val="00F14804"/>
    <w:rsid w:val="00F177B8"/>
    <w:rsid w:val="00F444F8"/>
    <w:rsid w:val="00F63AF2"/>
    <w:rsid w:val="00F71C4B"/>
    <w:rsid w:val="00F91E94"/>
    <w:rsid w:val="00F94E39"/>
    <w:rsid w:val="00FA7630"/>
    <w:rsid w:val="00FC34C8"/>
    <w:rsid w:val="00FE3A0B"/>
    <w:rsid w:val="00FF34B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uiPriority="35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toa heading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ontemporary" w:semiHidden="0" w:unhideWhenUsed="0"/>
    <w:lsdException w:name="Table Elegant" w:semiHidden="0" w:unhideWhenUsed="0"/>
    <w:lsdException w:name="Table Professional" w:semiHidden="0" w:unhideWhenUsed="0"/>
    <w:lsdException w:name="Table Subtle 1" w:semiHidden="0" w:unhideWhenUsed="0"/>
    <w:lsdException w:name="Table Subtle 2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55DF8"/>
    <w:rPr>
      <w:rFonts w:ascii="Times New Roman" w:hAnsi="Times New Roman" w:cs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link w:val="Nadpis1Char"/>
    <w:uiPriority w:val="9"/>
    <w:qFormat/>
    <w:rsid w:val="004F18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locked/>
    <w:rsid w:val="004F187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835DF"/>
    <w:rPr>
      <w:rFonts w:cs="Times New Roman"/>
      <w:sz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835DF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83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2835DF"/>
    <w:rPr>
      <w:rFonts w:ascii="Tahoma" w:hAnsi="Tahoma" w:cs="Times New Roman"/>
      <w:sz w:val="16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  <w:lang w:val="sk-SK" w:eastAsia="sk-SK" w:bidi="ar-SA"/>
    </w:rPr>
  </w:style>
  <w:style w:type="character" w:customStyle="1" w:styleId="h1a">
    <w:name w:val="h1a"/>
    <w:rsid w:val="004F1872"/>
  </w:style>
  <w:style w:type="paragraph" w:styleId="NormalWeb">
    <w:name w:val="Normal (Web)"/>
    <w:basedOn w:val="Normal"/>
    <w:uiPriority w:val="99"/>
    <w:unhideWhenUsed/>
    <w:rsid w:val="004F187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F1872"/>
    <w:rPr>
      <w:color w:val="0000FF"/>
      <w:u w:val="single"/>
    </w:rPr>
  </w:style>
  <w:style w:type="character" w:styleId="HTMLVariable">
    <w:name w:val="HTML Variable"/>
    <w:uiPriority w:val="99"/>
    <w:unhideWhenUsed/>
    <w:rsid w:val="00376567"/>
    <w:rPr>
      <w:i/>
    </w:rPr>
  </w:style>
  <w:style w:type="paragraph" w:customStyle="1" w:styleId="Default">
    <w:name w:val="Default"/>
    <w:rsid w:val="00D438F8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val="sk-SK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665A7-CA1E-4A8F-838B-25D366E5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ADMIN</cp:lastModifiedBy>
  <cp:revision>25</cp:revision>
  <cp:lastPrinted>2018-04-23T08:25:00Z</cp:lastPrinted>
  <dcterms:created xsi:type="dcterms:W3CDTF">2018-04-19T06:26:00Z</dcterms:created>
  <dcterms:modified xsi:type="dcterms:W3CDTF">2020-06-15T13:10:00Z</dcterms:modified>
</cp:coreProperties>
</file>