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6A20" w14:textId="77777777" w:rsidR="0005077C" w:rsidRPr="0087489C" w:rsidRDefault="0005077C" w:rsidP="0005077C">
      <w:pPr>
        <w:pageBreakBefore/>
        <w:spacing w:before="120" w:line="276" w:lineRule="auto"/>
        <w:jc w:val="center"/>
      </w:pPr>
      <w:r w:rsidRPr="0087489C">
        <w:rPr>
          <w:b/>
          <w:bCs/>
          <w:caps/>
          <w:spacing w:val="30"/>
        </w:rPr>
        <w:t>DOLOŽKA ZLUČITEĽNOSTI</w:t>
      </w:r>
    </w:p>
    <w:p w14:paraId="7EDD3A0B" w14:textId="77777777" w:rsidR="0005077C" w:rsidRPr="0087489C" w:rsidRDefault="0005077C" w:rsidP="0005077C">
      <w:pPr>
        <w:pStyle w:val="Normlnywebov"/>
        <w:spacing w:before="120" w:after="0" w:line="276" w:lineRule="auto"/>
        <w:jc w:val="both"/>
      </w:pPr>
    </w:p>
    <w:p w14:paraId="0808B1E8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  <w:r w:rsidRPr="0087489C">
        <w:rPr>
          <w:b/>
          <w:bCs/>
        </w:rPr>
        <w:t>1. Navrhovateľ zákona:</w:t>
      </w:r>
      <w:r w:rsidRPr="0087489C">
        <w:t xml:space="preserve"> skupina poslancov Národnej rady Slovenskej republiky </w:t>
      </w:r>
    </w:p>
    <w:p w14:paraId="509DD923" w14:textId="77777777" w:rsidR="0005077C" w:rsidRPr="0087489C" w:rsidRDefault="0005077C" w:rsidP="0005077C">
      <w:pPr>
        <w:spacing w:before="120" w:line="276" w:lineRule="auto"/>
        <w:jc w:val="both"/>
        <w:rPr>
          <w:b/>
          <w:bCs/>
        </w:rPr>
      </w:pPr>
      <w:r w:rsidRPr="0087489C">
        <w:rPr>
          <w:b/>
          <w:bCs/>
        </w:rPr>
        <w:t>2. Názov návrhu zákona:</w:t>
      </w:r>
      <w:r w:rsidRPr="0087489C">
        <w:t xml:space="preserve"> návrh zákona,</w:t>
      </w:r>
      <w:bookmarkStart w:id="0" w:name="_GoBack"/>
      <w:bookmarkEnd w:id="0"/>
      <w:r w:rsidRPr="0087489C">
        <w:t xml:space="preserve"> </w:t>
      </w:r>
      <w:r w:rsidRPr="0087489C">
        <w:rPr>
          <w:color w:val="000000"/>
        </w:rPr>
        <w:t>ktorým sa mení a dopĺňa zákon Slovenskej národnej rady č. 73/1986 Zb. o umelom prerušení tehotenstva v znení neskorších predpisov a ktorým sa menia a dopĺňajú niektoré zákony</w:t>
      </w:r>
    </w:p>
    <w:p w14:paraId="529FF4F9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Cs/>
        </w:rPr>
      </w:pPr>
      <w:r w:rsidRPr="0087489C">
        <w:rPr>
          <w:b/>
          <w:bCs/>
        </w:rPr>
        <w:t>3. Predmet návrhu zákona:</w:t>
      </w:r>
    </w:p>
    <w:p w14:paraId="5D85C574" w14:textId="77777777" w:rsidR="0005077C" w:rsidRPr="0087489C" w:rsidRDefault="0005077C" w:rsidP="0005077C">
      <w:pPr>
        <w:pStyle w:val="Normlnywebov"/>
        <w:numPr>
          <w:ilvl w:val="0"/>
          <w:numId w:val="1"/>
        </w:numPr>
        <w:spacing w:before="120" w:after="0" w:line="276" w:lineRule="auto"/>
        <w:jc w:val="both"/>
        <w:rPr>
          <w:bCs/>
        </w:rPr>
      </w:pPr>
      <w:r w:rsidRPr="0087489C">
        <w:rPr>
          <w:bCs/>
        </w:rPr>
        <w:t xml:space="preserve">je upravený v primárnom práve Európskej únie, a to v </w:t>
      </w:r>
      <w:r w:rsidRPr="0087489C">
        <w:t xml:space="preserve">čl. 48 (voľný pohyb pracovníkov), 151 (sociálna politika), 153 (sociálna politika) a 288 (právne akty EÚ) Zmluvy o fungovaní Európskej únie, ktoré zabezpečujú primeranú sociálnu ochranu, </w:t>
      </w:r>
    </w:p>
    <w:p w14:paraId="6FF4DA8A" w14:textId="77777777" w:rsidR="0005077C" w:rsidRPr="0087489C" w:rsidRDefault="0005077C" w:rsidP="0005077C">
      <w:pPr>
        <w:pStyle w:val="Odsekzoznamu"/>
        <w:numPr>
          <w:ilvl w:val="0"/>
          <w:numId w:val="4"/>
        </w:numPr>
        <w:suppressAutoHyphens w:val="0"/>
        <w:spacing w:before="120" w:line="276" w:lineRule="auto"/>
        <w:ind w:left="714" w:hanging="357"/>
        <w:jc w:val="both"/>
      </w:pPr>
      <w:r w:rsidRPr="0087489C">
        <w:rPr>
          <w:bCs/>
        </w:rPr>
        <w:t>je upravený v sekundárnom práve Európskej únie, a to v:</w:t>
      </w:r>
    </w:p>
    <w:p w14:paraId="1F70D373" w14:textId="77777777" w:rsidR="0005077C" w:rsidRPr="0087489C" w:rsidRDefault="0005077C" w:rsidP="0005077C">
      <w:pPr>
        <w:pStyle w:val="Odsekzoznamu"/>
        <w:numPr>
          <w:ilvl w:val="0"/>
          <w:numId w:val="5"/>
        </w:numPr>
        <w:suppressAutoHyphens w:val="0"/>
        <w:spacing w:before="120" w:line="276" w:lineRule="auto"/>
        <w:jc w:val="both"/>
      </w:pPr>
      <w:r w:rsidRPr="0087489C">
        <w:t xml:space="preserve">nariadení Európskeho parlamentu a  Rady  (ES) č. 883/2004 z 29. apríla 2004 o koordinácii systémov sociálneho zabezpečenia v platnom znení (Mimoriadne vydanie Ú. v. EÚ, kap. 5/ zv. 5; Ú. v. EÚ L 166, 30. 4. 2004) v platnom znení – čl. 3, 21, 67 a 68 – materské a rodinné dávky vrátane otázok súbehu a poskytovania v inom členskom štáte Európskej únie, </w:t>
      </w:r>
    </w:p>
    <w:p w14:paraId="466CAB3C" w14:textId="77777777" w:rsidR="0005077C" w:rsidRPr="0087489C" w:rsidRDefault="0005077C" w:rsidP="0005077C">
      <w:pPr>
        <w:pStyle w:val="Odsekzoznamu"/>
        <w:numPr>
          <w:ilvl w:val="0"/>
          <w:numId w:val="5"/>
        </w:numPr>
        <w:suppressAutoHyphens w:val="0"/>
        <w:spacing w:before="120" w:line="276" w:lineRule="auto"/>
        <w:jc w:val="both"/>
      </w:pPr>
      <w:r w:rsidRPr="0087489C">
        <w:t>nariadení Európskeho parlamentu a Rady  (ES) č. 987/2009 zo 16. septembra 2009, ktorým sa ustanovuje postup vykonávania nariadenia (ES) č. 883/2004 o koordinácii systémov sociálneho zabezpečenia (Ú. v. EÚ L 284, 30. 10. 2009) v platnom znení – čl. 10 a 60 – zamedzenie súbehu dávok a uplatňovanie čl. 67 a 68 základného nariadenie [t.j. nariadenia EP a Rady (ES) č. 883/2004], napr. rozdielový doplatok,</w:t>
      </w:r>
    </w:p>
    <w:p w14:paraId="51F1E913" w14:textId="77777777" w:rsidR="0005077C" w:rsidRPr="0087489C" w:rsidRDefault="0005077C" w:rsidP="0005077C">
      <w:pPr>
        <w:pStyle w:val="Odsekzoznamu"/>
        <w:numPr>
          <w:ilvl w:val="0"/>
          <w:numId w:val="4"/>
        </w:numPr>
        <w:suppressAutoHyphens w:val="0"/>
        <w:spacing w:before="120" w:line="276" w:lineRule="auto"/>
        <w:ind w:left="714" w:hanging="357"/>
        <w:jc w:val="both"/>
      </w:pPr>
      <w:r w:rsidRPr="0087489C">
        <w:rPr>
          <w:bCs/>
        </w:rPr>
        <w:t>je obsiahnutý v judikatúre Súdneho dvora Európskej únie, a to v:</w:t>
      </w:r>
    </w:p>
    <w:p w14:paraId="4887544B" w14:textId="77777777" w:rsidR="0005077C" w:rsidRPr="0087489C" w:rsidRDefault="0005077C" w:rsidP="0005077C">
      <w:pPr>
        <w:pStyle w:val="Odsekzoznamu"/>
        <w:numPr>
          <w:ilvl w:val="0"/>
          <w:numId w:val="5"/>
        </w:numPr>
        <w:suppressAutoHyphens w:val="0"/>
        <w:spacing w:before="120" w:line="276" w:lineRule="auto"/>
        <w:jc w:val="both"/>
        <w:rPr>
          <w:lang w:eastAsia="en-US"/>
        </w:rPr>
      </w:pPr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rozsudku Súdneho dvora vo veci C-32/13 Petra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Würker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proti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Familienkasse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Nürnberg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 </w:t>
      </w:r>
      <w:r w:rsidRPr="0087489C">
        <w:t>[2014] (vznik nároku na rodinné prídavky),</w:t>
      </w:r>
    </w:p>
    <w:p w14:paraId="0AB9ABA6" w14:textId="77777777" w:rsidR="0005077C" w:rsidRPr="0087489C" w:rsidRDefault="0005077C" w:rsidP="0005077C">
      <w:pPr>
        <w:pStyle w:val="Odsekzoznamu"/>
        <w:numPr>
          <w:ilvl w:val="0"/>
          <w:numId w:val="5"/>
        </w:numPr>
        <w:suppressAutoHyphens w:val="0"/>
        <w:spacing w:before="120" w:line="276" w:lineRule="auto"/>
        <w:jc w:val="both"/>
        <w:rPr>
          <w:lang w:eastAsia="en-US"/>
        </w:rPr>
      </w:pPr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rozsudku Súdneho dvora vo veci C-333/13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Elisabeta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Dano a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Florin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Dano proti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Jobcenter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Leipzig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87489C">
        <w:t>[2014] (osobitné nepríspevkové peňažné dávky),</w:t>
      </w:r>
    </w:p>
    <w:p w14:paraId="0FFAB016" w14:textId="77777777" w:rsidR="0005077C" w:rsidRPr="0087489C" w:rsidRDefault="0005077C" w:rsidP="0005077C">
      <w:pPr>
        <w:pStyle w:val="Odsekzoznamu"/>
        <w:numPr>
          <w:ilvl w:val="0"/>
          <w:numId w:val="5"/>
        </w:numPr>
        <w:suppressAutoHyphens w:val="0"/>
        <w:spacing w:before="120" w:line="276" w:lineRule="auto"/>
        <w:jc w:val="both"/>
        <w:rPr>
          <w:lang w:eastAsia="en-US"/>
        </w:rPr>
      </w:pPr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rozsudku Súdneho dvora vo veci C-378/14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Bundesagentur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für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Arbeit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–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Familienkasse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Sachsen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proti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Tomislawovi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proofErr w:type="spellStart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>Trapkowskému</w:t>
      </w:r>
      <w:proofErr w:type="spellEnd"/>
      <w:r w:rsidRPr="0087489C">
        <w:rPr>
          <w:bCs/>
          <w:bdr w:val="none" w:sz="0" w:space="0" w:color="auto" w:frame="1"/>
          <w:shd w:val="clear" w:color="auto" w:fill="FFFFFF"/>
          <w:lang w:eastAsia="en-US"/>
        </w:rPr>
        <w:t xml:space="preserve"> </w:t>
      </w:r>
      <w:r w:rsidRPr="0087489C">
        <w:t>[2015] (priznanie nároku na rodinné dávky).</w:t>
      </w:r>
    </w:p>
    <w:p w14:paraId="1F41F8FC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  <w:r w:rsidRPr="0087489C">
        <w:rPr>
          <w:b/>
          <w:bCs/>
        </w:rPr>
        <w:t>4. Záväzky Slovenskej republiky vo vzťahu k Európskej únii:</w:t>
      </w:r>
    </w:p>
    <w:p w14:paraId="40F9AFD7" w14:textId="77777777" w:rsidR="0005077C" w:rsidRPr="0087489C" w:rsidRDefault="0005077C" w:rsidP="0005077C">
      <w:pPr>
        <w:numPr>
          <w:ilvl w:val="0"/>
          <w:numId w:val="3"/>
        </w:numPr>
        <w:suppressAutoHyphens w:val="0"/>
        <w:spacing w:before="120" w:line="276" w:lineRule="auto"/>
        <w:jc w:val="both"/>
      </w:pPr>
      <w:r w:rsidRPr="0087489C">
        <w:t>bezpredmetné,</w:t>
      </w:r>
    </w:p>
    <w:p w14:paraId="45DBB235" w14:textId="77777777" w:rsidR="0005077C" w:rsidRPr="0087489C" w:rsidRDefault="0005077C" w:rsidP="0005077C">
      <w:pPr>
        <w:numPr>
          <w:ilvl w:val="0"/>
          <w:numId w:val="3"/>
        </w:numPr>
        <w:suppressAutoHyphens w:val="0"/>
        <w:spacing w:before="120" w:line="276" w:lineRule="auto"/>
        <w:jc w:val="both"/>
      </w:pPr>
      <w:r w:rsidRPr="0087489C">
        <w:t>v danej oblasti nebol proti Slovenskej republike začatý postup Európskej komisie a ani konanie Súdneho dvora Európskej únie,</w:t>
      </w:r>
    </w:p>
    <w:p w14:paraId="185072B3" w14:textId="77777777" w:rsidR="0005077C" w:rsidRPr="0087489C" w:rsidRDefault="0005077C" w:rsidP="0005077C">
      <w:pPr>
        <w:pStyle w:val="Vchodzie"/>
        <w:numPr>
          <w:ilvl w:val="0"/>
          <w:numId w:val="3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spacing w:before="120" w:line="276" w:lineRule="auto"/>
        <w:jc w:val="both"/>
      </w:pPr>
      <w:r w:rsidRPr="0087489C">
        <w:t>bezpredmetné.</w:t>
      </w:r>
    </w:p>
    <w:p w14:paraId="614CEF87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  <w:r w:rsidRPr="0087489C">
        <w:rPr>
          <w:b/>
          <w:bCs/>
        </w:rPr>
        <w:t>5. </w:t>
      </w:r>
      <w:r w:rsidRPr="0087489C">
        <w:rPr>
          <w:b/>
          <w:color w:val="000000"/>
        </w:rPr>
        <w:t>Stupeň zlučiteľnosti návrhu zákona s právom Európskej únie</w:t>
      </w:r>
      <w:r w:rsidRPr="0087489C">
        <w:rPr>
          <w:b/>
          <w:bCs/>
        </w:rPr>
        <w:t>:</w:t>
      </w:r>
    </w:p>
    <w:p w14:paraId="5F8DF837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  <w:caps/>
          <w:spacing w:val="30"/>
        </w:rPr>
      </w:pPr>
      <w:r w:rsidRPr="0087489C">
        <w:t xml:space="preserve">- </w:t>
      </w:r>
      <w:r w:rsidRPr="0087489C">
        <w:tab/>
        <w:t>úplný.</w:t>
      </w:r>
    </w:p>
    <w:p w14:paraId="64783E94" w14:textId="77777777" w:rsidR="0005077C" w:rsidRPr="0087489C" w:rsidRDefault="0005077C" w:rsidP="0005077C">
      <w:pPr>
        <w:pStyle w:val="Normlnywebov"/>
        <w:pageBreakBefore/>
        <w:spacing w:before="120" w:after="0" w:line="276" w:lineRule="auto"/>
        <w:jc w:val="center"/>
        <w:rPr>
          <w:b/>
          <w:bCs/>
        </w:rPr>
      </w:pPr>
      <w:r w:rsidRPr="0087489C">
        <w:rPr>
          <w:b/>
          <w:bCs/>
          <w:caps/>
          <w:spacing w:val="30"/>
        </w:rPr>
        <w:lastRenderedPageBreak/>
        <w:t>Doložka</w:t>
      </w:r>
    </w:p>
    <w:p w14:paraId="7405A37B" w14:textId="77777777" w:rsidR="0005077C" w:rsidRPr="0087489C" w:rsidRDefault="0005077C" w:rsidP="0005077C">
      <w:pPr>
        <w:pStyle w:val="Normlnywebov"/>
        <w:spacing w:before="120" w:after="0" w:line="276" w:lineRule="auto"/>
        <w:jc w:val="center"/>
      </w:pPr>
      <w:r w:rsidRPr="0087489C">
        <w:rPr>
          <w:b/>
          <w:bCs/>
        </w:rPr>
        <w:t>vybraných vplyvov</w:t>
      </w:r>
    </w:p>
    <w:p w14:paraId="175D9F38" w14:textId="77777777" w:rsidR="0005077C" w:rsidRPr="0087489C" w:rsidRDefault="0005077C" w:rsidP="0005077C">
      <w:pPr>
        <w:pStyle w:val="Normlnywebov"/>
        <w:spacing w:before="120" w:after="0" w:line="276" w:lineRule="auto"/>
        <w:rPr>
          <w:b/>
          <w:bCs/>
        </w:rPr>
      </w:pPr>
      <w:r w:rsidRPr="0087489C">
        <w:t> </w:t>
      </w:r>
    </w:p>
    <w:p w14:paraId="7DB1F2CB" w14:textId="77777777" w:rsidR="0005077C" w:rsidRPr="0087489C" w:rsidRDefault="0005077C" w:rsidP="0005077C">
      <w:pPr>
        <w:spacing w:before="120" w:line="276" w:lineRule="auto"/>
        <w:jc w:val="both"/>
      </w:pPr>
      <w:r w:rsidRPr="0087489C">
        <w:rPr>
          <w:b/>
          <w:bCs/>
        </w:rPr>
        <w:t xml:space="preserve">A.1. Názov materiálu: </w:t>
      </w:r>
      <w:r w:rsidRPr="0087489C">
        <w:t xml:space="preserve">návrh zákona, </w:t>
      </w:r>
      <w:r w:rsidRPr="0087489C">
        <w:rPr>
          <w:color w:val="000000"/>
        </w:rPr>
        <w:t>ktorým sa mení a dopĺňa zákon Slovenskej národnej rady č. 73/1986 Zb. o umelom prerušení tehotenstva v znení neskorších predpisov a ktorým sa menia a dopĺňajú niektoré zákony</w:t>
      </w:r>
    </w:p>
    <w:p w14:paraId="2EBC5294" w14:textId="77777777" w:rsidR="0005077C" w:rsidRPr="0087489C" w:rsidRDefault="0005077C" w:rsidP="0005077C">
      <w:pPr>
        <w:spacing w:before="120" w:line="276" w:lineRule="auto"/>
        <w:jc w:val="both"/>
      </w:pPr>
    </w:p>
    <w:p w14:paraId="09B8C2EC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  <w:r w:rsidRPr="0087489C">
        <w:rPr>
          <w:b/>
          <w:bCs/>
        </w:rPr>
        <w:t>Termín začatia a ukončenia PPK:</w:t>
      </w:r>
      <w:r w:rsidRPr="0087489C">
        <w:t xml:space="preserve"> </w:t>
      </w:r>
      <w:r w:rsidRPr="0087489C">
        <w:rPr>
          <w:i/>
          <w:iCs/>
        </w:rPr>
        <w:t>bezpredmetné</w:t>
      </w:r>
    </w:p>
    <w:p w14:paraId="101A9255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666C7C00" w14:textId="77777777" w:rsidR="0005077C" w:rsidRPr="0087489C" w:rsidRDefault="0005077C" w:rsidP="0005077C">
      <w:pPr>
        <w:pStyle w:val="Normlnywebov"/>
        <w:spacing w:before="120" w:after="0" w:line="276" w:lineRule="auto"/>
        <w:jc w:val="both"/>
      </w:pPr>
      <w:r w:rsidRPr="0087489C">
        <w:rPr>
          <w:b/>
          <w:bCs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05077C" w:rsidRPr="0087489C" w14:paraId="458E393C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E03E2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7E6EA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29BE9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431FA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Negatívne </w:t>
            </w:r>
          </w:p>
        </w:tc>
      </w:tr>
      <w:tr w:rsidR="0005077C" w:rsidRPr="0087489C" w14:paraId="27C15F2F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367E8C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1B333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48C8F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12C69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5077C" w:rsidRPr="0087489C" w14:paraId="4937F8BC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D59E7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EC5DD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998C0C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E7D41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5077C" w:rsidRPr="0087489C" w14:paraId="6BAF1D54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2123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59F136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8798FD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4C965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5077C" w:rsidRPr="0087489C" w14:paraId="1231154E" w14:textId="77777777" w:rsidTr="0088110A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050BA3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C4A40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95183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190DBF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5077C" w:rsidRPr="0087489C" w14:paraId="0B105348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B1EAB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 xml:space="preserve">– sociálnu </w:t>
            </w:r>
            <w:proofErr w:type="spellStart"/>
            <w:r w:rsidRPr="0087489C">
              <w:t>exklúziu</w:t>
            </w:r>
            <w:proofErr w:type="spellEnd"/>
            <w:r w:rsidRPr="0087489C">
              <w:t>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4249E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D9877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6EF742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</w:tr>
      <w:tr w:rsidR="0005077C" w:rsidRPr="0087489C" w14:paraId="33425A5E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79C65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177AC1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CEA18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D8C75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</w:t>
            </w:r>
          </w:p>
        </w:tc>
      </w:tr>
      <w:tr w:rsidR="0005077C" w:rsidRPr="0087489C" w14:paraId="7B4EE2D9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91975A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680AF2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8C90B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590C1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</w:t>
            </w:r>
          </w:p>
        </w:tc>
      </w:tr>
      <w:tr w:rsidR="0005077C" w:rsidRPr="0087489C" w14:paraId="191C39B5" w14:textId="77777777" w:rsidTr="0088110A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19B84" w14:textId="77777777" w:rsidR="0005077C" w:rsidRPr="0087489C" w:rsidRDefault="0005077C" w:rsidP="0088110A">
            <w:pPr>
              <w:pStyle w:val="Normlnywebov"/>
              <w:spacing w:before="120" w:after="0" w:line="276" w:lineRule="auto"/>
            </w:pPr>
            <w:r w:rsidRPr="0087489C"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7D405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x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D9F14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CA540" w14:textId="77777777" w:rsidR="0005077C" w:rsidRPr="0087489C" w:rsidRDefault="0005077C" w:rsidP="0088110A">
            <w:pPr>
              <w:pStyle w:val="Normlnywebov"/>
              <w:spacing w:before="120" w:after="0" w:line="276" w:lineRule="auto"/>
              <w:jc w:val="center"/>
            </w:pPr>
            <w:r w:rsidRPr="0087489C">
              <w:t> </w:t>
            </w:r>
          </w:p>
        </w:tc>
      </w:tr>
    </w:tbl>
    <w:p w14:paraId="6ADE83BB" w14:textId="77777777" w:rsidR="0005077C" w:rsidRPr="0087489C" w:rsidRDefault="0005077C" w:rsidP="0005077C">
      <w:pPr>
        <w:pStyle w:val="Normlnywebov"/>
        <w:spacing w:before="120" w:after="0" w:line="276" w:lineRule="auto"/>
        <w:rPr>
          <w:b/>
          <w:bCs/>
        </w:rPr>
      </w:pPr>
      <w:r w:rsidRPr="0087489C">
        <w:t> </w:t>
      </w:r>
    </w:p>
    <w:p w14:paraId="757098DD" w14:textId="77777777" w:rsidR="0005077C" w:rsidRPr="0087489C" w:rsidRDefault="0005077C" w:rsidP="0005077C">
      <w:pPr>
        <w:pStyle w:val="Normlnywebov"/>
        <w:spacing w:before="120" w:after="0" w:line="276" w:lineRule="auto"/>
        <w:rPr>
          <w:i/>
        </w:rPr>
      </w:pPr>
      <w:r w:rsidRPr="0087489C">
        <w:rPr>
          <w:b/>
          <w:bCs/>
        </w:rPr>
        <w:t>A.3. Poznámky</w:t>
      </w:r>
    </w:p>
    <w:p w14:paraId="7BA540E8" w14:textId="77777777" w:rsidR="0005077C" w:rsidRPr="0087489C" w:rsidRDefault="0005077C" w:rsidP="0005077C">
      <w:pPr>
        <w:pStyle w:val="Normlnywebov"/>
        <w:spacing w:before="120" w:after="0" w:line="276" w:lineRule="auto"/>
        <w:ind w:firstLine="708"/>
        <w:jc w:val="both"/>
        <w:rPr>
          <w:i/>
        </w:rPr>
      </w:pPr>
      <w:r w:rsidRPr="0087489C">
        <w:rPr>
          <w:i/>
        </w:rPr>
        <w:t xml:space="preserve">Vplyv návrhu zákona na rozpočet verejnej správy je pozitívny, pretože sa vyňal zdravotný dôvod – počatie po 40. roku veku – ako zdravotný dôvod, ktorého výkon je hradený z verejného zdravotného poistenia. Priznanie nemocenského ako dávky sociálneho poistenia ženám, ktoré požiadali o utajenie svojej osoby v súvislosti s pôrodom, nepovažujeme za opatrenie, ktoré by malo vplyv na rozpočet verejnej správy, pretože (i) nemocenské môžu poberať aj iné ženy počas rizikovej gravidity, a (ii) poberaním nemocenského (v nižšej sume) a nepoberaním materského (vo vyššej sume) dochádza k hypotetickej kompenzácii výdavkov verejnej správy. Navyše, počet prípadov, keď sa žena rozhodne o utajenie svojho pôrodu, je zanedbateľný. Napriek tomu, ak by predsa len k určitým negatívnym dopadom na výdavkovej strane rozpočtu verejnej správy došlo (čo nie je možné presne vyčísliť), tieto navrhujeme </w:t>
      </w:r>
      <w:r w:rsidRPr="0087489C">
        <w:rPr>
          <w:i/>
          <w:iCs/>
        </w:rPr>
        <w:t>na aktuálny rozpočtový rok, ako aj ďalšie rozpočtové roky</w:t>
      </w:r>
      <w:r w:rsidRPr="0087489C">
        <w:rPr>
          <w:i/>
        </w:rPr>
        <w:t xml:space="preserve"> financovať z rozpočtovej kapitoly Všeobecná pokladničná správa, kde je vyčlenených 2 mld. eur na bližšie nešpecifikované účely.</w:t>
      </w:r>
    </w:p>
    <w:p w14:paraId="0DB7F068" w14:textId="77777777" w:rsidR="0005077C" w:rsidRPr="0087489C" w:rsidRDefault="0005077C" w:rsidP="0005077C">
      <w:pPr>
        <w:pStyle w:val="Normlnywebov"/>
        <w:spacing w:before="120" w:after="0" w:line="276" w:lineRule="auto"/>
        <w:ind w:firstLine="708"/>
        <w:jc w:val="both"/>
        <w:rPr>
          <w:i/>
        </w:rPr>
      </w:pPr>
      <w:r w:rsidRPr="0087489C">
        <w:rPr>
          <w:i/>
        </w:rPr>
        <w:lastRenderedPageBreak/>
        <w:t xml:space="preserve">Návrh zákona vyvoláva pozitívne sociálne vplyvy, najmä čo sa týka vplyvu na hospodárenie obyvateľstva, keďže cieľom návrhu zákona je poskytnúť poistenkyni – tehotnej žene, ktorá sa rozhodla o utajenie svojej osoby v súvislosti s pôrodom, nemocenské, a to od ukončenia 21. týždňa tehotenstva až do 2. týždňa po pôrode. Táto dávka vytvára žene priestor pre donosenie dieťaťa za súčasného zabezpečenia náhrady príjmu. </w:t>
      </w:r>
    </w:p>
    <w:p w14:paraId="648E7D73" w14:textId="77777777" w:rsidR="0005077C" w:rsidRPr="0087489C" w:rsidRDefault="0005077C" w:rsidP="0005077C">
      <w:pPr>
        <w:pStyle w:val="Normlnywebov"/>
        <w:spacing w:before="120" w:after="0" w:line="276" w:lineRule="auto"/>
        <w:ind w:firstLine="708"/>
        <w:jc w:val="both"/>
        <w:rPr>
          <w:i/>
        </w:rPr>
      </w:pPr>
      <w:r w:rsidRPr="0087489C">
        <w:rPr>
          <w:i/>
        </w:rPr>
        <w:t>Pozitívny vplyv na informatizáciu spoločnosti sa predpokladá v dôsledku zavedenia povinnosti elektronického vedenia prehľadu detí, ktorým treba zabezpečiť náhradnú rodinnú starostlivosť a aj elektronickej komunikácie medzi určenými orgánmi sociálnoprávnej ochrany detí a sociálnej kurately.</w:t>
      </w:r>
    </w:p>
    <w:p w14:paraId="496FA368" w14:textId="77777777" w:rsidR="0005077C" w:rsidRPr="0087489C" w:rsidRDefault="0005077C" w:rsidP="0005077C">
      <w:pPr>
        <w:pStyle w:val="Normlnywebov"/>
        <w:spacing w:before="120" w:after="0" w:line="276" w:lineRule="auto"/>
        <w:ind w:firstLine="708"/>
        <w:jc w:val="both"/>
        <w:rPr>
          <w:b/>
          <w:bCs/>
        </w:rPr>
      </w:pPr>
      <w:r w:rsidRPr="0087489C">
        <w:rPr>
          <w:i/>
        </w:rPr>
        <w:t>Nepredpokladá sa dopad návrhu zákona na podnikateľské prostredie ani na životné prostredie.</w:t>
      </w:r>
    </w:p>
    <w:p w14:paraId="5ADCA592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5DC8B53E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i/>
          <w:iCs/>
        </w:rPr>
      </w:pPr>
      <w:r w:rsidRPr="0087489C">
        <w:rPr>
          <w:b/>
          <w:bCs/>
        </w:rPr>
        <w:t>A.4. Alternatívne riešenia</w:t>
      </w:r>
    </w:p>
    <w:p w14:paraId="77DDF83E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  <w:r w:rsidRPr="0087489C">
        <w:rPr>
          <w:i/>
          <w:iCs/>
        </w:rPr>
        <w:t>bezpredmetné</w:t>
      </w:r>
    </w:p>
    <w:p w14:paraId="198951DF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b/>
          <w:bCs/>
        </w:rPr>
      </w:pPr>
    </w:p>
    <w:p w14:paraId="4416887E" w14:textId="77777777" w:rsidR="0005077C" w:rsidRPr="0087489C" w:rsidRDefault="0005077C" w:rsidP="0005077C">
      <w:pPr>
        <w:pStyle w:val="Normlnywebov"/>
        <w:spacing w:before="120" w:after="0" w:line="276" w:lineRule="auto"/>
        <w:jc w:val="both"/>
        <w:rPr>
          <w:i/>
          <w:iCs/>
        </w:rPr>
      </w:pPr>
      <w:r w:rsidRPr="0087489C">
        <w:rPr>
          <w:b/>
          <w:bCs/>
        </w:rPr>
        <w:t>A.5. Stanovisko gestorov</w:t>
      </w:r>
    </w:p>
    <w:p w14:paraId="2F7F1142" w14:textId="4C0BD024" w:rsidR="0005077C" w:rsidRPr="0087489C" w:rsidRDefault="0005077C" w:rsidP="0005077C">
      <w:pPr>
        <w:pStyle w:val="Normlnywebov"/>
        <w:spacing w:before="120" w:after="0" w:line="276" w:lineRule="auto"/>
        <w:jc w:val="both"/>
      </w:pPr>
      <w:r w:rsidRPr="0087489C">
        <w:rPr>
          <w:i/>
          <w:iCs/>
        </w:rPr>
        <w:t>Návrh zákona bol zaslaný na vyjadrenie Ministerstvu financií SR</w:t>
      </w:r>
      <w:r w:rsidR="00AA63CD" w:rsidRPr="0087489C">
        <w:rPr>
          <w:i/>
          <w:iCs/>
        </w:rPr>
        <w:t>.</w:t>
      </w:r>
    </w:p>
    <w:p w14:paraId="38C5CF65" w14:textId="77777777" w:rsidR="00F86762" w:rsidRPr="0087489C" w:rsidRDefault="00F86762"/>
    <w:sectPr w:rsidR="00F86762" w:rsidRPr="008748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FE7FF" w14:textId="77777777" w:rsidR="006833CF" w:rsidRDefault="006833CF">
      <w:r>
        <w:separator/>
      </w:r>
    </w:p>
  </w:endnote>
  <w:endnote w:type="continuationSeparator" w:id="0">
    <w:p w14:paraId="226DF514" w14:textId="77777777" w:rsidR="006833CF" w:rsidRDefault="0068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416BE87C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48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416BE87C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748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6833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915CD" w14:textId="77777777" w:rsidR="006833CF" w:rsidRDefault="006833CF">
      <w:r>
        <w:separator/>
      </w:r>
    </w:p>
  </w:footnote>
  <w:footnote w:type="continuationSeparator" w:id="0">
    <w:p w14:paraId="62FE655D" w14:textId="77777777" w:rsidR="006833CF" w:rsidRDefault="00683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B097" w14:textId="77777777" w:rsidR="00D40371" w:rsidRDefault="006833C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E"/>
    <w:rsid w:val="0005077C"/>
    <w:rsid w:val="00116093"/>
    <w:rsid w:val="00667D56"/>
    <w:rsid w:val="006833CF"/>
    <w:rsid w:val="006F4512"/>
    <w:rsid w:val="0072362E"/>
    <w:rsid w:val="007D04C1"/>
    <w:rsid w:val="0087489C"/>
    <w:rsid w:val="00AA63CD"/>
    <w:rsid w:val="00AB47DE"/>
    <w:rsid w:val="00AE6E23"/>
    <w:rsid w:val="00BE5573"/>
    <w:rsid w:val="00E678D7"/>
    <w:rsid w:val="00F86762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6</cp:revision>
  <dcterms:created xsi:type="dcterms:W3CDTF">2020-06-15T20:20:00Z</dcterms:created>
  <dcterms:modified xsi:type="dcterms:W3CDTF">2020-06-15T20:31:00Z</dcterms:modified>
</cp:coreProperties>
</file>