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A1" w:rsidRPr="007F0AB4" w:rsidRDefault="003501A1" w:rsidP="003501A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7F0AB4">
        <w:rPr>
          <w:b/>
          <w:bCs/>
          <w:sz w:val="28"/>
          <w:szCs w:val="28"/>
        </w:rPr>
        <w:t>Doložka vybraných vplyvov</w:t>
      </w:r>
    </w:p>
    <w:p w:rsidR="003501A1" w:rsidRPr="0073005A" w:rsidRDefault="003501A1" w:rsidP="003501A1">
      <w:pPr>
        <w:pStyle w:val="Odsekzoznamu"/>
        <w:ind w:left="426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73005A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Základné údaje</w:t>
            </w: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1961DF">
            <w:pPr>
              <w:pStyle w:val="Odsekzoznamu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Názov materiálu</w:t>
            </w: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</w:tcBorders>
          </w:tcPr>
          <w:p w:rsidR="00CA6952" w:rsidRPr="00CA6952" w:rsidRDefault="00CA6952" w:rsidP="00CA6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Návrh zákona, </w:t>
            </w:r>
            <w:r w:rsidRPr="00CA6952">
              <w:rPr>
                <w:sz w:val="24"/>
                <w:szCs w:val="24"/>
              </w:rPr>
              <w:t>ktorým sa mení a dopĺňa zákon č. 67/2020 Z. z. o niektorých mimoriadnych opatreniach vo finančnej oblasti v súvislosti so šírením nebezpečnej nákazlivej ľudskej choroby COVID-19 v znení neskorších predpisov</w:t>
            </w:r>
          </w:p>
          <w:p w:rsidR="0018554B" w:rsidRPr="0073005A" w:rsidRDefault="0018554B" w:rsidP="001961DF">
            <w:pPr>
              <w:rPr>
                <w:sz w:val="24"/>
                <w:szCs w:val="24"/>
              </w:rPr>
            </w:pP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1961DF">
            <w:pPr>
              <w:pStyle w:val="Odsekzoznamu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Predkladateľ (a spolupredkladateľ)</w:t>
            </w: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:rsidR="003501A1" w:rsidRPr="0073005A" w:rsidRDefault="003F4D41" w:rsidP="001961DF">
            <w:pPr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>Ministerstvo financií Slovenskej republiky</w:t>
            </w:r>
          </w:p>
          <w:p w:rsidR="003501A1" w:rsidRPr="0073005A" w:rsidRDefault="003501A1" w:rsidP="001961DF">
            <w:pPr>
              <w:rPr>
                <w:sz w:val="24"/>
                <w:szCs w:val="24"/>
              </w:rPr>
            </w:pPr>
          </w:p>
        </w:tc>
      </w:tr>
      <w:tr w:rsidR="003501A1" w:rsidRPr="0073005A" w:rsidTr="004F6F1F">
        <w:tc>
          <w:tcPr>
            <w:tcW w:w="4212" w:type="dxa"/>
            <w:gridSpan w:val="2"/>
            <w:vMerge w:val="restart"/>
            <w:tcBorders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73005A" w:rsidRDefault="003501A1" w:rsidP="001961DF">
            <w:pPr>
              <w:pStyle w:val="Odsekzoznamu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 w:themeFill="background1"/>
          </w:tcPr>
          <w:p w:rsidR="003501A1" w:rsidRPr="0073005A" w:rsidRDefault="003501A1" w:rsidP="001961DF">
            <w:pPr>
              <w:jc w:val="center"/>
              <w:rPr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 w:themeFill="background1"/>
          </w:tcPr>
          <w:p w:rsidR="003501A1" w:rsidRPr="0073005A" w:rsidRDefault="003501A1" w:rsidP="001961DF">
            <w:pPr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>Materiál nelegislatívnej povahy</w:t>
            </w:r>
          </w:p>
        </w:tc>
      </w:tr>
      <w:tr w:rsidR="003501A1" w:rsidRPr="0073005A" w:rsidTr="004F6F1F">
        <w:tc>
          <w:tcPr>
            <w:tcW w:w="4212" w:type="dxa"/>
            <w:gridSpan w:val="2"/>
            <w:vMerge/>
            <w:tcBorders>
              <w:top w:val="nil"/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1961DF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 w:themeFill="background1"/>
          </w:tcPr>
          <w:p w:rsidR="003501A1" w:rsidRPr="0073005A" w:rsidRDefault="003F4D41" w:rsidP="001961DF">
            <w:pPr>
              <w:jc w:val="center"/>
              <w:rPr>
                <w:sz w:val="24"/>
                <w:szCs w:val="24"/>
              </w:rPr>
            </w:pPr>
            <w:r w:rsidRPr="0073005A">
              <w:rPr>
                <w:rFonts w:ascii="Segoe UI Symbol" w:eastAsia="MS Gothic" w:hAnsi="Segoe UI Symbol" w:cs="Segoe UI Symbol"/>
                <w:sz w:val="24"/>
                <w:szCs w:val="24"/>
              </w:rPr>
              <w:t>☒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 w:themeFill="background1"/>
          </w:tcPr>
          <w:p w:rsidR="003501A1" w:rsidRPr="0073005A" w:rsidRDefault="003501A1" w:rsidP="001961DF">
            <w:pPr>
              <w:ind w:left="175" w:hanging="175"/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>Materiál legislatívnej povahy</w:t>
            </w:r>
          </w:p>
        </w:tc>
      </w:tr>
      <w:tr w:rsidR="003501A1" w:rsidRPr="0073005A" w:rsidTr="004F6F1F">
        <w:tc>
          <w:tcPr>
            <w:tcW w:w="4212" w:type="dxa"/>
            <w:gridSpan w:val="2"/>
            <w:vMerge/>
            <w:tcBorders>
              <w:top w:val="nil"/>
            </w:tcBorders>
            <w:shd w:val="clear" w:color="auto" w:fill="E2E2E2"/>
          </w:tcPr>
          <w:p w:rsidR="003501A1" w:rsidRPr="0073005A" w:rsidRDefault="003501A1" w:rsidP="001961DF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 w:themeFill="background1"/>
          </w:tcPr>
          <w:p w:rsidR="003501A1" w:rsidRPr="0073005A" w:rsidRDefault="003501A1" w:rsidP="001961DF">
            <w:pPr>
              <w:jc w:val="center"/>
              <w:rPr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 w:themeFill="background1"/>
          </w:tcPr>
          <w:p w:rsidR="003501A1" w:rsidRPr="0073005A" w:rsidRDefault="003501A1" w:rsidP="001961DF">
            <w:pPr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>Transpozícia práva EÚ</w:t>
            </w: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73005A" w:rsidRDefault="003501A1" w:rsidP="001961DF">
            <w:pPr>
              <w:rPr>
                <w:i/>
                <w:sz w:val="24"/>
                <w:szCs w:val="24"/>
              </w:rPr>
            </w:pPr>
            <w:r w:rsidRPr="0073005A">
              <w:rPr>
                <w:i/>
                <w:sz w:val="24"/>
                <w:szCs w:val="24"/>
              </w:rPr>
              <w:t>V prípade transpozície uveďte zoznam transponovaných predpisov:</w:t>
            </w:r>
          </w:p>
          <w:p w:rsidR="003501A1" w:rsidRPr="0073005A" w:rsidRDefault="003501A1" w:rsidP="001961DF">
            <w:pPr>
              <w:rPr>
                <w:sz w:val="24"/>
                <w:szCs w:val="24"/>
              </w:rPr>
            </w:pPr>
          </w:p>
          <w:p w:rsidR="003501A1" w:rsidRPr="0073005A" w:rsidRDefault="003501A1" w:rsidP="001961DF">
            <w:pPr>
              <w:rPr>
                <w:sz w:val="24"/>
                <w:szCs w:val="24"/>
              </w:rPr>
            </w:pPr>
          </w:p>
        </w:tc>
      </w:tr>
      <w:tr w:rsidR="003501A1" w:rsidRPr="0073005A" w:rsidTr="004F6F1F">
        <w:tc>
          <w:tcPr>
            <w:tcW w:w="5634" w:type="dxa"/>
            <w:gridSpan w:val="5"/>
            <w:tcBorders>
              <w:top w:val="single" w:sz="4" w:space="0" w:color="000000" w:themeColor="text1"/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1961DF">
            <w:pPr>
              <w:pStyle w:val="Odsekzoznamu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</w:tcBorders>
          </w:tcPr>
          <w:p w:rsidR="003501A1" w:rsidRPr="0073005A" w:rsidRDefault="003501A1" w:rsidP="001961DF">
            <w:pPr>
              <w:rPr>
                <w:i/>
                <w:sz w:val="24"/>
                <w:szCs w:val="24"/>
              </w:rPr>
            </w:pPr>
          </w:p>
        </w:tc>
      </w:tr>
      <w:tr w:rsidR="003501A1" w:rsidRPr="0073005A" w:rsidTr="004F6F1F">
        <w:tc>
          <w:tcPr>
            <w:tcW w:w="5634" w:type="dxa"/>
            <w:gridSpan w:val="5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1961DF">
            <w:pPr>
              <w:pStyle w:val="Odsekzoznamu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Predpokladaný termín predloženia na MPK</w:t>
            </w:r>
            <w:r w:rsidR="00F62771" w:rsidRPr="0073005A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3546" w:type="dxa"/>
            <w:gridSpan w:val="5"/>
          </w:tcPr>
          <w:p w:rsidR="003501A1" w:rsidRPr="0073005A" w:rsidRDefault="003501A1" w:rsidP="001961DF">
            <w:pPr>
              <w:rPr>
                <w:i/>
                <w:sz w:val="24"/>
                <w:szCs w:val="24"/>
              </w:rPr>
            </w:pPr>
          </w:p>
        </w:tc>
      </w:tr>
      <w:tr w:rsidR="003501A1" w:rsidRPr="0073005A" w:rsidTr="004F6F1F">
        <w:tc>
          <w:tcPr>
            <w:tcW w:w="5634" w:type="dxa"/>
            <w:gridSpan w:val="5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1961DF">
            <w:pPr>
              <w:pStyle w:val="Odsekzoznamu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Predpokladaný termín predloženia na Rokovanie vlády SR</w:t>
            </w:r>
            <w:r w:rsidR="00F62771" w:rsidRPr="0073005A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3546" w:type="dxa"/>
            <w:gridSpan w:val="5"/>
          </w:tcPr>
          <w:p w:rsidR="003501A1" w:rsidRPr="0073005A" w:rsidRDefault="003501A1" w:rsidP="001961DF">
            <w:pPr>
              <w:rPr>
                <w:i/>
                <w:sz w:val="24"/>
                <w:szCs w:val="24"/>
              </w:rPr>
            </w:pP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left w:val="nil"/>
              <w:right w:val="nil"/>
            </w:tcBorders>
            <w:shd w:val="clear" w:color="auto" w:fill="FFFFFF" w:themeFill="background1"/>
          </w:tcPr>
          <w:p w:rsidR="003501A1" w:rsidRPr="0073005A" w:rsidRDefault="003501A1" w:rsidP="001961DF">
            <w:pPr>
              <w:rPr>
                <w:sz w:val="24"/>
                <w:szCs w:val="24"/>
              </w:rPr>
            </w:pP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Defin</w:t>
            </w:r>
            <w:r w:rsidR="00AC2477" w:rsidRPr="0073005A">
              <w:rPr>
                <w:rFonts w:ascii="Times New Roman" w:hAnsi="Times New Roman"/>
                <w:b/>
                <w:sz w:val="24"/>
                <w:szCs w:val="24"/>
              </w:rPr>
              <w:t>ovanie</w:t>
            </w: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 xml:space="preserve"> problému</w:t>
            </w:r>
          </w:p>
        </w:tc>
      </w:tr>
      <w:tr w:rsidR="003501A1" w:rsidRPr="0073005A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:rsidR="00065A44" w:rsidRPr="00065A44" w:rsidRDefault="00065A44" w:rsidP="00065A44">
            <w:pPr>
              <w:jc w:val="both"/>
              <w:rPr>
                <w:i/>
                <w:sz w:val="24"/>
                <w:szCs w:val="24"/>
              </w:rPr>
            </w:pPr>
            <w:r w:rsidRPr="00065A44">
              <w:rPr>
                <w:i/>
                <w:sz w:val="24"/>
                <w:szCs w:val="24"/>
              </w:rPr>
              <w:t xml:space="preserve">Prevádzkovatelia </w:t>
            </w:r>
            <w:r w:rsidR="00E507F7">
              <w:rPr>
                <w:i/>
                <w:sz w:val="24"/>
                <w:szCs w:val="24"/>
              </w:rPr>
              <w:t>určitých druhov</w:t>
            </w:r>
            <w:r w:rsidRPr="00065A44">
              <w:rPr>
                <w:i/>
                <w:sz w:val="24"/>
                <w:szCs w:val="24"/>
              </w:rPr>
              <w:t xml:space="preserve"> hazardných hier uhrádzajú paušálne odvody, ktoré sa </w:t>
            </w:r>
            <w:r w:rsidR="00E507F7">
              <w:rPr>
                <w:i/>
                <w:sz w:val="24"/>
                <w:szCs w:val="24"/>
              </w:rPr>
              <w:t>platia</w:t>
            </w:r>
            <w:r w:rsidRPr="00065A44">
              <w:rPr>
                <w:i/>
                <w:sz w:val="24"/>
                <w:szCs w:val="24"/>
              </w:rPr>
              <w:t xml:space="preserve"> bez ohľadu na výšku vkladov do hry a dosiahnutia výťažku (výťažkom sa rozumie rozdiel medzi prijatými vkladmi a vyplatenými výhrami)</w:t>
            </w:r>
            <w:r w:rsidR="0012545F">
              <w:rPr>
                <w:i/>
                <w:sz w:val="24"/>
                <w:szCs w:val="24"/>
              </w:rPr>
              <w:t>, pričom ich prevádzky boli rozhodnutím ÚVZ SR zatvorené</w:t>
            </w:r>
            <w:r w:rsidRPr="00065A44">
              <w:rPr>
                <w:i/>
                <w:sz w:val="24"/>
                <w:szCs w:val="24"/>
              </w:rPr>
              <w:t>. Navrhovaným opatren</w:t>
            </w:r>
            <w:r w:rsidR="00E507F7">
              <w:rPr>
                <w:i/>
                <w:sz w:val="24"/>
                <w:szCs w:val="24"/>
              </w:rPr>
              <w:t>ím</w:t>
            </w:r>
            <w:r w:rsidRPr="00065A44">
              <w:rPr>
                <w:i/>
                <w:sz w:val="24"/>
                <w:szCs w:val="24"/>
              </w:rPr>
              <w:t> sa zabezpečí nezhoršovanie podmienok ekonomického postavenia subjektov pôsobiacich v</w:t>
            </w:r>
            <w:r w:rsidR="0012545F">
              <w:rPr>
                <w:i/>
                <w:sz w:val="24"/>
                <w:szCs w:val="24"/>
              </w:rPr>
              <w:t> </w:t>
            </w:r>
            <w:r w:rsidRPr="00065A44">
              <w:rPr>
                <w:i/>
                <w:sz w:val="24"/>
                <w:szCs w:val="24"/>
              </w:rPr>
              <w:t>se</w:t>
            </w:r>
            <w:r w:rsidR="0012545F">
              <w:rPr>
                <w:i/>
                <w:sz w:val="24"/>
                <w:szCs w:val="24"/>
              </w:rPr>
              <w:t xml:space="preserve">ktore </w:t>
            </w:r>
            <w:r w:rsidRPr="00065A44">
              <w:rPr>
                <w:i/>
                <w:sz w:val="24"/>
                <w:szCs w:val="24"/>
              </w:rPr>
              <w:t>hazardných hier.</w:t>
            </w:r>
          </w:p>
          <w:p w:rsidR="003501A1" w:rsidRPr="00CA6952" w:rsidRDefault="003501A1" w:rsidP="00303090">
            <w:pPr>
              <w:pStyle w:val="Nzov"/>
              <w:ind w:left="644"/>
              <w:jc w:val="both"/>
              <w:rPr>
                <w:rFonts w:ascii="Times New Roman" w:hAnsi="Times New Roman"/>
                <w:b w:val="0"/>
                <w:i/>
                <w:szCs w:val="24"/>
              </w:rPr>
            </w:pP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:rsidR="003501A1" w:rsidRPr="0073005A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Ciele a výsledný stav</w:t>
            </w:r>
          </w:p>
        </w:tc>
      </w:tr>
      <w:tr w:rsidR="003501A1" w:rsidRPr="0073005A" w:rsidTr="00D11E1B">
        <w:trPr>
          <w:trHeight w:val="582"/>
        </w:trPr>
        <w:tc>
          <w:tcPr>
            <w:tcW w:w="9180" w:type="dxa"/>
            <w:gridSpan w:val="10"/>
            <w:tcBorders>
              <w:top w:val="nil"/>
            </w:tcBorders>
            <w:shd w:val="clear" w:color="auto" w:fill="FFFFFF" w:themeFill="background1"/>
          </w:tcPr>
          <w:p w:rsidR="003501A1" w:rsidRPr="0073005A" w:rsidRDefault="002033E2" w:rsidP="00E507F7">
            <w:p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Zmiernenie negatívnych následkov spôsobených vyhlásením mimoriadnej situácie</w:t>
            </w:r>
            <w:r w:rsidR="00AB7B6C">
              <w:rPr>
                <w:i/>
                <w:sz w:val="24"/>
                <w:szCs w:val="24"/>
              </w:rPr>
              <w:t xml:space="preserve"> </w:t>
            </w:r>
            <w:r w:rsidRPr="002033E2">
              <w:rPr>
                <w:i/>
                <w:sz w:val="24"/>
                <w:szCs w:val="24"/>
              </w:rPr>
              <w:t>v súvislosti so šírením nebezpečnej nákazlivej ľudskej choroby COVID-19</w:t>
            </w:r>
            <w:r w:rsidRPr="00CA6952">
              <w:rPr>
                <w:sz w:val="24"/>
                <w:szCs w:val="24"/>
              </w:rPr>
              <w:t xml:space="preserve"> </w:t>
            </w:r>
            <w:r w:rsidR="00AB7B6C">
              <w:rPr>
                <w:i/>
                <w:sz w:val="24"/>
                <w:szCs w:val="24"/>
              </w:rPr>
              <w:t>v segmente prevádzkovateľov hazardných hier</w:t>
            </w:r>
            <w:r>
              <w:rPr>
                <w:i/>
                <w:sz w:val="24"/>
                <w:szCs w:val="24"/>
              </w:rPr>
              <w:t xml:space="preserve"> odložením povinnej úhrady odvodov</w:t>
            </w:r>
            <w:r w:rsidR="00E507F7">
              <w:rPr>
                <w:i/>
                <w:sz w:val="24"/>
                <w:szCs w:val="24"/>
              </w:rPr>
              <w:t>.</w:t>
            </w: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:rsidR="003501A1" w:rsidRPr="0073005A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Dotknuté subjekty</w:t>
            </w: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top w:val="nil"/>
            </w:tcBorders>
            <w:shd w:val="clear" w:color="auto" w:fill="FFFFFF" w:themeFill="background1"/>
          </w:tcPr>
          <w:p w:rsidR="003501A1" w:rsidRPr="0073005A" w:rsidRDefault="00303090" w:rsidP="0018554B">
            <w:pPr>
              <w:ind w:left="36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r w:rsidR="00AB7B6C">
              <w:rPr>
                <w:i/>
                <w:sz w:val="24"/>
                <w:szCs w:val="24"/>
              </w:rPr>
              <w:t>prevádzkovatelia hazardných hier</w:t>
            </w:r>
            <w:r w:rsidR="0018554B" w:rsidRPr="0073005A">
              <w:rPr>
                <w:i/>
                <w:sz w:val="24"/>
                <w:szCs w:val="24"/>
              </w:rPr>
              <w:t>.</w:t>
            </w:r>
          </w:p>
          <w:p w:rsidR="003501A1" w:rsidRPr="0073005A" w:rsidRDefault="003501A1" w:rsidP="001961DF">
            <w:pPr>
              <w:rPr>
                <w:i/>
                <w:sz w:val="24"/>
                <w:szCs w:val="24"/>
              </w:rPr>
            </w:pP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:rsidR="003501A1" w:rsidRPr="0073005A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Alternatívne riešenia</w:t>
            </w:r>
          </w:p>
        </w:tc>
      </w:tr>
      <w:tr w:rsidR="003501A1" w:rsidRPr="0073005A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</w:tcBorders>
            <w:shd w:val="clear" w:color="auto" w:fill="FFFFFF" w:themeFill="background1"/>
          </w:tcPr>
          <w:p w:rsidR="00117C56" w:rsidRPr="0073005A" w:rsidRDefault="00117C56" w:rsidP="000C2A84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Vykonávacie predpisy</w:t>
            </w:r>
          </w:p>
        </w:tc>
      </w:tr>
      <w:tr w:rsidR="003501A1" w:rsidRPr="0073005A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:rsidR="003501A1" w:rsidRPr="0073005A" w:rsidRDefault="003501A1" w:rsidP="0018554B">
            <w:pPr>
              <w:ind w:left="360"/>
              <w:jc w:val="both"/>
              <w:rPr>
                <w:i/>
                <w:sz w:val="24"/>
                <w:szCs w:val="24"/>
              </w:rPr>
            </w:pPr>
            <w:r w:rsidRPr="0073005A">
              <w:rPr>
                <w:i/>
                <w:sz w:val="24"/>
                <w:szCs w:val="24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73005A" w:rsidRDefault="00D13B6F" w:rsidP="0018554B">
            <w:pPr>
              <w:ind w:left="360"/>
              <w:jc w:val="both"/>
              <w:rPr>
                <w:i/>
                <w:sz w:val="24"/>
                <w:szCs w:val="24"/>
              </w:rPr>
            </w:pPr>
            <w:r w:rsidRPr="0073005A">
              <w:rPr>
                <w:rFonts w:ascii="Segoe UI Symbol" w:hAnsi="Segoe UI Symbol" w:cs="Segoe UI Symbol"/>
                <w:i/>
                <w:sz w:val="24"/>
                <w:szCs w:val="24"/>
              </w:rPr>
              <w:t>☐</w:t>
            </w:r>
            <w:r w:rsidR="003501A1" w:rsidRPr="0073005A">
              <w:rPr>
                <w:i/>
                <w:sz w:val="24"/>
                <w:szCs w:val="24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</w:tcBorders>
            <w:shd w:val="clear" w:color="auto" w:fill="FFFFFF" w:themeFill="background1"/>
          </w:tcPr>
          <w:p w:rsidR="003501A1" w:rsidRPr="0073005A" w:rsidRDefault="0018554B" w:rsidP="0018554B">
            <w:pPr>
              <w:ind w:left="360"/>
              <w:jc w:val="both"/>
              <w:rPr>
                <w:i/>
                <w:sz w:val="24"/>
                <w:szCs w:val="24"/>
              </w:rPr>
            </w:pPr>
            <w:r w:rsidRPr="0073005A">
              <w:rPr>
                <w:rFonts w:ascii="Segoe UI Symbol" w:hAnsi="Segoe UI Symbol" w:cs="Segoe UI Symbol"/>
                <w:i/>
                <w:sz w:val="24"/>
                <w:szCs w:val="24"/>
              </w:rPr>
              <w:t>☒</w:t>
            </w:r>
            <w:r w:rsidR="003501A1" w:rsidRPr="0073005A">
              <w:rPr>
                <w:i/>
                <w:sz w:val="24"/>
                <w:szCs w:val="24"/>
              </w:rPr>
              <w:t xml:space="preserve">  Nie</w:t>
            </w: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top w:val="nil"/>
            </w:tcBorders>
            <w:shd w:val="clear" w:color="auto" w:fill="FFFFFF" w:themeFill="background1"/>
          </w:tcPr>
          <w:p w:rsidR="003501A1" w:rsidRPr="0073005A" w:rsidRDefault="003501A1" w:rsidP="0018554B">
            <w:pPr>
              <w:ind w:left="360"/>
              <w:jc w:val="both"/>
              <w:rPr>
                <w:i/>
                <w:sz w:val="24"/>
                <w:szCs w:val="24"/>
              </w:rPr>
            </w:pPr>
            <w:r w:rsidRPr="0073005A">
              <w:rPr>
                <w:i/>
                <w:sz w:val="24"/>
                <w:szCs w:val="24"/>
              </w:rPr>
              <w:t>Ak áno, uveďte ktoré oblasti budú nimi upravené, resp. ktorých vykonávacích predpisov sa zmena dotkne:</w:t>
            </w:r>
          </w:p>
          <w:p w:rsidR="003501A1" w:rsidRPr="0073005A" w:rsidRDefault="003501A1" w:rsidP="0018554B">
            <w:pPr>
              <w:ind w:left="360"/>
              <w:jc w:val="both"/>
              <w:rPr>
                <w:i/>
                <w:sz w:val="24"/>
                <w:szCs w:val="24"/>
              </w:rPr>
            </w:pP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Transpozícia práva EÚ </w:t>
            </w:r>
          </w:p>
        </w:tc>
      </w:tr>
      <w:tr w:rsidR="003501A1" w:rsidRPr="0073005A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</w:tcBorders>
            <w:shd w:val="clear" w:color="auto" w:fill="FFFFFF" w:themeFill="background1"/>
          </w:tcPr>
          <w:p w:rsidR="003501A1" w:rsidRPr="0073005A" w:rsidRDefault="0018554B" w:rsidP="0018554B">
            <w:pPr>
              <w:ind w:left="360"/>
              <w:jc w:val="both"/>
              <w:rPr>
                <w:i/>
                <w:sz w:val="24"/>
                <w:szCs w:val="24"/>
              </w:rPr>
            </w:pPr>
            <w:r w:rsidRPr="0073005A">
              <w:rPr>
                <w:i/>
                <w:sz w:val="24"/>
                <w:szCs w:val="24"/>
              </w:rPr>
              <w:t>Nie je.</w:t>
            </w:r>
          </w:p>
        </w:tc>
      </w:tr>
      <w:tr w:rsidR="003501A1" w:rsidRPr="0073005A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73005A" w:rsidRDefault="003501A1" w:rsidP="001961DF">
            <w:pPr>
              <w:jc w:val="center"/>
              <w:rPr>
                <w:sz w:val="24"/>
                <w:szCs w:val="24"/>
              </w:rPr>
            </w:pP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Preskúmanie účelnosti</w:t>
            </w:r>
            <w:r w:rsidR="00F62771" w:rsidRPr="0073005A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</w:tr>
      <w:tr w:rsidR="003501A1" w:rsidRPr="0073005A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:rsidR="003501A1" w:rsidRPr="0073005A" w:rsidRDefault="0018554B" w:rsidP="0018554B">
            <w:pPr>
              <w:ind w:left="360"/>
              <w:jc w:val="both"/>
              <w:rPr>
                <w:i/>
                <w:sz w:val="24"/>
                <w:szCs w:val="24"/>
              </w:rPr>
            </w:pPr>
            <w:r w:rsidRPr="0073005A">
              <w:rPr>
                <w:i/>
                <w:sz w:val="24"/>
                <w:szCs w:val="24"/>
              </w:rPr>
              <w:t>Nie je.</w:t>
            </w:r>
          </w:p>
          <w:p w:rsidR="003501A1" w:rsidRPr="0073005A" w:rsidRDefault="003501A1" w:rsidP="001961DF">
            <w:pPr>
              <w:rPr>
                <w:i/>
                <w:sz w:val="24"/>
                <w:szCs w:val="24"/>
              </w:rPr>
            </w:pPr>
          </w:p>
        </w:tc>
      </w:tr>
      <w:tr w:rsidR="003501A1" w:rsidRPr="0073005A" w:rsidTr="00D11E1B">
        <w:trPr>
          <w:trHeight w:val="1670"/>
        </w:trPr>
        <w:tc>
          <w:tcPr>
            <w:tcW w:w="9180" w:type="dxa"/>
            <w:gridSpan w:val="10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4F6F1F" w:rsidRPr="0073005A" w:rsidRDefault="004F6F1F" w:rsidP="004C60B8">
            <w:pPr>
              <w:ind w:left="142" w:hanging="142"/>
              <w:rPr>
                <w:sz w:val="24"/>
                <w:szCs w:val="24"/>
              </w:rPr>
            </w:pPr>
          </w:p>
          <w:p w:rsidR="00D13B6F" w:rsidRPr="0073005A" w:rsidRDefault="00D13B6F" w:rsidP="004C60B8">
            <w:pPr>
              <w:ind w:left="142" w:hanging="142"/>
              <w:rPr>
                <w:sz w:val="24"/>
                <w:szCs w:val="24"/>
              </w:rPr>
            </w:pPr>
          </w:p>
          <w:p w:rsidR="00F62771" w:rsidRPr="0073005A" w:rsidRDefault="00F62771" w:rsidP="004C60B8">
            <w:pPr>
              <w:ind w:left="142" w:hanging="142"/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 xml:space="preserve">* </w:t>
            </w:r>
            <w:r w:rsidR="004C60B8" w:rsidRPr="0073005A">
              <w:rPr>
                <w:sz w:val="24"/>
                <w:szCs w:val="24"/>
              </w:rPr>
              <w:t>vyplniť iba v prípade, ak</w:t>
            </w:r>
            <w:r w:rsidRPr="0073005A">
              <w:rPr>
                <w:sz w:val="24"/>
                <w:szCs w:val="24"/>
              </w:rPr>
              <w:t xml:space="preserve"> </w:t>
            </w:r>
            <w:r w:rsidR="004C60B8" w:rsidRPr="0073005A">
              <w:rPr>
                <w:sz w:val="24"/>
                <w:szCs w:val="24"/>
              </w:rPr>
              <w:t xml:space="preserve">materiál </w:t>
            </w:r>
            <w:r w:rsidRPr="0073005A">
              <w:rPr>
                <w:sz w:val="24"/>
                <w:szCs w:val="24"/>
              </w:rPr>
              <w:t xml:space="preserve">nie je </w:t>
            </w:r>
            <w:r w:rsidR="004C60B8" w:rsidRPr="0073005A">
              <w:rPr>
                <w:sz w:val="24"/>
                <w:szCs w:val="24"/>
              </w:rPr>
              <w:t>zahrnutý do Plánu práce vlády Slovenskej republiky alebo Plánu legislatívnych úloh vlády Slovenskej republiky.</w:t>
            </w:r>
            <w:r w:rsidRPr="0073005A">
              <w:rPr>
                <w:sz w:val="24"/>
                <w:szCs w:val="24"/>
              </w:rPr>
              <w:t xml:space="preserve"> </w:t>
            </w:r>
          </w:p>
          <w:p w:rsidR="003501A1" w:rsidRDefault="00F62771" w:rsidP="00F22831">
            <w:pPr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>*</w:t>
            </w:r>
            <w:r w:rsidR="00F22831" w:rsidRPr="0073005A">
              <w:rPr>
                <w:sz w:val="24"/>
                <w:szCs w:val="24"/>
              </w:rPr>
              <w:t>* nepovinné</w:t>
            </w:r>
          </w:p>
          <w:p w:rsidR="00117C56" w:rsidRDefault="00117C56" w:rsidP="00F22831">
            <w:pPr>
              <w:rPr>
                <w:sz w:val="24"/>
                <w:szCs w:val="24"/>
              </w:rPr>
            </w:pPr>
          </w:p>
          <w:p w:rsidR="00117C56" w:rsidRPr="0073005A" w:rsidRDefault="00117C56" w:rsidP="00F22831">
            <w:pPr>
              <w:rPr>
                <w:sz w:val="24"/>
                <w:szCs w:val="24"/>
              </w:rPr>
            </w:pPr>
          </w:p>
        </w:tc>
      </w:tr>
      <w:tr w:rsidR="003501A1" w:rsidRPr="0073005A" w:rsidTr="00D11E1B">
        <w:trPr>
          <w:trHeight w:val="68"/>
        </w:trPr>
        <w:tc>
          <w:tcPr>
            <w:tcW w:w="9180" w:type="dxa"/>
            <w:gridSpan w:val="10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501A1" w:rsidRPr="0073005A" w:rsidRDefault="003501A1" w:rsidP="003501A1">
            <w:pPr>
              <w:rPr>
                <w:b/>
                <w:sz w:val="24"/>
                <w:szCs w:val="24"/>
              </w:rPr>
            </w:pPr>
          </w:p>
        </w:tc>
      </w:tr>
      <w:tr w:rsidR="003501A1" w:rsidRPr="0073005A" w:rsidTr="004F6F1F">
        <w:trPr>
          <w:trHeight w:val="577"/>
        </w:trPr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73005A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Vplyvy navrhovaného materiálu</w:t>
            </w:r>
          </w:p>
        </w:tc>
      </w:tr>
      <w:tr w:rsidR="003501A1" w:rsidRPr="0073005A" w:rsidTr="004F6F1F">
        <w:tc>
          <w:tcPr>
            <w:tcW w:w="3812" w:type="dxa"/>
            <w:tcBorders>
              <w:bottom w:val="nil"/>
            </w:tcBorders>
            <w:shd w:val="clear" w:color="auto" w:fill="E2E2E2"/>
          </w:tcPr>
          <w:p w:rsidR="003501A1" w:rsidRPr="0073005A" w:rsidRDefault="003501A1" w:rsidP="001961DF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:rsidR="003501A1" w:rsidRPr="0073005A" w:rsidRDefault="00303090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b/>
                <w:sz w:val="24"/>
                <w:szCs w:val="24"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3501A1" w:rsidRPr="0073005A" w:rsidRDefault="00227D03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:rsidR="003501A1" w:rsidRPr="0073005A" w:rsidRDefault="00227D03" w:rsidP="001961DF">
            <w:pPr>
              <w:ind w:left="-107" w:right="-108"/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b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:rsidR="003501A1" w:rsidRPr="0073005A" w:rsidRDefault="003501A1" w:rsidP="001961DF">
            <w:pPr>
              <w:ind w:left="34"/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Negatívne</w:t>
            </w:r>
          </w:p>
        </w:tc>
      </w:tr>
      <w:tr w:rsidR="003501A1" w:rsidRPr="0073005A" w:rsidTr="004F6F1F">
        <w:tc>
          <w:tcPr>
            <w:tcW w:w="3812" w:type="dxa"/>
            <w:tcBorders>
              <w:top w:val="nil"/>
              <w:bottom w:val="single" w:sz="4" w:space="0" w:color="000000" w:themeColor="text1"/>
            </w:tcBorders>
            <w:shd w:val="clear" w:color="auto" w:fill="E2E2E2"/>
          </w:tcPr>
          <w:p w:rsidR="003501A1" w:rsidRPr="0073005A" w:rsidRDefault="003501A1" w:rsidP="001961DF">
            <w:pPr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:rsidR="003501A1" w:rsidRPr="0073005A" w:rsidRDefault="003501A1" w:rsidP="001961DF">
            <w:pPr>
              <w:jc w:val="center"/>
              <w:rPr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>Áno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jc w:val="center"/>
              <w:rPr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>Nie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:rsidR="003501A1" w:rsidRPr="0073005A" w:rsidRDefault="003501A1" w:rsidP="001961DF">
            <w:pPr>
              <w:ind w:left="34"/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>Čiastočne</w:t>
            </w:r>
          </w:p>
        </w:tc>
      </w:tr>
      <w:tr w:rsidR="003501A1" w:rsidRPr="0073005A" w:rsidTr="004F6F1F">
        <w:tc>
          <w:tcPr>
            <w:tcW w:w="3812" w:type="dxa"/>
            <w:tcBorders>
              <w:top w:val="single" w:sz="4" w:space="0" w:color="000000" w:themeColor="text1"/>
              <w:bottom w:val="nil"/>
            </w:tcBorders>
            <w:shd w:val="clear" w:color="auto" w:fill="E2E2E2"/>
          </w:tcPr>
          <w:p w:rsidR="003501A1" w:rsidRPr="0073005A" w:rsidRDefault="003501A1" w:rsidP="004C794A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:rsidR="003501A1" w:rsidRPr="0073005A" w:rsidRDefault="00E0562E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☒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ind w:right="-108"/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3501A1" w:rsidRPr="0073005A" w:rsidRDefault="00E92A43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:rsidR="003501A1" w:rsidRPr="0073005A" w:rsidRDefault="00E0562E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:rsidR="003501A1" w:rsidRPr="0073005A" w:rsidRDefault="003501A1" w:rsidP="001961DF">
            <w:pPr>
              <w:ind w:left="54"/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Negatívne</w:t>
            </w:r>
          </w:p>
        </w:tc>
      </w:tr>
      <w:tr w:rsidR="003501A1" w:rsidRPr="0073005A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73005A" w:rsidRDefault="003501A1" w:rsidP="001961DF">
            <w:pPr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left w:val="single" w:sz="4" w:space="0" w:color="000000" w:themeColor="text1"/>
              <w:right w:val="nil"/>
            </w:tcBorders>
          </w:tcPr>
          <w:p w:rsidR="003501A1" w:rsidRPr="0073005A" w:rsidRDefault="00E0562E" w:rsidP="001961DF">
            <w:pPr>
              <w:jc w:val="center"/>
              <w:rPr>
                <w:sz w:val="24"/>
                <w:szCs w:val="24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☒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ind w:right="-108"/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3501A1" w:rsidRPr="0073005A" w:rsidRDefault="00E0562E" w:rsidP="001961DF">
            <w:pPr>
              <w:jc w:val="center"/>
              <w:rPr>
                <w:sz w:val="24"/>
                <w:szCs w:val="24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jc w:val="center"/>
              <w:rPr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:rsidR="003501A1" w:rsidRPr="0073005A" w:rsidRDefault="003501A1" w:rsidP="001961DF">
            <w:pPr>
              <w:ind w:left="54"/>
              <w:rPr>
                <w:sz w:val="24"/>
                <w:szCs w:val="24"/>
              </w:rPr>
            </w:pPr>
            <w:r w:rsidRPr="0073005A">
              <w:rPr>
                <w:sz w:val="24"/>
                <w:szCs w:val="24"/>
              </w:rPr>
              <w:t>Negatívne</w:t>
            </w:r>
          </w:p>
        </w:tc>
      </w:tr>
      <w:tr w:rsidR="003501A1" w:rsidRPr="0073005A" w:rsidTr="004F6F1F">
        <w:tc>
          <w:tcPr>
            <w:tcW w:w="3812" w:type="dxa"/>
            <w:tcBorders>
              <w:top w:val="single" w:sz="4" w:space="0" w:color="000000" w:themeColor="text1"/>
            </w:tcBorders>
            <w:shd w:val="clear" w:color="auto" w:fill="E2E2E2"/>
          </w:tcPr>
          <w:p w:rsidR="003501A1" w:rsidRPr="0073005A" w:rsidRDefault="003501A1" w:rsidP="004C794A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Sociálne vplyvy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:rsidR="003501A1" w:rsidRPr="0073005A" w:rsidRDefault="007B4F7D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ind w:right="-108"/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3501A1" w:rsidRPr="0073005A" w:rsidRDefault="007B4F7D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:rsidR="003501A1" w:rsidRPr="0073005A" w:rsidRDefault="00E0562E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:rsidR="003501A1" w:rsidRPr="0073005A" w:rsidRDefault="003501A1" w:rsidP="001961DF">
            <w:pPr>
              <w:ind w:left="54"/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Negatívne</w:t>
            </w:r>
          </w:p>
        </w:tc>
      </w:tr>
      <w:tr w:rsidR="003501A1" w:rsidRPr="0073005A" w:rsidTr="004F6F1F">
        <w:tc>
          <w:tcPr>
            <w:tcW w:w="3812" w:type="dxa"/>
            <w:shd w:val="clear" w:color="auto" w:fill="E2E2E2"/>
          </w:tcPr>
          <w:p w:rsidR="003501A1" w:rsidRPr="0073005A" w:rsidRDefault="003501A1" w:rsidP="004C794A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:rsidR="003501A1" w:rsidRPr="0073005A" w:rsidRDefault="003501A1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b/>
                <w:sz w:val="24"/>
                <w:szCs w:val="24"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ind w:right="-108"/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3501A1" w:rsidRPr="0073005A" w:rsidRDefault="00E86839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:rsidR="003501A1" w:rsidRPr="0073005A" w:rsidRDefault="00E86839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:rsidR="003501A1" w:rsidRPr="0073005A" w:rsidRDefault="003501A1" w:rsidP="001961DF">
            <w:pPr>
              <w:ind w:left="54"/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Negatívne</w:t>
            </w:r>
          </w:p>
        </w:tc>
      </w:tr>
      <w:tr w:rsidR="003501A1" w:rsidRPr="0073005A" w:rsidTr="0045465B">
        <w:tc>
          <w:tcPr>
            <w:tcW w:w="3812" w:type="dxa"/>
            <w:shd w:val="clear" w:color="auto" w:fill="E2E2E2"/>
          </w:tcPr>
          <w:p w:rsidR="003501A1" w:rsidRPr="0073005A" w:rsidRDefault="003501A1" w:rsidP="004C794A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:rsidR="003501A1" w:rsidRPr="0073005A" w:rsidRDefault="003501A1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b/>
                <w:sz w:val="24"/>
                <w:szCs w:val="24"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ind w:right="-108"/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3501A1" w:rsidRPr="0073005A" w:rsidRDefault="00E86839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:rsidR="003501A1" w:rsidRPr="0073005A" w:rsidRDefault="003501A1" w:rsidP="001961DF">
            <w:pPr>
              <w:jc w:val="center"/>
              <w:rPr>
                <w:b/>
                <w:sz w:val="24"/>
                <w:szCs w:val="24"/>
              </w:rPr>
            </w:pPr>
            <w:r w:rsidRPr="0073005A">
              <w:rPr>
                <w:rFonts w:ascii="Segoe UI Symbol" w:eastAsia="MS Mincho" w:hAnsi="Segoe UI Symbol" w:cs="Segoe UI Symbol"/>
                <w:b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:rsidR="003501A1" w:rsidRPr="0073005A" w:rsidRDefault="003501A1" w:rsidP="001961DF">
            <w:pPr>
              <w:ind w:left="54"/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45465B" w:rsidRPr="0073005A" w:rsidTr="001961DF">
        <w:tc>
          <w:tcPr>
            <w:tcW w:w="3812" w:type="dxa"/>
            <w:tcBorders>
              <w:bottom w:val="nil"/>
            </w:tcBorders>
            <w:shd w:val="clear" w:color="auto" w:fill="E2E2E2"/>
          </w:tcPr>
          <w:p w:rsidR="0045465B" w:rsidRPr="0073005A" w:rsidRDefault="0045465B" w:rsidP="001961DF">
            <w:pPr>
              <w:rPr>
                <w:b/>
                <w:sz w:val="24"/>
                <w:szCs w:val="24"/>
              </w:rPr>
            </w:pPr>
            <w:r w:rsidRPr="0073005A">
              <w:rPr>
                <w:b/>
                <w:sz w:val="24"/>
                <w:szCs w:val="24"/>
                <w:lang w:eastAsia="en-US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bottom w:val="nil"/>
              <w:right w:val="nil"/>
            </w:tcBorders>
          </w:tcPr>
          <w:p w:rsidR="0045465B" w:rsidRPr="0073005A" w:rsidRDefault="0045465B" w:rsidP="001961DF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:rsidR="0045465B" w:rsidRPr="0073005A" w:rsidRDefault="0045465B" w:rsidP="001961DF">
            <w:pPr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nil"/>
              <w:bottom w:val="nil"/>
              <w:right w:val="nil"/>
            </w:tcBorders>
          </w:tcPr>
          <w:p w:rsidR="0045465B" w:rsidRPr="0073005A" w:rsidRDefault="0045465B" w:rsidP="001961DF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:rsidR="0045465B" w:rsidRPr="0073005A" w:rsidRDefault="0045465B" w:rsidP="001961DF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left w:val="nil"/>
              <w:bottom w:val="nil"/>
              <w:right w:val="nil"/>
            </w:tcBorders>
          </w:tcPr>
          <w:p w:rsidR="0045465B" w:rsidRPr="0073005A" w:rsidRDefault="0045465B" w:rsidP="001961DF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</w:p>
        </w:tc>
        <w:tc>
          <w:tcPr>
            <w:tcW w:w="1297" w:type="dxa"/>
            <w:tcBorders>
              <w:left w:val="nil"/>
              <w:bottom w:val="nil"/>
            </w:tcBorders>
          </w:tcPr>
          <w:p w:rsidR="0045465B" w:rsidRPr="0073005A" w:rsidRDefault="0045465B" w:rsidP="001961DF">
            <w:pPr>
              <w:ind w:left="54"/>
              <w:rPr>
                <w:b/>
                <w:sz w:val="24"/>
                <w:szCs w:val="24"/>
              </w:rPr>
            </w:pPr>
          </w:p>
        </w:tc>
      </w:tr>
      <w:tr w:rsidR="0045465B" w:rsidRPr="0073005A" w:rsidTr="001961DF">
        <w:tc>
          <w:tcPr>
            <w:tcW w:w="3812" w:type="dxa"/>
            <w:tcBorders>
              <w:top w:val="nil"/>
              <w:bottom w:val="nil"/>
            </w:tcBorders>
            <w:shd w:val="clear" w:color="auto" w:fill="E2E2E2"/>
          </w:tcPr>
          <w:p w:rsidR="0045465B" w:rsidRPr="0073005A" w:rsidRDefault="0045465B" w:rsidP="001961DF">
            <w:pPr>
              <w:ind w:left="196" w:hanging="196"/>
              <w:rPr>
                <w:b/>
                <w:sz w:val="24"/>
                <w:szCs w:val="24"/>
                <w:lang w:eastAsia="en-US"/>
              </w:rPr>
            </w:pPr>
            <w:r w:rsidRPr="0073005A">
              <w:rPr>
                <w:b/>
                <w:sz w:val="24"/>
                <w:szCs w:val="24"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bottom w:val="nil"/>
              <w:right w:val="nil"/>
            </w:tcBorders>
          </w:tcPr>
          <w:p w:rsidR="0045465B" w:rsidRPr="0073005A" w:rsidRDefault="0045465B" w:rsidP="001961DF">
            <w:pPr>
              <w:jc w:val="center"/>
              <w:rPr>
                <w:rFonts w:eastAsia="MS Mincho"/>
                <w:b/>
                <w:sz w:val="24"/>
                <w:szCs w:val="24"/>
                <w:lang w:eastAsia="en-US"/>
              </w:rPr>
            </w:pPr>
            <w:r w:rsidRPr="0073005A">
              <w:rPr>
                <w:rFonts w:ascii="Segoe UI Symbol" w:eastAsia="MS Mincho" w:hAnsi="Segoe UI Symbol" w:cs="Segoe UI Symbol"/>
                <w:b/>
                <w:sz w:val="24"/>
                <w:szCs w:val="24"/>
                <w:lang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45465B" w:rsidRPr="0073005A" w:rsidRDefault="0045465B" w:rsidP="001961DF">
            <w:pPr>
              <w:ind w:right="-108"/>
              <w:rPr>
                <w:b/>
                <w:sz w:val="24"/>
                <w:szCs w:val="24"/>
                <w:lang w:eastAsia="en-US"/>
              </w:rPr>
            </w:pPr>
            <w:r w:rsidRPr="0073005A">
              <w:rPr>
                <w:b/>
                <w:sz w:val="24"/>
                <w:szCs w:val="24"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45465B" w:rsidRPr="0073005A" w:rsidRDefault="00E86839" w:rsidP="00E86839">
            <w:pPr>
              <w:jc w:val="center"/>
              <w:rPr>
                <w:rFonts w:eastAsia="MS Mincho"/>
                <w:b/>
                <w:sz w:val="24"/>
                <w:szCs w:val="24"/>
                <w:lang w:eastAsia="en-US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5465B" w:rsidRPr="0073005A" w:rsidRDefault="0045465B" w:rsidP="001961DF">
            <w:pPr>
              <w:rPr>
                <w:b/>
                <w:sz w:val="24"/>
                <w:szCs w:val="24"/>
                <w:lang w:eastAsia="en-US"/>
              </w:rPr>
            </w:pPr>
            <w:r w:rsidRPr="0073005A">
              <w:rPr>
                <w:b/>
                <w:sz w:val="24"/>
                <w:szCs w:val="24"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5465B" w:rsidRPr="0073005A" w:rsidRDefault="0045465B" w:rsidP="001961DF">
            <w:pPr>
              <w:jc w:val="center"/>
              <w:rPr>
                <w:rFonts w:eastAsia="MS Mincho"/>
                <w:b/>
                <w:sz w:val="24"/>
                <w:szCs w:val="24"/>
                <w:lang w:eastAsia="en-US"/>
              </w:rPr>
            </w:pPr>
            <w:r w:rsidRPr="0073005A">
              <w:rPr>
                <w:rFonts w:ascii="Segoe UI Symbol" w:eastAsia="MS Mincho" w:hAnsi="Segoe UI Symbol" w:cs="Segoe UI Symbol"/>
                <w:b/>
                <w:sz w:val="24"/>
                <w:szCs w:val="24"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</w:tcBorders>
          </w:tcPr>
          <w:p w:rsidR="0045465B" w:rsidRPr="0073005A" w:rsidRDefault="0045465B" w:rsidP="00E0562E">
            <w:pPr>
              <w:ind w:left="54"/>
              <w:rPr>
                <w:b/>
                <w:sz w:val="24"/>
                <w:szCs w:val="24"/>
                <w:lang w:eastAsia="en-US"/>
              </w:rPr>
            </w:pPr>
            <w:r w:rsidRPr="0073005A">
              <w:rPr>
                <w:b/>
                <w:sz w:val="24"/>
                <w:szCs w:val="24"/>
                <w:lang w:eastAsia="en-US"/>
              </w:rPr>
              <w:t>Negatívne</w:t>
            </w:r>
          </w:p>
        </w:tc>
      </w:tr>
      <w:tr w:rsidR="0045465B" w:rsidRPr="0073005A" w:rsidTr="001961DF">
        <w:tc>
          <w:tcPr>
            <w:tcW w:w="3812" w:type="dxa"/>
            <w:tcBorders>
              <w:top w:val="nil"/>
            </w:tcBorders>
            <w:shd w:val="clear" w:color="auto" w:fill="E2E2E2"/>
          </w:tcPr>
          <w:p w:rsidR="0045465B" w:rsidRPr="0073005A" w:rsidRDefault="0045465B" w:rsidP="001961DF">
            <w:pPr>
              <w:ind w:left="168" w:hanging="168"/>
              <w:rPr>
                <w:b/>
                <w:sz w:val="24"/>
                <w:szCs w:val="24"/>
                <w:lang w:eastAsia="en-US"/>
              </w:rPr>
            </w:pPr>
            <w:r w:rsidRPr="0073005A">
              <w:rPr>
                <w:b/>
                <w:sz w:val="24"/>
                <w:szCs w:val="24"/>
                <w:lang w:eastAsia="en-US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nil"/>
              <w:right w:val="nil"/>
            </w:tcBorders>
          </w:tcPr>
          <w:p w:rsidR="0045465B" w:rsidRPr="0073005A" w:rsidRDefault="0045465B" w:rsidP="001961DF">
            <w:pPr>
              <w:jc w:val="center"/>
              <w:rPr>
                <w:rFonts w:eastAsia="MS Mincho"/>
                <w:b/>
                <w:sz w:val="24"/>
                <w:szCs w:val="24"/>
                <w:lang w:eastAsia="en-US"/>
              </w:rPr>
            </w:pPr>
            <w:r w:rsidRPr="0073005A">
              <w:rPr>
                <w:rFonts w:ascii="Segoe UI Symbol" w:eastAsia="MS Mincho" w:hAnsi="Segoe UI Symbol" w:cs="Segoe UI Symbol"/>
                <w:b/>
                <w:sz w:val="24"/>
                <w:szCs w:val="24"/>
                <w:lang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:rsidR="0045465B" w:rsidRPr="0073005A" w:rsidRDefault="0045465B" w:rsidP="001961DF">
            <w:pPr>
              <w:ind w:right="-108"/>
              <w:rPr>
                <w:b/>
                <w:sz w:val="24"/>
                <w:szCs w:val="24"/>
                <w:lang w:eastAsia="en-US"/>
              </w:rPr>
            </w:pPr>
            <w:r w:rsidRPr="0073005A">
              <w:rPr>
                <w:b/>
                <w:sz w:val="24"/>
                <w:szCs w:val="24"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</w:tcPr>
          <w:p w:rsidR="0045465B" w:rsidRPr="0073005A" w:rsidRDefault="00E86839" w:rsidP="001961DF">
            <w:pPr>
              <w:jc w:val="center"/>
              <w:rPr>
                <w:rFonts w:eastAsia="MS Mincho"/>
                <w:b/>
                <w:sz w:val="24"/>
                <w:szCs w:val="24"/>
                <w:lang w:eastAsia="en-US"/>
              </w:rPr>
            </w:pPr>
            <w:r w:rsidRPr="0073005A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:rsidR="0045465B" w:rsidRPr="0073005A" w:rsidRDefault="0045465B" w:rsidP="001961DF">
            <w:pPr>
              <w:rPr>
                <w:b/>
                <w:sz w:val="24"/>
                <w:szCs w:val="24"/>
                <w:lang w:eastAsia="en-US"/>
              </w:rPr>
            </w:pPr>
            <w:r w:rsidRPr="0073005A">
              <w:rPr>
                <w:b/>
                <w:sz w:val="24"/>
                <w:szCs w:val="24"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</w:tcPr>
          <w:p w:rsidR="0045465B" w:rsidRPr="0073005A" w:rsidRDefault="0045465B" w:rsidP="001961DF">
            <w:pPr>
              <w:jc w:val="center"/>
              <w:rPr>
                <w:rFonts w:eastAsia="MS Mincho"/>
                <w:b/>
                <w:sz w:val="24"/>
                <w:szCs w:val="24"/>
                <w:lang w:eastAsia="en-US"/>
              </w:rPr>
            </w:pPr>
            <w:r w:rsidRPr="0073005A">
              <w:rPr>
                <w:rFonts w:ascii="Segoe UI Symbol" w:eastAsia="MS Mincho" w:hAnsi="Segoe UI Symbol" w:cs="Segoe UI Symbol"/>
                <w:b/>
                <w:sz w:val="24"/>
                <w:szCs w:val="24"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</w:tcBorders>
          </w:tcPr>
          <w:p w:rsidR="0045465B" w:rsidRPr="0073005A" w:rsidRDefault="0045465B" w:rsidP="00E0562E">
            <w:pPr>
              <w:ind w:left="54"/>
              <w:rPr>
                <w:b/>
                <w:sz w:val="24"/>
                <w:szCs w:val="24"/>
                <w:lang w:eastAsia="en-US"/>
              </w:rPr>
            </w:pPr>
            <w:r w:rsidRPr="0073005A">
              <w:rPr>
                <w:b/>
                <w:sz w:val="24"/>
                <w:szCs w:val="24"/>
                <w:lang w:eastAsia="en-US"/>
              </w:rPr>
              <w:t>Negatívne</w:t>
            </w:r>
          </w:p>
        </w:tc>
      </w:tr>
    </w:tbl>
    <w:p w:rsidR="003501A1" w:rsidRPr="0073005A" w:rsidRDefault="003501A1" w:rsidP="003501A1">
      <w:pPr>
        <w:ind w:right="141"/>
        <w:rPr>
          <w:b/>
          <w:sz w:val="24"/>
          <w:szCs w:val="24"/>
        </w:rPr>
      </w:pPr>
    </w:p>
    <w:tbl>
      <w:tblPr>
        <w:tblStyle w:val="Mriekatabuky"/>
        <w:tblW w:w="9199" w:type="dxa"/>
        <w:tblLayout w:type="fixed"/>
        <w:tblLook w:val="04A0" w:firstRow="1" w:lastRow="0" w:firstColumn="1" w:lastColumn="0" w:noHBand="0" w:noVBand="1"/>
      </w:tblPr>
      <w:tblGrid>
        <w:gridCol w:w="9199"/>
      </w:tblGrid>
      <w:tr w:rsidR="004F6F1F" w:rsidRPr="0073005A" w:rsidTr="00D11E1B">
        <w:trPr>
          <w:trHeight w:val="229"/>
        </w:trPr>
        <w:tc>
          <w:tcPr>
            <w:tcW w:w="9199" w:type="dxa"/>
            <w:tcBorders>
              <w:bottom w:val="nil"/>
            </w:tcBorders>
            <w:shd w:val="clear" w:color="auto" w:fill="E2E2E2"/>
          </w:tcPr>
          <w:p w:rsidR="004F6F1F" w:rsidRPr="0073005A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Poznámky</w:t>
            </w:r>
          </w:p>
        </w:tc>
      </w:tr>
      <w:tr w:rsidR="004F6F1F" w:rsidRPr="0073005A" w:rsidTr="00D11E1B">
        <w:trPr>
          <w:trHeight w:val="592"/>
        </w:trPr>
        <w:tc>
          <w:tcPr>
            <w:tcW w:w="9199" w:type="dxa"/>
            <w:tcBorders>
              <w:top w:val="nil"/>
              <w:bottom w:val="single" w:sz="4" w:space="0" w:color="FFFFFF" w:themeColor="background1"/>
            </w:tcBorders>
          </w:tcPr>
          <w:p w:rsidR="004F6F1F" w:rsidRPr="002033E2" w:rsidRDefault="00C86D50" w:rsidP="004429F5">
            <w:pPr>
              <w:jc w:val="both"/>
              <w:rPr>
                <w:i/>
                <w:sz w:val="24"/>
                <w:szCs w:val="24"/>
              </w:rPr>
            </w:pPr>
            <w:r w:rsidRPr="00C86D50">
              <w:rPr>
                <w:i/>
                <w:sz w:val="24"/>
                <w:szCs w:val="24"/>
              </w:rPr>
              <w:t>Odklad odvod</w:t>
            </w:r>
            <w:r w:rsidR="002033E2">
              <w:rPr>
                <w:i/>
                <w:sz w:val="24"/>
                <w:szCs w:val="24"/>
              </w:rPr>
              <w:t>ov</w:t>
            </w:r>
            <w:r w:rsidRPr="00C86D50">
              <w:rPr>
                <w:i/>
                <w:sz w:val="24"/>
                <w:szCs w:val="24"/>
              </w:rPr>
              <w:t xml:space="preserve"> nebude mať vplyv na rozpočet verejnej správy ani len z pohľadu cash flow na ročnej báze, pretože hraničný termín na úhradu odvodov je koniec roka 2020, samozrejme výpadok príjmov z odvodov nebude žiadny za predpokladu, že všetci prevádzkovatelia hazardných hier budú schopní uhradiť odvod v plnej výške a žiaden prevádzkovateľ </w:t>
            </w:r>
            <w:r w:rsidR="004429F5">
              <w:rPr>
                <w:i/>
                <w:sz w:val="24"/>
                <w:szCs w:val="24"/>
              </w:rPr>
              <w:t xml:space="preserve">nepodá návrh na vyhlásenie </w:t>
            </w:r>
            <w:r w:rsidRPr="00C86D50">
              <w:rPr>
                <w:i/>
                <w:sz w:val="24"/>
                <w:szCs w:val="24"/>
              </w:rPr>
              <w:t>konkurzu. Opatrenie bude mať pozitívny vplyv na podnikateľské prostredie, pretože umožní prevádzkovateľom hazardných hier prekonať časový výpadok tržieb odložením záväzkov. </w:t>
            </w:r>
          </w:p>
        </w:tc>
      </w:tr>
      <w:tr w:rsidR="003501A1" w:rsidRPr="0073005A" w:rsidTr="00D11E1B">
        <w:trPr>
          <w:trHeight w:val="229"/>
        </w:trPr>
        <w:tc>
          <w:tcPr>
            <w:tcW w:w="9199" w:type="dxa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Kontakt na spracovateľa</w:t>
            </w:r>
          </w:p>
        </w:tc>
      </w:tr>
      <w:tr w:rsidR="003501A1" w:rsidRPr="0073005A" w:rsidTr="00D11E1B">
        <w:trPr>
          <w:trHeight w:val="302"/>
        </w:trPr>
        <w:tc>
          <w:tcPr>
            <w:tcW w:w="9199" w:type="dxa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:rsidR="003501A1" w:rsidRPr="0073005A" w:rsidRDefault="003501A1" w:rsidP="00102CF1">
            <w:pPr>
              <w:rPr>
                <w:sz w:val="24"/>
                <w:szCs w:val="24"/>
              </w:rPr>
            </w:pPr>
          </w:p>
          <w:p w:rsidR="00102CF1" w:rsidRPr="0073005A" w:rsidRDefault="00102CF1" w:rsidP="00102CF1">
            <w:pPr>
              <w:rPr>
                <w:i/>
                <w:sz w:val="24"/>
                <w:szCs w:val="24"/>
              </w:rPr>
            </w:pPr>
          </w:p>
        </w:tc>
      </w:tr>
      <w:tr w:rsidR="003501A1" w:rsidRPr="0073005A" w:rsidTr="00D11E1B">
        <w:trPr>
          <w:trHeight w:val="229"/>
        </w:trPr>
        <w:tc>
          <w:tcPr>
            <w:tcW w:w="9199" w:type="dxa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Zdroje</w:t>
            </w:r>
          </w:p>
        </w:tc>
      </w:tr>
      <w:tr w:rsidR="003501A1" w:rsidRPr="0073005A" w:rsidTr="00D11E1B">
        <w:trPr>
          <w:trHeight w:val="172"/>
        </w:trPr>
        <w:tc>
          <w:tcPr>
            <w:tcW w:w="9199" w:type="dxa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:rsidR="003501A1" w:rsidRPr="0073005A" w:rsidRDefault="003501A1" w:rsidP="00815217">
            <w:pPr>
              <w:rPr>
                <w:b/>
                <w:sz w:val="24"/>
                <w:szCs w:val="24"/>
              </w:rPr>
            </w:pPr>
          </w:p>
        </w:tc>
      </w:tr>
      <w:tr w:rsidR="003501A1" w:rsidRPr="0073005A" w:rsidTr="00D11E1B">
        <w:trPr>
          <w:trHeight w:val="229"/>
        </w:trPr>
        <w:tc>
          <w:tcPr>
            <w:tcW w:w="9199" w:type="dxa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73005A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3005A">
              <w:rPr>
                <w:rFonts w:ascii="Times New Roman" w:hAnsi="Times New Roman"/>
                <w:b/>
                <w:sz w:val="24"/>
                <w:szCs w:val="24"/>
              </w:rPr>
              <w:t>Stanovisko Komisie pre posudzovanie vybraných vplyvov z PPK</w:t>
            </w:r>
          </w:p>
        </w:tc>
      </w:tr>
      <w:tr w:rsidR="003501A1" w:rsidRPr="0073005A" w:rsidTr="00D11E1B">
        <w:trPr>
          <w:trHeight w:val="166"/>
        </w:trPr>
        <w:tc>
          <w:tcPr>
            <w:tcW w:w="9199" w:type="dxa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:rsidR="003501A1" w:rsidRPr="00815217" w:rsidRDefault="003501A1" w:rsidP="00BB54A3">
            <w:pPr>
              <w:jc w:val="both"/>
              <w:rPr>
                <w:sz w:val="24"/>
                <w:szCs w:val="24"/>
              </w:rPr>
            </w:pPr>
          </w:p>
        </w:tc>
      </w:tr>
    </w:tbl>
    <w:p w:rsidR="003501A1" w:rsidRPr="0073005A" w:rsidRDefault="003501A1" w:rsidP="00D11E1B">
      <w:pPr>
        <w:rPr>
          <w:b/>
          <w:sz w:val="24"/>
          <w:szCs w:val="24"/>
        </w:rPr>
      </w:pPr>
    </w:p>
    <w:sectPr w:rsidR="003501A1" w:rsidRPr="0073005A" w:rsidSect="004C60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358" w:rsidRDefault="003E1358" w:rsidP="003501A1">
      <w:r>
        <w:separator/>
      </w:r>
    </w:p>
  </w:endnote>
  <w:endnote w:type="continuationSeparator" w:id="0">
    <w:p w:rsidR="003E1358" w:rsidRDefault="003E1358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90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35" w:rsidRDefault="007E033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7E0335" w:rsidRDefault="007E033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35" w:rsidRDefault="007E033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932EC">
      <w:rPr>
        <w:noProof/>
      </w:rPr>
      <w:t>2</w:t>
    </w:r>
    <w:r>
      <w:fldChar w:fldCharType="end"/>
    </w:r>
  </w:p>
  <w:p w:rsidR="007E0335" w:rsidRDefault="007E0335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35" w:rsidRDefault="007E033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7E0335" w:rsidRDefault="007E03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358" w:rsidRDefault="003E1358" w:rsidP="003501A1">
      <w:r>
        <w:separator/>
      </w:r>
    </w:p>
  </w:footnote>
  <w:footnote w:type="continuationSeparator" w:id="0">
    <w:p w:rsidR="003E1358" w:rsidRDefault="003E1358" w:rsidP="0035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35" w:rsidRDefault="007E0335" w:rsidP="001961DF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7E0335" w:rsidRPr="00EB59C8" w:rsidRDefault="007E0335" w:rsidP="001961DF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35" w:rsidRPr="0024067A" w:rsidRDefault="007E0335">
    <w:pPr>
      <w:pStyle w:val="Hlavika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35" w:rsidRPr="000A15AE" w:rsidRDefault="007E0335" w:rsidP="001961DF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D49D5"/>
    <w:multiLevelType w:val="hybridMultilevel"/>
    <w:tmpl w:val="BB96DC7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9D1B10"/>
    <w:multiLevelType w:val="hybridMultilevel"/>
    <w:tmpl w:val="099AD3F2"/>
    <w:lvl w:ilvl="0" w:tplc="F15CFAE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4692A45"/>
    <w:multiLevelType w:val="hybridMultilevel"/>
    <w:tmpl w:val="28B610C0"/>
    <w:lvl w:ilvl="0" w:tplc="F0E06CBE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5CB603E8"/>
    <w:multiLevelType w:val="hybridMultilevel"/>
    <w:tmpl w:val="8C90F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05C44CD"/>
    <w:multiLevelType w:val="hybridMultilevel"/>
    <w:tmpl w:val="49AE2698"/>
    <w:lvl w:ilvl="0" w:tplc="6A780AA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86"/>
    <w:rsid w:val="00005A59"/>
    <w:rsid w:val="00036A60"/>
    <w:rsid w:val="00065A44"/>
    <w:rsid w:val="000A15AE"/>
    <w:rsid w:val="000C2A84"/>
    <w:rsid w:val="000F49FD"/>
    <w:rsid w:val="00102CF1"/>
    <w:rsid w:val="00117C56"/>
    <w:rsid w:val="0012545F"/>
    <w:rsid w:val="00145616"/>
    <w:rsid w:val="00152432"/>
    <w:rsid w:val="00175FD8"/>
    <w:rsid w:val="001814EA"/>
    <w:rsid w:val="00182708"/>
    <w:rsid w:val="001837D2"/>
    <w:rsid w:val="0018554B"/>
    <w:rsid w:val="00195D3F"/>
    <w:rsid w:val="001961DF"/>
    <w:rsid w:val="001D1951"/>
    <w:rsid w:val="001F1465"/>
    <w:rsid w:val="002033E2"/>
    <w:rsid w:val="00212FF1"/>
    <w:rsid w:val="00215ACA"/>
    <w:rsid w:val="00227D03"/>
    <w:rsid w:val="0024067A"/>
    <w:rsid w:val="0029135F"/>
    <w:rsid w:val="002932EC"/>
    <w:rsid w:val="002A4DF2"/>
    <w:rsid w:val="002E3105"/>
    <w:rsid w:val="002E3CDB"/>
    <w:rsid w:val="00303090"/>
    <w:rsid w:val="00345BAF"/>
    <w:rsid w:val="003501A1"/>
    <w:rsid w:val="003566DA"/>
    <w:rsid w:val="00365821"/>
    <w:rsid w:val="00380DFD"/>
    <w:rsid w:val="00395098"/>
    <w:rsid w:val="003E1358"/>
    <w:rsid w:val="003E5A25"/>
    <w:rsid w:val="003F00C4"/>
    <w:rsid w:val="003F4D41"/>
    <w:rsid w:val="00410906"/>
    <w:rsid w:val="004415EB"/>
    <w:rsid w:val="004429F5"/>
    <w:rsid w:val="0045465B"/>
    <w:rsid w:val="00466605"/>
    <w:rsid w:val="0049748A"/>
    <w:rsid w:val="004B363F"/>
    <w:rsid w:val="004C60B8"/>
    <w:rsid w:val="004C794A"/>
    <w:rsid w:val="004F6F1F"/>
    <w:rsid w:val="004F7D6F"/>
    <w:rsid w:val="00570B48"/>
    <w:rsid w:val="00591139"/>
    <w:rsid w:val="005B00AB"/>
    <w:rsid w:val="005B0A82"/>
    <w:rsid w:val="005B7A8D"/>
    <w:rsid w:val="005F5EE9"/>
    <w:rsid w:val="0060274C"/>
    <w:rsid w:val="00640AF8"/>
    <w:rsid w:val="00694CE3"/>
    <w:rsid w:val="006A2E92"/>
    <w:rsid w:val="006C3B7D"/>
    <w:rsid w:val="0073005A"/>
    <w:rsid w:val="007A735C"/>
    <w:rsid w:val="007B4F7D"/>
    <w:rsid w:val="007D2718"/>
    <w:rsid w:val="007D7486"/>
    <w:rsid w:val="007E0335"/>
    <w:rsid w:val="007F0AB4"/>
    <w:rsid w:val="00807D25"/>
    <w:rsid w:val="00815217"/>
    <w:rsid w:val="00834BC6"/>
    <w:rsid w:val="00906596"/>
    <w:rsid w:val="00920219"/>
    <w:rsid w:val="009A5536"/>
    <w:rsid w:val="00A304AB"/>
    <w:rsid w:val="00A379B9"/>
    <w:rsid w:val="00A45CFD"/>
    <w:rsid w:val="00A478E9"/>
    <w:rsid w:val="00AB7B6C"/>
    <w:rsid w:val="00AC2477"/>
    <w:rsid w:val="00AE51D7"/>
    <w:rsid w:val="00B14BDF"/>
    <w:rsid w:val="00B54670"/>
    <w:rsid w:val="00B65A86"/>
    <w:rsid w:val="00B87C37"/>
    <w:rsid w:val="00BB29E7"/>
    <w:rsid w:val="00BB54A3"/>
    <w:rsid w:val="00BD37FE"/>
    <w:rsid w:val="00BD6DF5"/>
    <w:rsid w:val="00C00BEF"/>
    <w:rsid w:val="00C26200"/>
    <w:rsid w:val="00C709A3"/>
    <w:rsid w:val="00C77AA9"/>
    <w:rsid w:val="00C86D50"/>
    <w:rsid w:val="00CA6952"/>
    <w:rsid w:val="00CB3623"/>
    <w:rsid w:val="00CD45F9"/>
    <w:rsid w:val="00D11E1B"/>
    <w:rsid w:val="00D13B6F"/>
    <w:rsid w:val="00D26A9A"/>
    <w:rsid w:val="00D70959"/>
    <w:rsid w:val="00D75D35"/>
    <w:rsid w:val="00D808B8"/>
    <w:rsid w:val="00DE2A12"/>
    <w:rsid w:val="00E0562E"/>
    <w:rsid w:val="00E507F7"/>
    <w:rsid w:val="00E54037"/>
    <w:rsid w:val="00E86839"/>
    <w:rsid w:val="00E92A43"/>
    <w:rsid w:val="00EB52A6"/>
    <w:rsid w:val="00EB59C8"/>
    <w:rsid w:val="00EB59E3"/>
    <w:rsid w:val="00EC5F87"/>
    <w:rsid w:val="00ED7507"/>
    <w:rsid w:val="00F22831"/>
    <w:rsid w:val="00F42BBF"/>
    <w:rsid w:val="00F51B8C"/>
    <w:rsid w:val="00F62771"/>
    <w:rsid w:val="00FA5048"/>
    <w:rsid w:val="00FD4A64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0A0416D-2FA5-40E2-9F84-D77047BB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501A1"/>
    <w:rPr>
      <w:rFonts w:ascii="Tahoma" w:hAnsi="Tahoma" w:cs="Tahoma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501A1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501A1"/>
    <w:rPr>
      <w:rFonts w:ascii="Times New Roman" w:hAnsi="Times New Roman" w:cs="Times New Roman"/>
      <w:sz w:val="20"/>
      <w:szCs w:val="20"/>
      <w:lang w:val="x-none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22831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175FD8"/>
    <w:rPr>
      <w:rFonts w:ascii="Times New Roman" w:hAnsi="Times New Roman" w:cs="Times New Roman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75FD8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Nzov">
    <w:name w:val="Title"/>
    <w:basedOn w:val="Normlny"/>
    <w:link w:val="NzovChar"/>
    <w:uiPriority w:val="10"/>
    <w:qFormat/>
    <w:rsid w:val="003F4D41"/>
    <w:pPr>
      <w:jc w:val="center"/>
    </w:pPr>
    <w:rPr>
      <w:rFonts w:ascii="Arial Narrow" w:hAnsi="Arial Narrow"/>
      <w:b/>
      <w:sz w:val="24"/>
      <w:szCs w:val="22"/>
    </w:rPr>
  </w:style>
  <w:style w:type="character" w:customStyle="1" w:styleId="NzovChar">
    <w:name w:val="Názov Char"/>
    <w:basedOn w:val="Predvolenpsmoodseku"/>
    <w:link w:val="Nzov"/>
    <w:uiPriority w:val="10"/>
    <w:locked/>
    <w:rsid w:val="003F4D41"/>
    <w:rPr>
      <w:rFonts w:ascii="Arial Narrow" w:hAnsi="Arial Narrow" w:cs="Times New Roman"/>
      <w:b/>
      <w:sz w:val="24"/>
      <w:lang w:val="x-none" w:eastAsia="sk-SK"/>
    </w:rPr>
  </w:style>
  <w:style w:type="character" w:styleId="Hypertextovprepojenie">
    <w:name w:val="Hyperlink"/>
    <w:basedOn w:val="Predvolenpsmoodseku"/>
    <w:uiPriority w:val="99"/>
    <w:rsid w:val="00102CF1"/>
    <w:rPr>
      <w:rFonts w:cs="Times New Roman"/>
      <w:color w:val="0000FF" w:themeColor="hyperlink"/>
      <w:u w:val="single"/>
    </w:rPr>
  </w:style>
  <w:style w:type="character" w:styleId="slostrany">
    <w:name w:val="page number"/>
    <w:basedOn w:val="Predvolenpsmoodseku"/>
    <w:uiPriority w:val="99"/>
    <w:rsid w:val="001961DF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807D25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807D25"/>
    <w:rPr>
      <w:rFonts w:ascii="Times New Roman" w:hAnsi="Times New Roman" w:cs="Times New Roman"/>
      <w:sz w:val="20"/>
      <w:szCs w:val="20"/>
      <w:lang w:val="x-none" w:eastAsia="sk-SK"/>
    </w:rPr>
  </w:style>
  <w:style w:type="paragraph" w:styleId="Bezriadkovania">
    <w:name w:val="No Spacing"/>
    <w:uiPriority w:val="1"/>
    <w:qFormat/>
    <w:rsid w:val="00CA6952"/>
    <w:pPr>
      <w:spacing w:after="0" w:line="240" w:lineRule="auto"/>
    </w:pPr>
    <w:rPr>
      <w:rFonts w:ascii="Calibri" w:hAnsi="Calibri" w:cs="Times New Roman"/>
    </w:rPr>
  </w:style>
  <w:style w:type="paragraph" w:customStyle="1" w:styleId="Odsekzoznamu1">
    <w:name w:val="Odsek zoznamu1"/>
    <w:basedOn w:val="Normlny"/>
    <w:rsid w:val="00CA6952"/>
    <w:pPr>
      <w:suppressAutoHyphens/>
      <w:spacing w:after="200" w:line="276" w:lineRule="auto"/>
    </w:pPr>
    <w:rPr>
      <w:rFonts w:ascii="Arial Narrow" w:eastAsia="SimSun" w:hAnsi="Arial Narrow" w:cs="font290"/>
      <w:kern w:val="1"/>
      <w:sz w:val="22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9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3F013-A8B5-4601-A8E3-6E682871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Droba Gabriel</dc:creator>
  <cp:keywords/>
  <dc:description/>
  <cp:lastModifiedBy>Horvatova Jana</cp:lastModifiedBy>
  <cp:revision>2</cp:revision>
  <cp:lastPrinted>2020-06-02T15:01:00Z</cp:lastPrinted>
  <dcterms:created xsi:type="dcterms:W3CDTF">2020-06-04T08:04:00Z</dcterms:created>
  <dcterms:modified xsi:type="dcterms:W3CDTF">2020-06-04T08:04:00Z</dcterms:modified>
</cp:coreProperties>
</file>