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BE39E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501A1" w:rsidRPr="00D57907" w:rsidRDefault="002D0264" w:rsidP="002D02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Vládny n</w:t>
            </w:r>
            <w:bookmarkStart w:id="0" w:name="_GoBack"/>
            <w:bookmarkEnd w:id="0"/>
            <w:r w:rsidR="00264293" w:rsidRPr="007A2FD5">
              <w:rPr>
                <w:sz w:val="22"/>
                <w:szCs w:val="22"/>
              </w:rPr>
              <w:t>ávrh zákona, ktorým sa dopĺňa zákon č. 461/2003 Z. z. o sociálnom poistení v znení neskorších predpisov a ktorým sa dopĺňa zákon č. 311/2001 Z. z. Zákonník práce v 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D57907" w:rsidRDefault="004865AB" w:rsidP="007B71A4">
            <w:pPr>
              <w:rPr>
                <w:sz w:val="22"/>
                <w:szCs w:val="22"/>
              </w:rPr>
            </w:pPr>
            <w:r w:rsidRPr="00D57907">
              <w:rPr>
                <w:sz w:val="22"/>
                <w:szCs w:val="22"/>
              </w:rPr>
              <w:t>m</w:t>
            </w:r>
            <w:r w:rsidR="00A94590" w:rsidRPr="00D57907">
              <w:rPr>
                <w:sz w:val="22"/>
                <w:szCs w:val="22"/>
              </w:rPr>
              <w:t>inister práce, sociálnych vecí a rodiny Slovenskej republiky</w:t>
            </w:r>
          </w:p>
          <w:p w:rsidR="003501A1" w:rsidRPr="00A179AE" w:rsidRDefault="003501A1" w:rsidP="00B12230">
            <w:pPr>
              <w:pStyle w:val="Textkomentra"/>
              <w:jc w:val="center"/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913DB5" w:rsidP="005D5ED8">
            <w:pPr>
              <w:rPr>
                <w:i/>
              </w:rPr>
            </w:pPr>
            <w:r w:rsidRPr="001B20BB">
              <w:rPr>
                <w:i/>
              </w:rPr>
              <w:t>1.6.2020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6B7" w:rsidRDefault="004A06B7" w:rsidP="00B122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1. júna 2020 budú otvorené jasle, predškolské a školské zariadenia s dobrovoľnou účasťou detí podľa preferencií rodičov a s prihliadnutím na kapacitné možnosti predmetných zariadení. Obdobne budú priebežne otvárané zariadenia sociálnych služieb.</w:t>
            </w:r>
          </w:p>
          <w:p w:rsidR="004A06B7" w:rsidRDefault="004A06B7" w:rsidP="00B12230">
            <w:pPr>
              <w:jc w:val="both"/>
              <w:rPr>
                <w:sz w:val="22"/>
                <w:szCs w:val="22"/>
              </w:rPr>
            </w:pPr>
          </w:p>
          <w:p w:rsidR="00B12230" w:rsidRPr="00913DB5" w:rsidRDefault="00913DB5" w:rsidP="00B12230">
            <w:pPr>
              <w:jc w:val="both"/>
              <w:rPr>
                <w:sz w:val="22"/>
                <w:szCs w:val="22"/>
              </w:rPr>
            </w:pPr>
            <w:r w:rsidRPr="00913DB5">
              <w:rPr>
                <w:sz w:val="22"/>
                <w:szCs w:val="22"/>
              </w:rPr>
              <w:t>Slovenská republika reagovala</w:t>
            </w:r>
            <w:r w:rsidR="00B12230" w:rsidRPr="00913DB5">
              <w:rPr>
                <w:sz w:val="22"/>
                <w:szCs w:val="22"/>
              </w:rPr>
              <w:t xml:space="preserve"> na rozšírenie pandémie COVID-19 na jej území vyhlásením mimoriadnej situácie, resp. núdzového stavu. Negatívnymi dopadmi tejto mimoriadnej situácie, resp. núdzového stavu sú priamo ovplyvnení zamestnanci</w:t>
            </w:r>
            <w:r w:rsidR="004043B0">
              <w:rPr>
                <w:sz w:val="22"/>
                <w:szCs w:val="22"/>
              </w:rPr>
              <w:t xml:space="preserve"> </w:t>
            </w:r>
            <w:r w:rsidR="00B12230" w:rsidRPr="00913DB5">
              <w:rPr>
                <w:sz w:val="22"/>
                <w:szCs w:val="22"/>
              </w:rPr>
              <w:t xml:space="preserve">ako aj </w:t>
            </w:r>
            <w:r w:rsidR="004018B3" w:rsidRPr="00913DB5">
              <w:rPr>
                <w:sz w:val="22"/>
                <w:szCs w:val="22"/>
              </w:rPr>
              <w:t>zamestnávatelia.</w:t>
            </w:r>
          </w:p>
          <w:p w:rsidR="00913DB5" w:rsidRDefault="00913DB5" w:rsidP="00913DB5">
            <w:pPr>
              <w:jc w:val="both"/>
              <w:rPr>
                <w:sz w:val="22"/>
                <w:szCs w:val="22"/>
              </w:rPr>
            </w:pPr>
            <w:r w:rsidRPr="00913DB5">
              <w:rPr>
                <w:sz w:val="22"/>
                <w:szCs w:val="22"/>
              </w:rPr>
              <w:t>Jedným z riešení je dočasne umožniť predĺženia a opätovné dohodnutia pracovných pomerov na dobu určitú nad rámec existujúceho právneho stavu</w:t>
            </w:r>
            <w:r>
              <w:rPr>
                <w:sz w:val="22"/>
                <w:szCs w:val="22"/>
              </w:rPr>
              <w:t xml:space="preserve">, ktoré umožní zamestnávateľom ponechať si zamestnancov, ktorých by </w:t>
            </w:r>
            <w:r w:rsidR="004043B0">
              <w:rPr>
                <w:sz w:val="22"/>
                <w:szCs w:val="22"/>
              </w:rPr>
              <w:t xml:space="preserve">z dôvodu krízy </w:t>
            </w:r>
            <w:r>
              <w:rPr>
                <w:sz w:val="22"/>
                <w:szCs w:val="22"/>
              </w:rPr>
              <w:t>nezobrali na pracovný pomer na neurčitý čas.</w:t>
            </w:r>
          </w:p>
          <w:p w:rsidR="00913DB5" w:rsidRPr="00B12230" w:rsidRDefault="00913DB5" w:rsidP="00913DB5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230" w:rsidRDefault="00B12230" w:rsidP="00802CF6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BE098D">
              <w:rPr>
                <w:rFonts w:ascii="Times" w:hAnsi="Times" w:cs="Times"/>
                <w:sz w:val="22"/>
                <w:szCs w:val="22"/>
              </w:rPr>
              <w:t>Cieľom predloženého návrhu je riešenie dopadov vyhlásenia mimoriadnej situácie alebo núdzového stavu v súvislosti s pandémiou COVID-19 na území Slovenskej republiky.</w:t>
            </w:r>
          </w:p>
          <w:p w:rsidR="004A06B7" w:rsidRDefault="004A06B7" w:rsidP="00802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oblasti sociálneho poistenia sa navrhuje zavedenie možnosti pokračovania v poberaní tzv. </w:t>
            </w:r>
            <w:proofErr w:type="spellStart"/>
            <w:r>
              <w:rPr>
                <w:sz w:val="22"/>
                <w:szCs w:val="22"/>
              </w:rPr>
              <w:t>pandemického</w:t>
            </w:r>
            <w:proofErr w:type="spellEnd"/>
            <w:r>
              <w:rPr>
                <w:sz w:val="22"/>
                <w:szCs w:val="22"/>
              </w:rPr>
              <w:t xml:space="preserve"> ošetrovného aj za jún 2020 v prípade, že rodič od 1. júna 2020 neprejaví záujem o zaradenie svojho dieťaťa do jaslí, predškolského a školského zariadenia, resp. dieťa nebude umiestnené z kapacitných dôvodov. Obdobné platí pre osoby starajúce sa o odkázané osoby dočasne neumiestnené do zariadení sociálnych služieb.  </w:t>
            </w:r>
            <w:r w:rsidRPr="00802CF6">
              <w:rPr>
                <w:sz w:val="22"/>
                <w:szCs w:val="22"/>
              </w:rPr>
              <w:t xml:space="preserve"> </w:t>
            </w:r>
          </w:p>
          <w:p w:rsidR="00B718FE" w:rsidRDefault="00B718FE" w:rsidP="00B12230">
            <w:pPr>
              <w:jc w:val="both"/>
              <w:rPr>
                <w:sz w:val="22"/>
                <w:szCs w:val="22"/>
              </w:rPr>
            </w:pPr>
          </w:p>
          <w:p w:rsidR="00913DB5" w:rsidRPr="00913DB5" w:rsidRDefault="00D2240F" w:rsidP="00913DB5">
            <w:pPr>
              <w:jc w:val="both"/>
              <w:rPr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V</w:t>
            </w:r>
            <w:r w:rsidR="00B718FE" w:rsidRPr="003C6D13">
              <w:rPr>
                <w:rFonts w:ascii="Times" w:hAnsi="Times" w:cs="Times"/>
                <w:sz w:val="22"/>
                <w:szCs w:val="22"/>
              </w:rPr>
              <w:t xml:space="preserve"> oblasti pracovnoprávnych vzťahov je </w:t>
            </w:r>
            <w:r>
              <w:rPr>
                <w:rFonts w:ascii="Times" w:hAnsi="Times" w:cs="Times"/>
                <w:sz w:val="22"/>
                <w:szCs w:val="22"/>
              </w:rPr>
              <w:t>cieľom návrhu</w:t>
            </w:r>
            <w:r w:rsidR="00913DB5">
              <w:rPr>
                <w:rFonts w:ascii="Times" w:hAnsi="Times" w:cs="Times"/>
                <w:sz w:val="22"/>
                <w:szCs w:val="22"/>
              </w:rPr>
              <w:t xml:space="preserve"> zabezpečenie zachovania pracovných miest.</w:t>
            </w:r>
            <w:r w:rsidR="00913DB5" w:rsidRPr="00913DB5">
              <w:rPr>
                <w:sz w:val="22"/>
                <w:szCs w:val="22"/>
              </w:rPr>
              <w:t xml:space="preserve"> Na základe podnetov od zamestnávateľov, predovšetkým z automobilového priemyslu, za skupinu zamestnancov obzvlášť ohrozenú prepúšťaním (nepredĺžením zmluvy na neurčitý čas) možno považovať zamestnancov s pracovným pomerom na dobu určitú, ktorých pracovný pomer skončí v najbližšej dobe a jeho predĺženie nie je možné z dôvodov podľa § 48 ods. 2 Zákonníka práce. Rovnako sa to týka zamestnancov, ktorých pracovný pomer na dobu určitú sa skončil v čase vyhlásenej mimoriadnej situácie, núdzového stavu a už nebol predĺžený. Zamestnávatelia v podnetoch uvádzali, že si v týchto ekonomicky náročných časoch nemôžu dovoliť zamestnať týchto </w:t>
            </w:r>
            <w:r w:rsidR="00913DB5" w:rsidRPr="00913DB5">
              <w:rPr>
                <w:sz w:val="22"/>
                <w:szCs w:val="22"/>
              </w:rPr>
              <w:lastRenderedPageBreak/>
              <w:t xml:space="preserve">zamestnancov na dobu neurčitú a z toho dôvodu budú nútení ich prepustiť. Tomuto sa je možné podľa zamestnávateľov vyhnúť legislatívnou úpravou, ktorá počas mimoriadnej situácie a núdzového stavu umožní predĺženie, resp. opätovné uzatvorenie takýchto pracovných pomerov o dobu  najviac jedného roka. </w:t>
            </w:r>
          </w:p>
          <w:p w:rsidR="003A5582" w:rsidRPr="00F863B1" w:rsidRDefault="003A5582" w:rsidP="00802CF6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6B7" w:rsidRPr="00BE098D" w:rsidRDefault="004A06B7" w:rsidP="004A06B7">
            <w:pPr>
              <w:jc w:val="both"/>
              <w:rPr>
                <w:sz w:val="22"/>
                <w:szCs w:val="22"/>
              </w:rPr>
            </w:pPr>
            <w:r w:rsidRPr="00B556B5">
              <w:rPr>
                <w:sz w:val="22"/>
                <w:szCs w:val="22"/>
              </w:rPr>
              <w:t>Osoby starajúce sa o</w:t>
            </w:r>
            <w:r>
              <w:rPr>
                <w:sz w:val="22"/>
                <w:szCs w:val="22"/>
              </w:rPr>
              <w:t> </w:t>
            </w:r>
            <w:r w:rsidRPr="00B556B5">
              <w:rPr>
                <w:sz w:val="22"/>
                <w:szCs w:val="22"/>
              </w:rPr>
              <w:t>deti</w:t>
            </w:r>
            <w:r>
              <w:rPr>
                <w:sz w:val="22"/>
                <w:szCs w:val="22"/>
              </w:rPr>
              <w:t xml:space="preserve">, </w:t>
            </w:r>
            <w:r w:rsidRPr="00B556B5">
              <w:rPr>
                <w:sz w:val="22"/>
                <w:szCs w:val="22"/>
              </w:rPr>
              <w:t> osoby starajúce sa o odkázané osoby</w:t>
            </w:r>
            <w:r>
              <w:rPr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A5582">
              <w:rPr>
                <w:sz w:val="24"/>
                <w:szCs w:val="24"/>
              </w:rPr>
              <w:t xml:space="preserve"> </w:t>
            </w:r>
          </w:p>
          <w:p w:rsidR="003C5D81" w:rsidRPr="00BE098D" w:rsidRDefault="004A06B7" w:rsidP="00B6024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Zamestnávatelia a </w:t>
            </w:r>
            <w:r w:rsidR="00B47D14">
              <w:rPr>
                <w:sz w:val="24"/>
                <w:szCs w:val="24"/>
              </w:rPr>
              <w:t xml:space="preserve"> zamestnanci</w:t>
            </w:r>
            <w:r w:rsidR="004043B0">
              <w:rPr>
                <w:sz w:val="24"/>
                <w:szCs w:val="24"/>
              </w:rPr>
              <w:t>.</w:t>
            </w:r>
          </w:p>
          <w:p w:rsidR="003501A1" w:rsidRPr="003A5582" w:rsidRDefault="003501A1" w:rsidP="000316A9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26A8E" w:rsidP="002672DA">
            <w:pPr>
              <w:jc w:val="both"/>
              <w:rPr>
                <w:i/>
              </w:rPr>
            </w:pPr>
            <w:r w:rsidRPr="00BE098D">
              <w:rPr>
                <w:rFonts w:ascii="Times" w:hAnsi="Times" w:cs="Times"/>
                <w:sz w:val="22"/>
                <w:szCs w:val="22"/>
              </w:rPr>
              <w:t xml:space="preserve">Vzhľadom na vážnosť situácie je predmetný typ kompenzácie zvažovaný prioritne a nezvažujú sa zásadne odlišné alternatívne riešenia, resp. ponechanie nulového variantu, nakoľko ten by mal </w:t>
            </w:r>
            <w:proofErr w:type="spellStart"/>
            <w:r>
              <w:rPr>
                <w:rFonts w:ascii="Times" w:hAnsi="Times" w:cs="Times"/>
                <w:sz w:val="22"/>
                <w:szCs w:val="22"/>
              </w:rPr>
              <w:t>signifikantný</w:t>
            </w:r>
            <w:proofErr w:type="spellEnd"/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E098D">
              <w:rPr>
                <w:rFonts w:ascii="Times" w:hAnsi="Times" w:cs="Times"/>
                <w:sz w:val="22"/>
                <w:szCs w:val="22"/>
              </w:rPr>
              <w:t>negatívny vplyv na dotknuté subjekty</w:t>
            </w:r>
            <w:r>
              <w:rPr>
                <w:rFonts w:ascii="Times" w:hAnsi="Times" w:cs="Times"/>
                <w:sz w:val="22"/>
                <w:szCs w:val="22"/>
              </w:rPr>
              <w:t xml:space="preserve"> a potenciálne tiež na zamestnanosť</w:t>
            </w:r>
            <w:r w:rsidRPr="00BE098D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A5141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FA5141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CB60C4" w:rsidRDefault="00CB60C4" w:rsidP="00F22831"/>
          <w:p w:rsidR="00CB60C4" w:rsidRPr="00A179AE" w:rsidRDefault="00CB60C4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4A06B7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A06B7" w:rsidRPr="00A179AE" w:rsidRDefault="004A06B7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A06B7" w:rsidRPr="00A179AE" w:rsidRDefault="004A06B7" w:rsidP="00050B7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6B7" w:rsidRPr="00A179AE" w:rsidRDefault="004A06B7" w:rsidP="00050B72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06B7" w:rsidRPr="00A179AE" w:rsidRDefault="004A06B7" w:rsidP="00050B7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6B7" w:rsidRPr="00A179AE" w:rsidRDefault="004A06B7" w:rsidP="00050B7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06B7" w:rsidRPr="00A179AE" w:rsidRDefault="004A06B7" w:rsidP="00050B72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B7" w:rsidRPr="00A179AE" w:rsidRDefault="004A06B7" w:rsidP="00050B72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4A06B7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4A06B7" w:rsidRPr="00E102C4" w:rsidRDefault="004A06B7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A06B7" w:rsidRPr="00E102C4" w:rsidRDefault="004A06B7" w:rsidP="00050B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6B7" w:rsidRPr="00E102C4" w:rsidRDefault="004A06B7" w:rsidP="00050B72">
            <w:r w:rsidRPr="00E102C4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06B7" w:rsidRPr="00E102C4" w:rsidRDefault="004A06B7" w:rsidP="00050B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6B7" w:rsidRPr="00E102C4" w:rsidRDefault="004A06B7" w:rsidP="00050B72">
            <w:r w:rsidRPr="00E102C4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06B7" w:rsidRPr="00E102C4" w:rsidRDefault="004A06B7" w:rsidP="00050B72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B7" w:rsidRPr="00E102C4" w:rsidRDefault="004A06B7" w:rsidP="00050B72">
            <w:pPr>
              <w:ind w:left="34"/>
            </w:pPr>
            <w:r w:rsidRPr="00E102C4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637D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B657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4A06B7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A06B7" w:rsidRPr="00A179AE" w:rsidRDefault="004A06B7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A06B7" w:rsidRPr="00A179AE" w:rsidRDefault="004A06B7" w:rsidP="00050B7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6B7" w:rsidRPr="00A179AE" w:rsidRDefault="004A06B7" w:rsidP="00050B72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06B7" w:rsidRPr="00A179AE" w:rsidRDefault="004A06B7" w:rsidP="00050B7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6B7" w:rsidRPr="00A179AE" w:rsidRDefault="004A06B7" w:rsidP="00050B7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A06B7" w:rsidRPr="00A179AE" w:rsidRDefault="004A06B7" w:rsidP="00050B72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B7" w:rsidRPr="00A179AE" w:rsidRDefault="004A06B7" w:rsidP="00050B72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p w:rsidR="00CB60C4" w:rsidRDefault="00CB60C4" w:rsidP="003501A1">
      <w:pPr>
        <w:ind w:right="141"/>
        <w:rPr>
          <w:b/>
        </w:rPr>
      </w:pPr>
    </w:p>
    <w:p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A6844" w:rsidRPr="002C5628" w:rsidRDefault="008A6844" w:rsidP="00E102C4">
            <w:pPr>
              <w:jc w:val="both"/>
              <w:rPr>
                <w:i/>
                <w:sz w:val="22"/>
                <w:szCs w:val="22"/>
              </w:rPr>
            </w:pPr>
          </w:p>
          <w:p w:rsidR="003C5D81" w:rsidRDefault="00D514B2" w:rsidP="00320A65">
            <w:pPr>
              <w:jc w:val="both"/>
              <w:rPr>
                <w:i/>
                <w:sz w:val="22"/>
                <w:szCs w:val="22"/>
              </w:rPr>
            </w:pPr>
            <w:r w:rsidRPr="002C5628">
              <w:rPr>
                <w:i/>
                <w:sz w:val="22"/>
                <w:szCs w:val="22"/>
                <w:u w:val="single"/>
              </w:rPr>
              <w:t>Vplyvy na podnikateľské prostredie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Vplyv na podnikateľské prostredie bude pozitívny, pretože podnikateľom zníži riziká dodatočných nákladov, ktoré by mohli vzniknúť s prechodom zamestnancov na pracovný pomer na neurčitý čas. Toto zníženie rizika bude také, že podnikatelia pri voľbe, či osobu ešte zamestnať alebo nie budú </w:t>
            </w:r>
            <w:r>
              <w:rPr>
                <w:i/>
                <w:sz w:val="22"/>
                <w:szCs w:val="22"/>
              </w:rPr>
              <w:lastRenderedPageBreak/>
              <w:t xml:space="preserve">intenzívnejšie v tejto situácii </w:t>
            </w:r>
            <w:r w:rsidR="004043B0">
              <w:rPr>
                <w:i/>
                <w:sz w:val="22"/>
                <w:szCs w:val="22"/>
              </w:rPr>
              <w:t>zvažovať ponechanie pracovnej sily.</w:t>
            </w: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Počet takto udržaných miest nie je možné kvantifikovať, pretože neexistujú údaje o počte pracovných miest, na ktorých sú zamestnanci, u ktorých nemožno už reťaziť pracovný pomer na dobu určitú, u ktorých zamestnávateľ, ak by nebola kríza</w:t>
            </w:r>
            <w:r w:rsidR="004043B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skutočne zvažoval, že zamestnanca zoberie na pracovný pomer na neurčitý čas</w:t>
            </w:r>
            <w:r w:rsidR="004043B0">
              <w:rPr>
                <w:i/>
                <w:sz w:val="22"/>
                <w:szCs w:val="22"/>
              </w:rPr>
              <w:t xml:space="preserve"> (t.j. že miesto nie je len dočasné)</w:t>
            </w:r>
            <w:r>
              <w:rPr>
                <w:i/>
                <w:sz w:val="22"/>
                <w:szCs w:val="22"/>
              </w:rPr>
              <w:t xml:space="preserve">. Nie </w:t>
            </w:r>
            <w:r w:rsidR="004043B0">
              <w:rPr>
                <w:i/>
                <w:sz w:val="22"/>
                <w:szCs w:val="22"/>
              </w:rPr>
              <w:t xml:space="preserve">je možné ani predvídať, </w:t>
            </w:r>
            <w:r>
              <w:rPr>
                <w:i/>
                <w:sz w:val="22"/>
                <w:szCs w:val="22"/>
              </w:rPr>
              <w:t xml:space="preserve">dokedy bude trvať mimoriadna situácia, a teda v akom časovom rozsahu sa </w:t>
            </w:r>
            <w:r w:rsidR="004043B0">
              <w:rPr>
                <w:i/>
                <w:sz w:val="22"/>
                <w:szCs w:val="22"/>
              </w:rPr>
              <w:t xml:space="preserve">táto výnimka </w:t>
            </w:r>
            <w:r>
              <w:rPr>
                <w:i/>
                <w:sz w:val="22"/>
                <w:szCs w:val="22"/>
              </w:rPr>
              <w:t>bude realizovať.</w:t>
            </w: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Predkladateľ má informácie zo strany zamestnávateľov, ktoré boli zverejnené aj v stanovisku jedného zo sociálnych partnerov na HSR SR 22.5.2020, že k takémuto prehodnocovaniu u zamestnávateľov dochádza</w:t>
            </w:r>
            <w:r w:rsidR="004043B0">
              <w:rPr>
                <w:i/>
                <w:sz w:val="22"/>
                <w:szCs w:val="22"/>
              </w:rPr>
              <w:t>.</w:t>
            </w:r>
          </w:p>
          <w:p w:rsidR="00E16725" w:rsidRDefault="00E16725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E16725" w:rsidRDefault="00E16725" w:rsidP="00E16725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K sociálnym vplyvom v oblasti sociálneho poistenia</w:t>
            </w:r>
          </w:p>
          <w:p w:rsidR="00E16725" w:rsidRDefault="00E16725" w:rsidP="00E16725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3C6D13" w:rsidRDefault="00E16725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Očakáva sa 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  <w:r w:rsidRPr="002C5628">
              <w:rPr>
                <w:rFonts w:eastAsia="Calibri"/>
                <w:i/>
                <w:sz w:val="22"/>
                <w:szCs w:val="22"/>
              </w:rPr>
              <w:t>pozitívny vplyv na hospodárenie dotknutých domácností z dôvodu zabezpečenia</w:t>
            </w:r>
            <w:r>
              <w:rPr>
                <w:rFonts w:eastAsia="Calibri"/>
                <w:i/>
                <w:sz w:val="22"/>
                <w:szCs w:val="22"/>
              </w:rPr>
              <w:t xml:space="preserve"> príjmu počas starostlivo</w:t>
            </w:r>
            <w:r w:rsidRPr="002C5628">
              <w:rPr>
                <w:rFonts w:eastAsia="Calibri"/>
                <w:i/>
                <w:sz w:val="22"/>
                <w:szCs w:val="22"/>
              </w:rPr>
              <w:t xml:space="preserve">sti </w:t>
            </w:r>
            <w:r>
              <w:rPr>
                <w:rFonts w:eastAsia="Calibri"/>
                <w:i/>
                <w:sz w:val="22"/>
                <w:szCs w:val="22"/>
              </w:rPr>
              <w:t>o deti alebo odkázané osoby, ktoré neboli umiestnené do príslušných zariadení.</w:t>
            </w:r>
          </w:p>
          <w:p w:rsidR="00E16725" w:rsidRPr="00E16725" w:rsidRDefault="00E16725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3C5D81" w:rsidRDefault="004A06B7" w:rsidP="00FE173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K sociálnym vplyvom v oblasti pracovnoprávnych vzťahov</w:t>
            </w:r>
            <w:r w:rsidR="006863EA" w:rsidRPr="002C5628">
              <w:rPr>
                <w:i/>
                <w:sz w:val="22"/>
                <w:szCs w:val="22"/>
              </w:rPr>
              <w:t xml:space="preserve"> </w:t>
            </w:r>
          </w:p>
          <w:p w:rsidR="00644A93" w:rsidRDefault="00644A93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602D34" w:rsidRDefault="00913DB5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Napriek tomu, že pracovný pomer na dobu určitú je považovaný za </w:t>
            </w:r>
            <w:r w:rsidR="007B0303">
              <w:rPr>
                <w:rFonts w:eastAsia="Calibri"/>
                <w:i/>
                <w:sz w:val="22"/>
                <w:szCs w:val="22"/>
              </w:rPr>
              <w:t>menej stabilnú formu zamestnania</w:t>
            </w:r>
            <w:r w:rsidR="004043B0">
              <w:rPr>
                <w:rFonts w:eastAsia="Calibri"/>
                <w:i/>
                <w:sz w:val="22"/>
                <w:szCs w:val="22"/>
              </w:rPr>
              <w:t xml:space="preserve"> (trvá len do uplynutia doby), z</w:t>
            </w:r>
            <w:r w:rsidR="007B0303">
              <w:rPr>
                <w:rFonts w:eastAsia="Calibri"/>
                <w:i/>
                <w:sz w:val="22"/>
                <w:szCs w:val="22"/>
              </w:rPr>
              <w:t xml:space="preserve">amestnanec má porovnateľné postavenie ako zamestnanec v pracovnom pomere na neurčitý čas (rozdiely spravidla vychádzajú len z dĺžky „služobnej“ praxe). Z tohto hľadiska navrhované opatrenie </w:t>
            </w:r>
            <w:r w:rsidR="004A06B7">
              <w:rPr>
                <w:rFonts w:eastAsia="Calibri"/>
                <w:i/>
                <w:sz w:val="22"/>
                <w:szCs w:val="22"/>
              </w:rPr>
              <w:t xml:space="preserve">by mohlo byť vnímané ako opatrenie </w:t>
            </w:r>
            <w:r w:rsidR="003A4C44">
              <w:rPr>
                <w:rFonts w:eastAsia="Calibri"/>
                <w:i/>
                <w:sz w:val="22"/>
                <w:szCs w:val="22"/>
              </w:rPr>
              <w:t xml:space="preserve">aj </w:t>
            </w:r>
            <w:r w:rsidR="004A06B7">
              <w:rPr>
                <w:rFonts w:eastAsia="Calibri"/>
                <w:i/>
                <w:sz w:val="22"/>
                <w:szCs w:val="22"/>
              </w:rPr>
              <w:t>s negatívnym vplyvom</w:t>
            </w:r>
            <w:r w:rsidR="007B0303">
              <w:rPr>
                <w:rFonts w:eastAsia="Calibri"/>
                <w:i/>
                <w:sz w:val="22"/>
                <w:szCs w:val="22"/>
              </w:rPr>
              <w:t xml:space="preserve"> – zamestnancovi nie je ponúknuté pracovné miesto na neurčitý čas ale vzhľadom na krízovú situáciu je otázne, či by zamestnancovi takéto miesto bolo vôbec ponúknuté. V súčasnej situácii teda možno do úvahy brať aj skutočnosť, že pre zamestnanca je lepším riešením ak pracovnoprávny vzťah naďalej pokračuje /hoci na dobu určitú/ ako byť evidovaný na úrade práce a mať problém získať zamestnanie. Z tohto hľadiska pozitívne sociálne vplyvy </w:t>
            </w:r>
            <w:r w:rsidR="00B7784C">
              <w:rPr>
                <w:rFonts w:eastAsia="Calibri"/>
                <w:i/>
                <w:sz w:val="22"/>
                <w:szCs w:val="22"/>
              </w:rPr>
              <w:t xml:space="preserve">výrazne </w:t>
            </w:r>
            <w:r w:rsidR="007B0303">
              <w:rPr>
                <w:rFonts w:eastAsia="Calibri"/>
                <w:i/>
                <w:sz w:val="22"/>
                <w:szCs w:val="22"/>
              </w:rPr>
              <w:t>prevažujú nad negatívnymi sociálnymi vplyvmi. Zároveň, ak sa situácia zlepší, zamestnanec bude mať možnosť uchádzať sa o pracovný pomer na neurčitý čas u svojho zamestnávateľa.</w:t>
            </w:r>
          </w:p>
          <w:p w:rsidR="004F6F1F" w:rsidRPr="00D514B2" w:rsidRDefault="004F6F1F" w:rsidP="00FE173E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E102C4" w:rsidRDefault="003501A1" w:rsidP="004113DB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25" w:rsidRPr="00826A8E" w:rsidRDefault="00E16725" w:rsidP="00E1672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826A8E">
              <w:rPr>
                <w:i/>
                <w:sz w:val="22"/>
                <w:szCs w:val="22"/>
              </w:rPr>
              <w:t>ktuálne štatistické údaje z nemocenského poistenia.</w:t>
            </w:r>
          </w:p>
          <w:p w:rsidR="003501A1" w:rsidRPr="00A179AE" w:rsidRDefault="003501A1" w:rsidP="00FE173E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61F5E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461F5E" w:rsidRDefault="003501A1" w:rsidP="00343953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1A1" w:rsidRPr="00461F5E" w:rsidRDefault="003501A1" w:rsidP="003501A1">
      <w:pPr>
        <w:rPr>
          <w:b/>
          <w:sz w:val="22"/>
          <w:szCs w:val="22"/>
        </w:rPr>
      </w:pPr>
    </w:p>
    <w:p w:rsidR="003501A1" w:rsidRPr="00461F5E" w:rsidRDefault="003501A1" w:rsidP="003501A1">
      <w:pPr>
        <w:rPr>
          <w:b/>
          <w:sz w:val="22"/>
          <w:szCs w:val="22"/>
        </w:rPr>
      </w:pPr>
    </w:p>
    <w:p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41" w:rsidRDefault="00FA5141" w:rsidP="003501A1">
      <w:r>
        <w:separator/>
      </w:r>
    </w:p>
  </w:endnote>
  <w:endnote w:type="continuationSeparator" w:id="0">
    <w:p w:rsidR="00FA5141" w:rsidRDefault="00FA514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:rsidR="0011129D" w:rsidRDefault="003A529D">
        <w:pPr>
          <w:pStyle w:val="Pta"/>
          <w:jc w:val="center"/>
        </w:pPr>
        <w:r>
          <w:fldChar w:fldCharType="begin"/>
        </w:r>
        <w:r w:rsidR="0011129D">
          <w:instrText>PAGE   \* MERGEFORMAT</w:instrText>
        </w:r>
        <w:r>
          <w:fldChar w:fldCharType="separate"/>
        </w:r>
        <w:r w:rsidR="002D0264">
          <w:rPr>
            <w:noProof/>
          </w:rPr>
          <w:t>3</w:t>
        </w:r>
        <w:r>
          <w:fldChar w:fldCharType="end"/>
        </w:r>
      </w:p>
    </w:sdtContent>
  </w:sdt>
  <w:p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41" w:rsidRDefault="00FA5141" w:rsidP="003501A1">
      <w:r>
        <w:separator/>
      </w:r>
    </w:p>
  </w:footnote>
  <w:footnote w:type="continuationSeparator" w:id="0">
    <w:p w:rsidR="00FA5141" w:rsidRDefault="00FA5141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35D82"/>
    <w:multiLevelType w:val="hybridMultilevel"/>
    <w:tmpl w:val="A9A80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612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547"/>
    <w:multiLevelType w:val="hybridMultilevel"/>
    <w:tmpl w:val="C1BE3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74CB6"/>
    <w:multiLevelType w:val="hybridMultilevel"/>
    <w:tmpl w:val="BE44E6E4"/>
    <w:lvl w:ilvl="0" w:tplc="F956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56BE"/>
    <w:rsid w:val="000316A9"/>
    <w:rsid w:val="00036A60"/>
    <w:rsid w:val="00043E3C"/>
    <w:rsid w:val="000576FC"/>
    <w:rsid w:val="00084D44"/>
    <w:rsid w:val="00085CD2"/>
    <w:rsid w:val="00086980"/>
    <w:rsid w:val="00093169"/>
    <w:rsid w:val="000A1733"/>
    <w:rsid w:val="000A2143"/>
    <w:rsid w:val="000B474D"/>
    <w:rsid w:val="000C039E"/>
    <w:rsid w:val="000C5789"/>
    <w:rsid w:val="000D40AB"/>
    <w:rsid w:val="000E01A7"/>
    <w:rsid w:val="000F653A"/>
    <w:rsid w:val="001059C9"/>
    <w:rsid w:val="0011129D"/>
    <w:rsid w:val="0011693A"/>
    <w:rsid w:val="00126902"/>
    <w:rsid w:val="00142423"/>
    <w:rsid w:val="00145764"/>
    <w:rsid w:val="001552BB"/>
    <w:rsid w:val="001554B4"/>
    <w:rsid w:val="00157301"/>
    <w:rsid w:val="00175FD8"/>
    <w:rsid w:val="00176D6A"/>
    <w:rsid w:val="001A1559"/>
    <w:rsid w:val="001A2225"/>
    <w:rsid w:val="001B20BB"/>
    <w:rsid w:val="001D56D3"/>
    <w:rsid w:val="001E235A"/>
    <w:rsid w:val="001E7F7D"/>
    <w:rsid w:val="001F0FE6"/>
    <w:rsid w:val="0020153D"/>
    <w:rsid w:val="00203A4E"/>
    <w:rsid w:val="00210FED"/>
    <w:rsid w:val="0021247A"/>
    <w:rsid w:val="00217FFD"/>
    <w:rsid w:val="00227B96"/>
    <w:rsid w:val="00235A62"/>
    <w:rsid w:val="002362B1"/>
    <w:rsid w:val="002367A2"/>
    <w:rsid w:val="00247830"/>
    <w:rsid w:val="002637DB"/>
    <w:rsid w:val="00264293"/>
    <w:rsid w:val="002672DA"/>
    <w:rsid w:val="002853C4"/>
    <w:rsid w:val="00286BE1"/>
    <w:rsid w:val="00295FD2"/>
    <w:rsid w:val="002A177B"/>
    <w:rsid w:val="002B64A6"/>
    <w:rsid w:val="002C5628"/>
    <w:rsid w:val="002C6B8A"/>
    <w:rsid w:val="002D0264"/>
    <w:rsid w:val="002D6CDE"/>
    <w:rsid w:val="003027A2"/>
    <w:rsid w:val="00313BDC"/>
    <w:rsid w:val="003204FE"/>
    <w:rsid w:val="00320A65"/>
    <w:rsid w:val="00332F34"/>
    <w:rsid w:val="00341C6B"/>
    <w:rsid w:val="00343953"/>
    <w:rsid w:val="003501A1"/>
    <w:rsid w:val="00361D11"/>
    <w:rsid w:val="003669E9"/>
    <w:rsid w:val="00375032"/>
    <w:rsid w:val="00376A3F"/>
    <w:rsid w:val="003855CF"/>
    <w:rsid w:val="00395098"/>
    <w:rsid w:val="003A4B47"/>
    <w:rsid w:val="003A4C44"/>
    <w:rsid w:val="003A529D"/>
    <w:rsid w:val="003A5582"/>
    <w:rsid w:val="003B5589"/>
    <w:rsid w:val="003C5D81"/>
    <w:rsid w:val="003C6D13"/>
    <w:rsid w:val="003D3FF0"/>
    <w:rsid w:val="003D41A9"/>
    <w:rsid w:val="003F1CF4"/>
    <w:rsid w:val="004018B3"/>
    <w:rsid w:val="004043B0"/>
    <w:rsid w:val="004113DB"/>
    <w:rsid w:val="004536CC"/>
    <w:rsid w:val="0045465B"/>
    <w:rsid w:val="00457F05"/>
    <w:rsid w:val="00461F5E"/>
    <w:rsid w:val="00472D31"/>
    <w:rsid w:val="004746DB"/>
    <w:rsid w:val="0047707F"/>
    <w:rsid w:val="004812BF"/>
    <w:rsid w:val="004865AB"/>
    <w:rsid w:val="004868DD"/>
    <w:rsid w:val="004A06B7"/>
    <w:rsid w:val="004B6572"/>
    <w:rsid w:val="004C5867"/>
    <w:rsid w:val="004C60B8"/>
    <w:rsid w:val="004C794A"/>
    <w:rsid w:val="004D1607"/>
    <w:rsid w:val="004F6F1F"/>
    <w:rsid w:val="004F7D6F"/>
    <w:rsid w:val="00541D7B"/>
    <w:rsid w:val="00546663"/>
    <w:rsid w:val="0055095B"/>
    <w:rsid w:val="0056696C"/>
    <w:rsid w:val="00570B48"/>
    <w:rsid w:val="005742ED"/>
    <w:rsid w:val="005754DB"/>
    <w:rsid w:val="005757A1"/>
    <w:rsid w:val="00575883"/>
    <w:rsid w:val="00596B7D"/>
    <w:rsid w:val="005A3D74"/>
    <w:rsid w:val="005B7A8D"/>
    <w:rsid w:val="005C1717"/>
    <w:rsid w:val="005C3DC5"/>
    <w:rsid w:val="005C731F"/>
    <w:rsid w:val="005D3B75"/>
    <w:rsid w:val="005D5ED8"/>
    <w:rsid w:val="005D6D5A"/>
    <w:rsid w:val="005E5C9B"/>
    <w:rsid w:val="005F126E"/>
    <w:rsid w:val="00602D34"/>
    <w:rsid w:val="00605720"/>
    <w:rsid w:val="006230E5"/>
    <w:rsid w:val="00624114"/>
    <w:rsid w:val="00633761"/>
    <w:rsid w:val="00641D56"/>
    <w:rsid w:val="00644A93"/>
    <w:rsid w:val="00646E55"/>
    <w:rsid w:val="00651DE3"/>
    <w:rsid w:val="0067357E"/>
    <w:rsid w:val="0067530E"/>
    <w:rsid w:val="0068428D"/>
    <w:rsid w:val="006863EA"/>
    <w:rsid w:val="00686473"/>
    <w:rsid w:val="006A570A"/>
    <w:rsid w:val="006A680C"/>
    <w:rsid w:val="006B336E"/>
    <w:rsid w:val="006C3B7D"/>
    <w:rsid w:val="006C423E"/>
    <w:rsid w:val="006C6236"/>
    <w:rsid w:val="006D0D62"/>
    <w:rsid w:val="006D0E79"/>
    <w:rsid w:val="006E2421"/>
    <w:rsid w:val="00710294"/>
    <w:rsid w:val="0071461E"/>
    <w:rsid w:val="0076179A"/>
    <w:rsid w:val="00761B28"/>
    <w:rsid w:val="00763F83"/>
    <w:rsid w:val="00765335"/>
    <w:rsid w:val="00777D6E"/>
    <w:rsid w:val="0078631C"/>
    <w:rsid w:val="00786F5D"/>
    <w:rsid w:val="00793A50"/>
    <w:rsid w:val="007A0919"/>
    <w:rsid w:val="007A2FD5"/>
    <w:rsid w:val="007A6AD9"/>
    <w:rsid w:val="007B0303"/>
    <w:rsid w:val="007B4594"/>
    <w:rsid w:val="007C1096"/>
    <w:rsid w:val="007C7803"/>
    <w:rsid w:val="007D01D6"/>
    <w:rsid w:val="007D5810"/>
    <w:rsid w:val="007E270F"/>
    <w:rsid w:val="00802CF6"/>
    <w:rsid w:val="00826A8E"/>
    <w:rsid w:val="0083154A"/>
    <w:rsid w:val="00845856"/>
    <w:rsid w:val="00856E45"/>
    <w:rsid w:val="00862008"/>
    <w:rsid w:val="00881440"/>
    <w:rsid w:val="00881452"/>
    <w:rsid w:val="0088309E"/>
    <w:rsid w:val="008962EB"/>
    <w:rsid w:val="008A11E5"/>
    <w:rsid w:val="008A24AA"/>
    <w:rsid w:val="008A6844"/>
    <w:rsid w:val="008A7FE0"/>
    <w:rsid w:val="008B4061"/>
    <w:rsid w:val="008C27D2"/>
    <w:rsid w:val="008F4A24"/>
    <w:rsid w:val="00913956"/>
    <w:rsid w:val="00913DB5"/>
    <w:rsid w:val="009149F2"/>
    <w:rsid w:val="00916499"/>
    <w:rsid w:val="00923D71"/>
    <w:rsid w:val="00930B57"/>
    <w:rsid w:val="0095375D"/>
    <w:rsid w:val="00962B3D"/>
    <w:rsid w:val="00965533"/>
    <w:rsid w:val="00981329"/>
    <w:rsid w:val="00986BB3"/>
    <w:rsid w:val="009A1E02"/>
    <w:rsid w:val="009B0950"/>
    <w:rsid w:val="009C1600"/>
    <w:rsid w:val="009C70AE"/>
    <w:rsid w:val="009E13B1"/>
    <w:rsid w:val="009E4B3E"/>
    <w:rsid w:val="009E659C"/>
    <w:rsid w:val="009F0F07"/>
    <w:rsid w:val="009F687D"/>
    <w:rsid w:val="00A04B4E"/>
    <w:rsid w:val="00A06ED0"/>
    <w:rsid w:val="00A32797"/>
    <w:rsid w:val="00A4443A"/>
    <w:rsid w:val="00A63885"/>
    <w:rsid w:val="00A63B2D"/>
    <w:rsid w:val="00A94590"/>
    <w:rsid w:val="00AA0570"/>
    <w:rsid w:val="00AA0968"/>
    <w:rsid w:val="00AA5654"/>
    <w:rsid w:val="00AC2477"/>
    <w:rsid w:val="00AC37D8"/>
    <w:rsid w:val="00AD4B5C"/>
    <w:rsid w:val="00AF1868"/>
    <w:rsid w:val="00AF2E59"/>
    <w:rsid w:val="00B12230"/>
    <w:rsid w:val="00B45967"/>
    <w:rsid w:val="00B47776"/>
    <w:rsid w:val="00B47D14"/>
    <w:rsid w:val="00B53A45"/>
    <w:rsid w:val="00B6024C"/>
    <w:rsid w:val="00B65A86"/>
    <w:rsid w:val="00B718FE"/>
    <w:rsid w:val="00B7477A"/>
    <w:rsid w:val="00B7784C"/>
    <w:rsid w:val="00B83E20"/>
    <w:rsid w:val="00BB644B"/>
    <w:rsid w:val="00BE39E7"/>
    <w:rsid w:val="00BE55ED"/>
    <w:rsid w:val="00C22774"/>
    <w:rsid w:val="00C42BE6"/>
    <w:rsid w:val="00C47651"/>
    <w:rsid w:val="00C65043"/>
    <w:rsid w:val="00C71D0C"/>
    <w:rsid w:val="00C8415A"/>
    <w:rsid w:val="00C94568"/>
    <w:rsid w:val="00CB3623"/>
    <w:rsid w:val="00CB60C4"/>
    <w:rsid w:val="00CB7F0E"/>
    <w:rsid w:val="00CD6902"/>
    <w:rsid w:val="00CE050B"/>
    <w:rsid w:val="00CF6197"/>
    <w:rsid w:val="00D03769"/>
    <w:rsid w:val="00D041B7"/>
    <w:rsid w:val="00D13B6F"/>
    <w:rsid w:val="00D17FCD"/>
    <w:rsid w:val="00D21E58"/>
    <w:rsid w:val="00D2240F"/>
    <w:rsid w:val="00D23A76"/>
    <w:rsid w:val="00D272B6"/>
    <w:rsid w:val="00D367E4"/>
    <w:rsid w:val="00D514B2"/>
    <w:rsid w:val="00D57907"/>
    <w:rsid w:val="00D57B2E"/>
    <w:rsid w:val="00D75D35"/>
    <w:rsid w:val="00D76598"/>
    <w:rsid w:val="00D8159C"/>
    <w:rsid w:val="00D827D5"/>
    <w:rsid w:val="00D90B3C"/>
    <w:rsid w:val="00D92287"/>
    <w:rsid w:val="00D9324A"/>
    <w:rsid w:val="00DB1153"/>
    <w:rsid w:val="00DE2A12"/>
    <w:rsid w:val="00DE4A6B"/>
    <w:rsid w:val="00DF4095"/>
    <w:rsid w:val="00DF6574"/>
    <w:rsid w:val="00E03F52"/>
    <w:rsid w:val="00E102C4"/>
    <w:rsid w:val="00E16725"/>
    <w:rsid w:val="00E34AD4"/>
    <w:rsid w:val="00E45010"/>
    <w:rsid w:val="00E45461"/>
    <w:rsid w:val="00E470A2"/>
    <w:rsid w:val="00E6400A"/>
    <w:rsid w:val="00E674D9"/>
    <w:rsid w:val="00E87248"/>
    <w:rsid w:val="00EB59E3"/>
    <w:rsid w:val="00ED1D2E"/>
    <w:rsid w:val="00ED24C0"/>
    <w:rsid w:val="00EF466C"/>
    <w:rsid w:val="00F11DE4"/>
    <w:rsid w:val="00F130FE"/>
    <w:rsid w:val="00F16505"/>
    <w:rsid w:val="00F22831"/>
    <w:rsid w:val="00F238C6"/>
    <w:rsid w:val="00F30003"/>
    <w:rsid w:val="00F5052F"/>
    <w:rsid w:val="00F51A70"/>
    <w:rsid w:val="00F531FC"/>
    <w:rsid w:val="00F62771"/>
    <w:rsid w:val="00F64A0D"/>
    <w:rsid w:val="00F722EF"/>
    <w:rsid w:val="00F863B1"/>
    <w:rsid w:val="00F93B05"/>
    <w:rsid w:val="00FA5141"/>
    <w:rsid w:val="00FC3AF6"/>
    <w:rsid w:val="00FD466C"/>
    <w:rsid w:val="00FE173E"/>
    <w:rsid w:val="00FE23BE"/>
    <w:rsid w:val="00FE5640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B5DE-8650-469A-8139-429ABFE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2020-05-29T07:42:00Z</cp:lastPrinted>
  <dcterms:created xsi:type="dcterms:W3CDTF">2020-06-03T07:46:00Z</dcterms:created>
  <dcterms:modified xsi:type="dcterms:W3CDTF">2020-06-04T05:44:00Z</dcterms:modified>
</cp:coreProperties>
</file>