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C5481" w14:textId="77777777"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14:paraId="63E2A2D1" w14:textId="77777777" w:rsidR="003B5A2A" w:rsidRDefault="003B5A2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3B5A2A" w14:paraId="26BE0F62" w14:textId="77777777">
        <w:trPr>
          <w:divId w:val="1795369919"/>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088D107C" w14:textId="77777777" w:rsidR="003B5A2A" w:rsidRDefault="003B5A2A">
            <w:pPr>
              <w:rPr>
                <w:rFonts w:ascii="Times" w:hAnsi="Times" w:cs="Times"/>
                <w:b/>
                <w:bCs/>
                <w:sz w:val="22"/>
                <w:szCs w:val="22"/>
              </w:rPr>
            </w:pPr>
            <w:r>
              <w:rPr>
                <w:rFonts w:ascii="Times" w:hAnsi="Times" w:cs="Times"/>
                <w:b/>
                <w:bCs/>
                <w:sz w:val="22"/>
                <w:szCs w:val="22"/>
              </w:rPr>
              <w:t>  1.  Základné údaje</w:t>
            </w:r>
          </w:p>
        </w:tc>
      </w:tr>
      <w:tr w:rsidR="003B5A2A" w14:paraId="759C456C" w14:textId="77777777">
        <w:trPr>
          <w:divId w:val="179536991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6460EE21" w14:textId="77777777" w:rsidR="003B5A2A" w:rsidRDefault="003B5A2A">
            <w:pPr>
              <w:rPr>
                <w:rFonts w:ascii="Times" w:hAnsi="Times" w:cs="Times"/>
                <w:b/>
                <w:bCs/>
                <w:sz w:val="22"/>
                <w:szCs w:val="22"/>
              </w:rPr>
            </w:pPr>
            <w:r>
              <w:rPr>
                <w:rFonts w:ascii="Times" w:hAnsi="Times" w:cs="Times"/>
                <w:b/>
                <w:bCs/>
                <w:sz w:val="22"/>
                <w:szCs w:val="22"/>
              </w:rPr>
              <w:t>  Názov materiálu</w:t>
            </w:r>
          </w:p>
        </w:tc>
      </w:tr>
      <w:tr w:rsidR="003B5A2A" w14:paraId="787D9B3A" w14:textId="77777777">
        <w:trPr>
          <w:divId w:val="179536991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07202D7C" w14:textId="61A5253C" w:rsidR="003B5A2A" w:rsidRDefault="00AE4237" w:rsidP="00413850">
            <w:pPr>
              <w:jc w:val="both"/>
              <w:rPr>
                <w:rFonts w:ascii="Times" w:hAnsi="Times" w:cs="Times"/>
                <w:sz w:val="20"/>
                <w:szCs w:val="20"/>
              </w:rPr>
            </w:pPr>
            <w:r w:rsidRPr="00AE4237">
              <w:rPr>
                <w:rFonts w:ascii="Times" w:hAnsi="Times" w:cs="Times"/>
                <w:sz w:val="20"/>
                <w:szCs w:val="20"/>
              </w:rPr>
              <w:t xml:space="preserve">Návrh </w:t>
            </w:r>
            <w:r w:rsidR="00413850" w:rsidRPr="00413850">
              <w:rPr>
                <w:rFonts w:ascii="Times" w:hAnsi="Times" w:cs="Times"/>
                <w:sz w:val="20"/>
                <w:szCs w:val="20"/>
              </w:rPr>
              <w:t xml:space="preserve">zákona </w:t>
            </w:r>
            <w:r w:rsidR="006D51DA" w:rsidRPr="006D51DA">
              <w:rPr>
                <w:rFonts w:ascii="Times" w:hAnsi="Times" w:cs="Times"/>
                <w:sz w:val="20"/>
                <w:szCs w:val="20"/>
              </w:rPr>
              <w:t>o mimoriadnych štátnych zárukách a o doplnení niektorých zákonov</w:t>
            </w:r>
            <w:r w:rsidR="006D51DA">
              <w:rPr>
                <w:rFonts w:ascii="Times" w:hAnsi="Times" w:cs="Times"/>
                <w:sz w:val="20"/>
                <w:szCs w:val="20"/>
              </w:rPr>
              <w:t>.</w:t>
            </w:r>
          </w:p>
        </w:tc>
      </w:tr>
      <w:tr w:rsidR="003B5A2A" w14:paraId="22978E6C" w14:textId="77777777">
        <w:trPr>
          <w:divId w:val="179536991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05B8EE38" w14:textId="77777777" w:rsidR="003B5A2A" w:rsidRDefault="003B5A2A">
            <w:pPr>
              <w:rPr>
                <w:rFonts w:ascii="Times" w:hAnsi="Times" w:cs="Times"/>
                <w:b/>
                <w:bCs/>
                <w:sz w:val="22"/>
                <w:szCs w:val="22"/>
              </w:rPr>
            </w:pPr>
            <w:r>
              <w:rPr>
                <w:rFonts w:ascii="Times" w:hAnsi="Times" w:cs="Times"/>
                <w:b/>
                <w:bCs/>
                <w:sz w:val="22"/>
                <w:szCs w:val="22"/>
              </w:rPr>
              <w:t>  Predkladateľ (a spolupredkladateľ)</w:t>
            </w:r>
          </w:p>
        </w:tc>
      </w:tr>
      <w:tr w:rsidR="003B5A2A" w14:paraId="3E683FE2" w14:textId="77777777">
        <w:trPr>
          <w:divId w:val="179536991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2B3F81EE" w14:textId="77777777" w:rsidR="003B5A2A" w:rsidRDefault="00413850">
            <w:pPr>
              <w:rPr>
                <w:rFonts w:ascii="Times" w:hAnsi="Times" w:cs="Times"/>
                <w:sz w:val="20"/>
                <w:szCs w:val="20"/>
              </w:rPr>
            </w:pPr>
            <w:r w:rsidRPr="00413850">
              <w:rPr>
                <w:rFonts w:ascii="Times" w:hAnsi="Times" w:cs="Times"/>
                <w:sz w:val="20"/>
                <w:szCs w:val="20"/>
              </w:rPr>
              <w:t>podpredseda vlády SR a minister financií SR</w:t>
            </w:r>
          </w:p>
        </w:tc>
      </w:tr>
      <w:tr w:rsidR="003B5A2A" w14:paraId="29BE8FAC" w14:textId="77777777">
        <w:trPr>
          <w:divId w:val="1795369919"/>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0679253" w14:textId="77777777" w:rsidR="003B5A2A" w:rsidRDefault="00176C0F" w:rsidP="00176C0F">
            <w:pPr>
              <w:rPr>
                <w:rFonts w:ascii="Times" w:hAnsi="Times" w:cs="Times"/>
                <w:b/>
                <w:bCs/>
                <w:sz w:val="22"/>
                <w:szCs w:val="22"/>
              </w:rPr>
            </w:pPr>
            <w:r>
              <w:rPr>
                <w:rFonts w:ascii="Times" w:hAnsi="Times" w:cs="Times"/>
                <w:b/>
                <w:bCs/>
                <w:sz w:val="22"/>
                <w:szCs w:val="22"/>
              </w:rPr>
              <w:t xml:space="preserve">  </w:t>
            </w:r>
            <w:r w:rsidR="003B5A2A">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0655018" w14:textId="77777777" w:rsidR="003B5A2A" w:rsidRDefault="003B5A2A">
            <w:pPr>
              <w:rPr>
                <w:rFonts w:ascii="Times" w:hAnsi="Times" w:cs="Times"/>
                <w:sz w:val="20"/>
                <w:szCs w:val="20"/>
              </w:rPr>
            </w:pPr>
            <w:r>
              <w:rPr>
                <w:rFonts w:ascii="Times" w:hAnsi="Times" w:cs="Times"/>
                <w:sz w:val="20"/>
                <w:szCs w:val="20"/>
              </w:rPr>
              <w:t> </w:t>
            </w:r>
            <w:r w:rsidR="00413850">
              <w:rPr>
                <w:rFonts w:ascii="Wingdings 2" w:hAnsi="Wingdings 2" w:cs="Times"/>
                <w:sz w:val="28"/>
                <w:szCs w:val="28"/>
              </w:rPr>
              <w:t></w:t>
            </w:r>
            <w:r>
              <w:rPr>
                <w:rFonts w:ascii="Times" w:hAnsi="Times" w:cs="Times"/>
                <w:sz w:val="20"/>
                <w:szCs w:val="20"/>
              </w:rPr>
              <w:t>  Materiál nelegislatívnej povahy</w:t>
            </w:r>
          </w:p>
        </w:tc>
      </w:tr>
      <w:tr w:rsidR="003B5A2A" w14:paraId="0DED53E1" w14:textId="77777777">
        <w:trPr>
          <w:divId w:val="179536991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9A82FE" w14:textId="77777777" w:rsidR="003B5A2A" w:rsidRDefault="003B5A2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8A00504" w14:textId="77777777" w:rsidR="003B5A2A" w:rsidRDefault="003B5A2A">
            <w:pPr>
              <w:rPr>
                <w:rFonts w:ascii="Times" w:hAnsi="Times" w:cs="Times"/>
                <w:sz w:val="20"/>
                <w:szCs w:val="20"/>
              </w:rPr>
            </w:pPr>
            <w:r>
              <w:rPr>
                <w:rFonts w:ascii="Times" w:hAnsi="Times" w:cs="Times"/>
                <w:sz w:val="20"/>
                <w:szCs w:val="20"/>
              </w:rPr>
              <w:t> </w:t>
            </w:r>
            <w:r w:rsidR="00413850">
              <w:rPr>
                <w:rFonts w:ascii="Wingdings 2" w:hAnsi="Wingdings 2" w:cs="Times"/>
                <w:sz w:val="20"/>
                <w:szCs w:val="20"/>
              </w:rPr>
              <w:t></w:t>
            </w:r>
            <w:r>
              <w:rPr>
                <w:rFonts w:ascii="Times" w:hAnsi="Times" w:cs="Times"/>
                <w:sz w:val="20"/>
                <w:szCs w:val="20"/>
              </w:rPr>
              <w:t xml:space="preserve">  Materiál legislatívnej povahy </w:t>
            </w:r>
          </w:p>
        </w:tc>
      </w:tr>
      <w:tr w:rsidR="003B5A2A" w14:paraId="74FC533D" w14:textId="77777777">
        <w:trPr>
          <w:divId w:val="179536991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4B7A804" w14:textId="77777777" w:rsidR="003B5A2A" w:rsidRDefault="003B5A2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4B59404" w14:textId="77777777" w:rsidR="003B5A2A" w:rsidRDefault="003B5A2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B5A2A" w14:paraId="493B9F0D" w14:textId="77777777">
        <w:trPr>
          <w:divId w:val="1795369919"/>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0F1239AF" w14:textId="77777777" w:rsidR="003B5A2A" w:rsidRDefault="003B5A2A">
            <w:pPr>
              <w:rPr>
                <w:rFonts w:ascii="Times" w:hAnsi="Times" w:cs="Times"/>
                <w:sz w:val="20"/>
                <w:szCs w:val="20"/>
              </w:rPr>
            </w:pPr>
          </w:p>
        </w:tc>
      </w:tr>
      <w:tr w:rsidR="003B5A2A" w14:paraId="03BC05BF" w14:textId="77777777">
        <w:trPr>
          <w:divId w:val="179536991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0F51A392" w14:textId="77777777" w:rsidR="003B5A2A" w:rsidRPr="0088619F" w:rsidRDefault="003B5A2A">
            <w:pPr>
              <w:rPr>
                <w:rFonts w:ascii="Times" w:hAnsi="Times" w:cs="Times"/>
                <w:b/>
                <w:bCs/>
                <w:sz w:val="22"/>
                <w:szCs w:val="22"/>
              </w:rPr>
            </w:pPr>
            <w:r w:rsidRPr="0088619F">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49FCD674" w14:textId="77777777" w:rsidR="003B5A2A" w:rsidRPr="0088619F" w:rsidRDefault="003B5A2A" w:rsidP="00AE4237">
            <w:pPr>
              <w:jc w:val="both"/>
              <w:rPr>
                <w:rFonts w:ascii="Times" w:hAnsi="Times" w:cs="Times"/>
                <w:sz w:val="20"/>
                <w:szCs w:val="20"/>
              </w:rPr>
            </w:pPr>
          </w:p>
        </w:tc>
      </w:tr>
      <w:tr w:rsidR="003B5A2A" w14:paraId="17D36557" w14:textId="77777777">
        <w:trPr>
          <w:divId w:val="179536991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5F352F8D" w14:textId="77777777" w:rsidR="003B5A2A" w:rsidRPr="0088619F" w:rsidRDefault="003B5A2A">
            <w:pPr>
              <w:rPr>
                <w:rFonts w:ascii="Times" w:hAnsi="Times" w:cs="Times"/>
                <w:b/>
                <w:bCs/>
                <w:sz w:val="22"/>
                <w:szCs w:val="22"/>
              </w:rPr>
            </w:pPr>
            <w:r w:rsidRPr="0088619F">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166E12C9" w14:textId="77777777" w:rsidR="003B5A2A" w:rsidRPr="0088619F" w:rsidRDefault="003B5A2A">
            <w:pPr>
              <w:rPr>
                <w:rFonts w:ascii="Times" w:hAnsi="Times" w:cs="Times"/>
                <w:bCs/>
                <w:sz w:val="20"/>
                <w:szCs w:val="20"/>
              </w:rPr>
            </w:pPr>
          </w:p>
        </w:tc>
      </w:tr>
      <w:tr w:rsidR="003B5A2A" w14:paraId="236B3A02" w14:textId="77777777">
        <w:trPr>
          <w:divId w:val="1795369919"/>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3E3768D" w14:textId="77777777" w:rsidR="003B5A2A" w:rsidRDefault="003B5A2A">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6847BEAF" w14:textId="30B27C43" w:rsidR="003B5A2A" w:rsidRPr="00502F7A" w:rsidRDefault="00D101C4" w:rsidP="00E536FE">
            <w:pPr>
              <w:rPr>
                <w:rFonts w:ascii="Times" w:hAnsi="Times" w:cs="Times"/>
                <w:bCs/>
                <w:sz w:val="20"/>
                <w:szCs w:val="20"/>
              </w:rPr>
            </w:pPr>
            <w:r>
              <w:rPr>
                <w:rFonts w:ascii="Times" w:hAnsi="Times" w:cs="Times"/>
                <w:bCs/>
                <w:sz w:val="20"/>
                <w:szCs w:val="20"/>
              </w:rPr>
              <w:t xml:space="preserve"> </w:t>
            </w:r>
          </w:p>
        </w:tc>
      </w:tr>
    </w:tbl>
    <w:p w14:paraId="639D30EC" w14:textId="77777777" w:rsidR="003B5A2A" w:rsidRDefault="003B5A2A" w:rsidP="00C579E9">
      <w:pPr>
        <w:pStyle w:val="Normlnywebov"/>
        <w:spacing w:before="0" w:beforeAutospacing="0" w:after="0" w:afterAutospacing="0"/>
        <w:rPr>
          <w:bCs/>
          <w:sz w:val="22"/>
          <w:szCs w:val="22"/>
        </w:rPr>
      </w:pPr>
    </w:p>
    <w:tbl>
      <w:tblPr>
        <w:tblW w:w="499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6"/>
      </w:tblGrid>
      <w:tr w:rsidR="003B5A2A" w14:paraId="3829D2E0" w14:textId="77777777" w:rsidTr="006659E1">
        <w:trPr>
          <w:divId w:val="98835070"/>
          <w:trHeight w:val="22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206AB18B" w14:textId="77777777" w:rsidR="003B5A2A" w:rsidRDefault="003B5A2A">
            <w:pPr>
              <w:rPr>
                <w:rFonts w:ascii="Times" w:hAnsi="Times" w:cs="Times"/>
                <w:b/>
                <w:bCs/>
                <w:sz w:val="22"/>
                <w:szCs w:val="22"/>
              </w:rPr>
            </w:pPr>
            <w:r>
              <w:rPr>
                <w:rFonts w:ascii="Times" w:hAnsi="Times" w:cs="Times"/>
                <w:b/>
                <w:bCs/>
                <w:sz w:val="22"/>
                <w:szCs w:val="22"/>
              </w:rPr>
              <w:t>  2.  Definícia problému</w:t>
            </w:r>
          </w:p>
        </w:tc>
      </w:tr>
      <w:tr w:rsidR="003B5A2A" w14:paraId="03FC0471" w14:textId="77777777" w:rsidTr="006659E1">
        <w:trPr>
          <w:divId w:val="98835070"/>
          <w:trHeight w:val="526"/>
          <w:jc w:val="center"/>
        </w:trPr>
        <w:tc>
          <w:tcPr>
            <w:tcW w:w="5000" w:type="pct"/>
            <w:tcBorders>
              <w:top w:val="outset" w:sz="6" w:space="0" w:color="000000"/>
              <w:left w:val="outset" w:sz="6" w:space="0" w:color="000000"/>
              <w:bottom w:val="outset" w:sz="6" w:space="0" w:color="000000"/>
              <w:right w:val="outset" w:sz="6" w:space="0" w:color="000000"/>
            </w:tcBorders>
            <w:hideMark/>
          </w:tcPr>
          <w:p w14:paraId="378BA9C0" w14:textId="5B2BA611" w:rsidR="00C70018" w:rsidRPr="00C70018" w:rsidRDefault="006D51DA" w:rsidP="00DE6ADE">
            <w:pPr>
              <w:jc w:val="both"/>
              <w:rPr>
                <w:sz w:val="20"/>
                <w:szCs w:val="20"/>
              </w:rPr>
            </w:pPr>
            <w:r>
              <w:rPr>
                <w:sz w:val="20"/>
                <w:szCs w:val="20"/>
              </w:rPr>
              <w:t>Návrh zákona o</w:t>
            </w:r>
            <w:r w:rsidRPr="006D51DA">
              <w:rPr>
                <w:sz w:val="20"/>
                <w:szCs w:val="20"/>
              </w:rPr>
              <w:t xml:space="preserve"> mimoriadnych štátnych zárukách a o doplnení niektorých zákonov </w:t>
            </w:r>
            <w:r w:rsidR="00D101C4" w:rsidRPr="00C70018">
              <w:rPr>
                <w:sz w:val="20"/>
                <w:szCs w:val="20"/>
              </w:rPr>
              <w:t xml:space="preserve">upravuje poskytovanie mimoriadnych štátnych záruk Slovenskou republikou Európskej únií na základe </w:t>
            </w:r>
            <w:r w:rsidR="00D27EC7" w:rsidRPr="00D27EC7">
              <w:rPr>
                <w:sz w:val="20"/>
                <w:szCs w:val="20"/>
              </w:rPr>
              <w:t>Nariadenie Rady (EÚ) 2020/672 z 19.mája o zriadení európskeho nástroja dočasnej podpory na zmiernenie rizík nezamestnanosti v núdzovej situácii</w:t>
            </w:r>
            <w:r w:rsidR="00E536FE">
              <w:rPr>
                <w:sz w:val="20"/>
                <w:szCs w:val="20"/>
              </w:rPr>
              <w:t xml:space="preserve"> (SURE)</w:t>
            </w:r>
            <w:r w:rsidR="00D27EC7" w:rsidRPr="00D27EC7">
              <w:rPr>
                <w:sz w:val="20"/>
                <w:szCs w:val="20"/>
              </w:rPr>
              <w:t xml:space="preserve"> v nadväznosti na vypuknutie nákazy COVID-19</w:t>
            </w:r>
            <w:r w:rsidR="00D101C4" w:rsidRPr="00C70018">
              <w:rPr>
                <w:sz w:val="20"/>
                <w:szCs w:val="20"/>
              </w:rPr>
              <w:t xml:space="preserve">. Návrh zákona </w:t>
            </w:r>
            <w:r w:rsidR="00C70018" w:rsidRPr="00C70018">
              <w:rPr>
                <w:sz w:val="20"/>
                <w:szCs w:val="20"/>
              </w:rPr>
              <w:t xml:space="preserve">ďalej </w:t>
            </w:r>
            <w:r w:rsidR="00E8640D" w:rsidRPr="00C70018">
              <w:rPr>
                <w:sz w:val="20"/>
                <w:szCs w:val="20"/>
              </w:rPr>
              <w:t>upravuje</w:t>
            </w:r>
            <w:r w:rsidR="00D101C4" w:rsidRPr="00C70018">
              <w:rPr>
                <w:sz w:val="20"/>
                <w:szCs w:val="20"/>
              </w:rPr>
              <w:t xml:space="preserve"> správu a </w:t>
            </w:r>
            <w:r w:rsidR="00E8640D" w:rsidRPr="00C70018">
              <w:rPr>
                <w:sz w:val="20"/>
                <w:szCs w:val="20"/>
              </w:rPr>
              <w:t>realizáciu</w:t>
            </w:r>
            <w:r w:rsidR="00D101C4" w:rsidRPr="00C70018">
              <w:rPr>
                <w:sz w:val="20"/>
                <w:szCs w:val="20"/>
              </w:rPr>
              <w:t xml:space="preserve"> </w:t>
            </w:r>
            <w:r w:rsidR="00DE6ADE">
              <w:rPr>
                <w:sz w:val="20"/>
                <w:szCs w:val="20"/>
              </w:rPr>
              <w:t>mimoriadnych štátnych záruk</w:t>
            </w:r>
            <w:r w:rsidR="00D101C4" w:rsidRPr="00C70018">
              <w:rPr>
                <w:sz w:val="20"/>
                <w:szCs w:val="20"/>
              </w:rPr>
              <w:t xml:space="preserve">. </w:t>
            </w:r>
          </w:p>
        </w:tc>
      </w:tr>
      <w:tr w:rsidR="003B5A2A" w14:paraId="0933CEA8" w14:textId="77777777" w:rsidTr="006659E1">
        <w:trPr>
          <w:divId w:val="98835070"/>
          <w:trHeight w:val="22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764326C8" w14:textId="77777777" w:rsidR="003B5A2A" w:rsidRDefault="003B5A2A">
            <w:pPr>
              <w:rPr>
                <w:rFonts w:ascii="Times" w:hAnsi="Times" w:cs="Times"/>
                <w:b/>
                <w:bCs/>
                <w:sz w:val="22"/>
                <w:szCs w:val="22"/>
              </w:rPr>
            </w:pPr>
            <w:r>
              <w:rPr>
                <w:rFonts w:ascii="Times" w:hAnsi="Times" w:cs="Times"/>
                <w:b/>
                <w:bCs/>
                <w:sz w:val="22"/>
                <w:szCs w:val="22"/>
              </w:rPr>
              <w:t>  3.  Ciele a výsledný stav</w:t>
            </w:r>
          </w:p>
        </w:tc>
      </w:tr>
      <w:tr w:rsidR="003B5A2A" w14:paraId="16BFFAE3" w14:textId="77777777" w:rsidTr="006659E1">
        <w:trPr>
          <w:divId w:val="98835070"/>
          <w:trHeight w:val="526"/>
          <w:jc w:val="center"/>
        </w:trPr>
        <w:tc>
          <w:tcPr>
            <w:tcW w:w="5000" w:type="pct"/>
            <w:tcBorders>
              <w:top w:val="outset" w:sz="6" w:space="0" w:color="000000"/>
              <w:left w:val="outset" w:sz="6" w:space="0" w:color="000000"/>
              <w:bottom w:val="outset" w:sz="6" w:space="0" w:color="000000"/>
              <w:right w:val="outset" w:sz="6" w:space="0" w:color="000000"/>
            </w:tcBorders>
            <w:hideMark/>
          </w:tcPr>
          <w:p w14:paraId="238BAA39" w14:textId="348EBFC8" w:rsidR="00E32307" w:rsidRDefault="00E536FE" w:rsidP="006C30E8">
            <w:pPr>
              <w:pStyle w:val="Pta"/>
              <w:tabs>
                <w:tab w:val="num" w:pos="284"/>
              </w:tabs>
              <w:spacing w:after="120"/>
              <w:jc w:val="both"/>
              <w:rPr>
                <w:sz w:val="20"/>
                <w:szCs w:val="20"/>
              </w:rPr>
            </w:pPr>
            <w:r>
              <w:rPr>
                <w:sz w:val="20"/>
                <w:szCs w:val="20"/>
              </w:rPr>
              <w:t xml:space="preserve">Nástroj </w:t>
            </w:r>
            <w:r w:rsidR="006C14DB" w:rsidRPr="006C14DB">
              <w:rPr>
                <w:sz w:val="20"/>
                <w:szCs w:val="20"/>
              </w:rPr>
              <w:t>SURE umožňuje členským štátom, vrátane SR, žiadať EÚ o výhodne úročené pôžičky, z ktorých bude možné čiastočne pokrývať zvýšenie verejných výdavkov členských štátov EÚ na režimy skráteného pracovného času pre zamestnancov a podobné opatrenia, najmä pre samostatne zárobkovo činné osoby, ako aj výdavkov na niektoré opatrenia súvisiace so</w:t>
            </w:r>
            <w:r w:rsidR="006C14DB">
              <w:rPr>
                <w:sz w:val="20"/>
                <w:szCs w:val="20"/>
              </w:rPr>
              <w:t xml:space="preserve"> zdravím, najmä na pracovisku. </w:t>
            </w:r>
          </w:p>
          <w:p w14:paraId="400E001C" w14:textId="77777777" w:rsidR="006C14DB" w:rsidRDefault="006C14DB" w:rsidP="006C30E8">
            <w:pPr>
              <w:pStyle w:val="Pta"/>
              <w:tabs>
                <w:tab w:val="num" w:pos="284"/>
              </w:tabs>
              <w:spacing w:after="120"/>
              <w:jc w:val="both"/>
              <w:rPr>
                <w:sz w:val="20"/>
                <w:szCs w:val="20"/>
              </w:rPr>
            </w:pPr>
            <w:r w:rsidRPr="006C14DB">
              <w:rPr>
                <w:sz w:val="20"/>
                <w:szCs w:val="20"/>
              </w:rPr>
              <w:t>Promptné poskytnutie mimoriadnych štátnych záruk</w:t>
            </w:r>
            <w:r>
              <w:rPr>
                <w:sz w:val="20"/>
                <w:szCs w:val="20"/>
              </w:rPr>
              <w:t xml:space="preserve"> zo strany SR</w:t>
            </w:r>
            <w:r w:rsidRPr="006C14DB">
              <w:rPr>
                <w:sz w:val="20"/>
                <w:szCs w:val="20"/>
              </w:rPr>
              <w:t xml:space="preserve"> je nevyhnutnou podmie</w:t>
            </w:r>
            <w:r>
              <w:rPr>
                <w:sz w:val="20"/>
                <w:szCs w:val="20"/>
              </w:rPr>
              <w:t>nkou aktivovania nástroja SURE čím</w:t>
            </w:r>
            <w:r w:rsidRPr="006C14DB">
              <w:rPr>
                <w:sz w:val="20"/>
                <w:szCs w:val="20"/>
              </w:rPr>
              <w:t xml:space="preserve"> umožní členským štátom, vrátane SR, prístup k úverovej pomoci z nástroja.</w:t>
            </w:r>
          </w:p>
          <w:p w14:paraId="7426FCDF" w14:textId="6B4C03A3" w:rsidR="00C70018" w:rsidRPr="00C70018" w:rsidRDefault="00E32307" w:rsidP="00F02005">
            <w:pPr>
              <w:pStyle w:val="Pta"/>
              <w:tabs>
                <w:tab w:val="clear" w:pos="4536"/>
                <w:tab w:val="clear" w:pos="9072"/>
                <w:tab w:val="num" w:pos="284"/>
              </w:tabs>
              <w:spacing w:after="120"/>
              <w:jc w:val="both"/>
              <w:rPr>
                <w:sz w:val="20"/>
                <w:szCs w:val="20"/>
              </w:rPr>
            </w:pPr>
            <w:r>
              <w:rPr>
                <w:sz w:val="20"/>
                <w:szCs w:val="20"/>
              </w:rPr>
              <w:t xml:space="preserve">Návrhom zákona bude </w:t>
            </w:r>
            <w:r w:rsidR="00C70018" w:rsidRPr="00C70018">
              <w:rPr>
                <w:sz w:val="20"/>
                <w:szCs w:val="20"/>
              </w:rPr>
              <w:t xml:space="preserve">Ministerstvo financií Slovenskej republiky </w:t>
            </w:r>
            <w:r w:rsidR="00C70018">
              <w:rPr>
                <w:sz w:val="20"/>
                <w:szCs w:val="20"/>
              </w:rPr>
              <w:t xml:space="preserve">oprávnené </w:t>
            </w:r>
            <w:r w:rsidR="00C70018" w:rsidRPr="00C70018">
              <w:rPr>
                <w:sz w:val="20"/>
                <w:szCs w:val="20"/>
              </w:rPr>
              <w:t>poskytnúť, spravovať a real</w:t>
            </w:r>
            <w:r w:rsidR="00C70018">
              <w:rPr>
                <w:sz w:val="20"/>
                <w:szCs w:val="20"/>
              </w:rPr>
              <w:t xml:space="preserve">izovať mimoriadne štátne záruky na základe </w:t>
            </w:r>
            <w:r w:rsidR="00D27EC7" w:rsidRPr="00D27EC7">
              <w:rPr>
                <w:sz w:val="20"/>
                <w:szCs w:val="20"/>
              </w:rPr>
              <w:t>Nariadenie Rady (EÚ) 2020/672 z 19.mája o zriadení európskeho nástroja dočasnej podpory na zmiernenie rizík nezamestnanosti v núdzovej situácii v nadväznosti na vypuknutie nákazy COVID-19</w:t>
            </w:r>
            <w:r w:rsidR="00C70018">
              <w:rPr>
                <w:sz w:val="20"/>
                <w:szCs w:val="20"/>
              </w:rPr>
              <w:t xml:space="preserve"> a v súlade s podmienkami Dohody o zárukách uzatvorenou medzi Slovenskou republikou a Európskou úniou. </w:t>
            </w:r>
            <w:r>
              <w:rPr>
                <w:sz w:val="20"/>
                <w:szCs w:val="20"/>
              </w:rPr>
              <w:t xml:space="preserve"> </w:t>
            </w:r>
          </w:p>
        </w:tc>
      </w:tr>
      <w:tr w:rsidR="003B5A2A" w14:paraId="0C9486B4" w14:textId="77777777" w:rsidTr="006659E1">
        <w:trPr>
          <w:divId w:val="98835070"/>
          <w:trHeight w:val="22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5E08A450" w14:textId="77777777" w:rsidR="003B5A2A" w:rsidRDefault="003B5A2A">
            <w:pPr>
              <w:rPr>
                <w:rFonts w:ascii="Times" w:hAnsi="Times" w:cs="Times"/>
                <w:b/>
                <w:bCs/>
                <w:sz w:val="22"/>
                <w:szCs w:val="22"/>
              </w:rPr>
            </w:pPr>
            <w:r>
              <w:rPr>
                <w:rFonts w:ascii="Times" w:hAnsi="Times" w:cs="Times"/>
                <w:b/>
                <w:bCs/>
                <w:sz w:val="22"/>
                <w:szCs w:val="22"/>
              </w:rPr>
              <w:t>  4.  Dotknuté subjekty</w:t>
            </w:r>
          </w:p>
        </w:tc>
      </w:tr>
      <w:tr w:rsidR="003B5A2A" w14:paraId="40950557" w14:textId="77777777" w:rsidTr="00AE4237">
        <w:trPr>
          <w:divId w:val="98835070"/>
          <w:trHeight w:val="370"/>
          <w:jc w:val="center"/>
        </w:trPr>
        <w:tc>
          <w:tcPr>
            <w:tcW w:w="5000" w:type="pct"/>
            <w:tcBorders>
              <w:top w:val="outset" w:sz="6" w:space="0" w:color="000000"/>
              <w:left w:val="outset" w:sz="6" w:space="0" w:color="000000"/>
              <w:bottom w:val="outset" w:sz="6" w:space="0" w:color="000000"/>
              <w:right w:val="outset" w:sz="6" w:space="0" w:color="000000"/>
            </w:tcBorders>
            <w:hideMark/>
          </w:tcPr>
          <w:p w14:paraId="3900619C" w14:textId="77777777" w:rsidR="003B5A2A" w:rsidRPr="00413850" w:rsidRDefault="00413850">
            <w:pPr>
              <w:rPr>
                <w:sz w:val="20"/>
                <w:szCs w:val="20"/>
              </w:rPr>
            </w:pPr>
            <w:r>
              <w:rPr>
                <w:rFonts w:ascii="Times" w:hAnsi="Times" w:cs="Times"/>
                <w:b/>
                <w:bCs/>
                <w:sz w:val="22"/>
                <w:szCs w:val="22"/>
              </w:rPr>
              <w:t xml:space="preserve"> </w:t>
            </w:r>
            <w:r w:rsidRPr="00413850">
              <w:rPr>
                <w:sz w:val="20"/>
                <w:szCs w:val="20"/>
              </w:rPr>
              <w:t>Ministerstvo financií Slovenskej republiky</w:t>
            </w:r>
          </w:p>
          <w:p w14:paraId="5EAD7CAE" w14:textId="77777777" w:rsidR="00D101C4" w:rsidRPr="006C30E8" w:rsidRDefault="00413850">
            <w:pPr>
              <w:rPr>
                <w:bCs/>
                <w:sz w:val="20"/>
                <w:szCs w:val="20"/>
              </w:rPr>
            </w:pPr>
            <w:r>
              <w:rPr>
                <w:bCs/>
                <w:sz w:val="20"/>
                <w:szCs w:val="20"/>
              </w:rPr>
              <w:t xml:space="preserve"> </w:t>
            </w:r>
            <w:r w:rsidRPr="00413850">
              <w:rPr>
                <w:bCs/>
                <w:sz w:val="20"/>
                <w:szCs w:val="20"/>
              </w:rPr>
              <w:t>Agentúra pre riadenie dlhu a</w:t>
            </w:r>
            <w:r w:rsidR="00D101C4">
              <w:rPr>
                <w:bCs/>
                <w:sz w:val="20"/>
                <w:szCs w:val="20"/>
              </w:rPr>
              <w:t> </w:t>
            </w:r>
            <w:r w:rsidRPr="00413850">
              <w:rPr>
                <w:bCs/>
                <w:sz w:val="20"/>
                <w:szCs w:val="20"/>
              </w:rPr>
              <w:t>likvidity</w:t>
            </w:r>
          </w:p>
        </w:tc>
      </w:tr>
      <w:tr w:rsidR="003B5A2A" w14:paraId="3D798726" w14:textId="77777777" w:rsidTr="006659E1">
        <w:trPr>
          <w:divId w:val="98835070"/>
          <w:trHeight w:val="22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2FFAA430" w14:textId="77777777" w:rsidR="003B5A2A" w:rsidRDefault="003B5A2A">
            <w:pPr>
              <w:rPr>
                <w:rFonts w:ascii="Times" w:hAnsi="Times" w:cs="Times"/>
                <w:b/>
                <w:bCs/>
                <w:sz w:val="22"/>
                <w:szCs w:val="22"/>
              </w:rPr>
            </w:pPr>
            <w:r>
              <w:rPr>
                <w:rFonts w:ascii="Times" w:hAnsi="Times" w:cs="Times"/>
                <w:b/>
                <w:bCs/>
                <w:sz w:val="22"/>
                <w:szCs w:val="22"/>
              </w:rPr>
              <w:t>  5.  Alternatívne riešenia</w:t>
            </w:r>
          </w:p>
        </w:tc>
      </w:tr>
      <w:tr w:rsidR="003B5A2A" w14:paraId="0384EEC6" w14:textId="77777777" w:rsidTr="00AE4237">
        <w:trPr>
          <w:divId w:val="98835070"/>
          <w:trHeight w:val="268"/>
          <w:jc w:val="center"/>
        </w:trPr>
        <w:tc>
          <w:tcPr>
            <w:tcW w:w="5000" w:type="pct"/>
            <w:tcBorders>
              <w:top w:val="outset" w:sz="6" w:space="0" w:color="000000"/>
              <w:left w:val="outset" w:sz="6" w:space="0" w:color="000000"/>
              <w:bottom w:val="outset" w:sz="6" w:space="0" w:color="000000"/>
              <w:right w:val="outset" w:sz="6" w:space="0" w:color="000000"/>
            </w:tcBorders>
            <w:hideMark/>
          </w:tcPr>
          <w:p w14:paraId="7A42A21B" w14:textId="77777777" w:rsidR="003B5A2A" w:rsidRDefault="00E47C22" w:rsidP="00E47C22">
            <w:pPr>
              <w:pStyle w:val="Default"/>
              <w:rPr>
                <w:sz w:val="20"/>
                <w:szCs w:val="20"/>
              </w:rPr>
            </w:pPr>
            <w:r>
              <w:rPr>
                <w:sz w:val="20"/>
                <w:szCs w:val="20"/>
              </w:rPr>
              <w:t xml:space="preserve">Pri vypracovaní návrhu zákona neboli zvažované žiadne alternatívne riešenia. </w:t>
            </w:r>
          </w:p>
          <w:p w14:paraId="6951D5D3" w14:textId="77777777" w:rsidR="00D101C4" w:rsidRPr="00E47C22" w:rsidRDefault="00D101C4" w:rsidP="00E47C22">
            <w:pPr>
              <w:pStyle w:val="Default"/>
              <w:rPr>
                <w:sz w:val="20"/>
                <w:szCs w:val="20"/>
              </w:rPr>
            </w:pPr>
          </w:p>
        </w:tc>
      </w:tr>
      <w:tr w:rsidR="003B5A2A" w14:paraId="3ED4CFC1" w14:textId="77777777" w:rsidTr="006659E1">
        <w:trPr>
          <w:divId w:val="98835070"/>
          <w:trHeight w:val="22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1DC8E3B8" w14:textId="77777777" w:rsidR="003B5A2A" w:rsidRDefault="003B5A2A">
            <w:pPr>
              <w:rPr>
                <w:rFonts w:ascii="Times" w:hAnsi="Times" w:cs="Times"/>
                <w:b/>
                <w:bCs/>
                <w:sz w:val="22"/>
                <w:szCs w:val="22"/>
              </w:rPr>
            </w:pPr>
            <w:r>
              <w:rPr>
                <w:rFonts w:ascii="Times" w:hAnsi="Times" w:cs="Times"/>
                <w:b/>
                <w:bCs/>
                <w:sz w:val="22"/>
                <w:szCs w:val="22"/>
              </w:rPr>
              <w:t>  6.  Vykonávacie predpisy</w:t>
            </w:r>
          </w:p>
        </w:tc>
      </w:tr>
      <w:tr w:rsidR="003B5A2A" w14:paraId="52281015" w14:textId="77777777" w:rsidTr="006659E1">
        <w:trPr>
          <w:divId w:val="98835070"/>
          <w:trHeight w:val="526"/>
          <w:jc w:val="center"/>
        </w:trPr>
        <w:tc>
          <w:tcPr>
            <w:tcW w:w="5000" w:type="pct"/>
            <w:tcBorders>
              <w:top w:val="outset" w:sz="6" w:space="0" w:color="000000"/>
              <w:left w:val="outset" w:sz="6" w:space="0" w:color="000000"/>
              <w:bottom w:val="outset" w:sz="6" w:space="0" w:color="000000"/>
              <w:right w:val="outset" w:sz="6" w:space="0" w:color="000000"/>
            </w:tcBorders>
            <w:hideMark/>
          </w:tcPr>
          <w:p w14:paraId="0532E4A7" w14:textId="77777777" w:rsidR="003B5A2A" w:rsidRDefault="003B5A2A">
            <w:pPr>
              <w:rPr>
                <w:rFonts w:ascii="Times" w:hAnsi="Times" w:cs="Times"/>
                <w:sz w:val="20"/>
                <w:szCs w:val="20"/>
              </w:rPr>
            </w:pPr>
            <w:r>
              <w:rPr>
                <w:rFonts w:ascii="Times" w:hAnsi="Times" w:cs="Times"/>
                <w:sz w:val="20"/>
                <w:szCs w:val="20"/>
              </w:rPr>
              <w:t>Predpokladá sa prijatie/zmena vykonávacích predpisov?                          </w:t>
            </w:r>
            <w:r w:rsidR="00413850">
              <w:rPr>
                <w:rFonts w:ascii="Wingdings 2" w:hAnsi="Wingdings 2" w:cs="Times"/>
                <w:sz w:val="28"/>
                <w:szCs w:val="28"/>
              </w:rPr>
              <w:t></w:t>
            </w:r>
            <w:r>
              <w:rPr>
                <w:rFonts w:ascii="Times" w:hAnsi="Times" w:cs="Times"/>
                <w:sz w:val="20"/>
                <w:szCs w:val="20"/>
              </w:rPr>
              <w:t xml:space="preserve">   Áno            </w:t>
            </w:r>
            <w:r w:rsidR="00413850">
              <w:rPr>
                <w:rFonts w:ascii="Wingdings 2" w:hAnsi="Wingdings 2" w:cs="Times"/>
                <w:sz w:val="20"/>
                <w:szCs w:val="20"/>
              </w:rPr>
              <w:t></w:t>
            </w:r>
            <w:r>
              <w:rPr>
                <w:rFonts w:ascii="Times" w:hAnsi="Times" w:cs="Times"/>
                <w:sz w:val="20"/>
                <w:szCs w:val="20"/>
              </w:rPr>
              <w:t>  Nie</w:t>
            </w:r>
          </w:p>
          <w:p w14:paraId="0C7A7D5D" w14:textId="77777777" w:rsidR="00AE4237" w:rsidRDefault="00AE4237" w:rsidP="00AE4237">
            <w:pPr>
              <w:jc w:val="both"/>
              <w:rPr>
                <w:rFonts w:ascii="Times" w:hAnsi="Times" w:cs="Times"/>
                <w:sz w:val="20"/>
                <w:szCs w:val="20"/>
              </w:rPr>
            </w:pPr>
          </w:p>
        </w:tc>
      </w:tr>
      <w:tr w:rsidR="003B5A2A" w14:paraId="5557BCE7" w14:textId="77777777" w:rsidTr="006659E1">
        <w:trPr>
          <w:divId w:val="98835070"/>
          <w:trHeight w:val="22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65FDD16A" w14:textId="77777777" w:rsidR="003B5A2A" w:rsidRDefault="003B5A2A">
            <w:pPr>
              <w:rPr>
                <w:rFonts w:ascii="Times" w:hAnsi="Times" w:cs="Times"/>
                <w:b/>
                <w:bCs/>
                <w:sz w:val="22"/>
                <w:szCs w:val="22"/>
              </w:rPr>
            </w:pPr>
            <w:r>
              <w:rPr>
                <w:rFonts w:ascii="Times" w:hAnsi="Times" w:cs="Times"/>
                <w:b/>
                <w:bCs/>
                <w:sz w:val="22"/>
                <w:szCs w:val="22"/>
              </w:rPr>
              <w:t xml:space="preserve">  7.  Transpozícia práva EÚ </w:t>
            </w:r>
          </w:p>
        </w:tc>
      </w:tr>
      <w:tr w:rsidR="003B5A2A" w14:paraId="13E02E38" w14:textId="77777777" w:rsidTr="00AE4237">
        <w:trPr>
          <w:divId w:val="98835070"/>
          <w:trHeight w:val="448"/>
          <w:jc w:val="center"/>
        </w:trPr>
        <w:tc>
          <w:tcPr>
            <w:tcW w:w="5000" w:type="pct"/>
            <w:tcBorders>
              <w:top w:val="outset" w:sz="6" w:space="0" w:color="000000"/>
              <w:left w:val="outset" w:sz="6" w:space="0" w:color="000000"/>
              <w:bottom w:val="outset" w:sz="6" w:space="0" w:color="000000"/>
              <w:right w:val="outset" w:sz="6" w:space="0" w:color="000000"/>
            </w:tcBorders>
            <w:hideMark/>
          </w:tcPr>
          <w:p w14:paraId="21F6CB41" w14:textId="2940A41B" w:rsidR="003A06A6" w:rsidRPr="003A06A6" w:rsidRDefault="00E47C22" w:rsidP="00DE6ADE">
            <w:pPr>
              <w:jc w:val="both"/>
              <w:rPr>
                <w:rFonts w:ascii="Times" w:hAnsi="Times" w:cs="Times"/>
                <w:sz w:val="20"/>
                <w:szCs w:val="20"/>
              </w:rPr>
            </w:pPr>
            <w:r w:rsidRPr="00AE4237">
              <w:rPr>
                <w:rFonts w:ascii="Times" w:hAnsi="Times" w:cs="Times"/>
                <w:sz w:val="20"/>
                <w:szCs w:val="20"/>
              </w:rPr>
              <w:t xml:space="preserve">Návrh </w:t>
            </w:r>
            <w:r w:rsidRPr="00413850">
              <w:rPr>
                <w:rFonts w:ascii="Times" w:hAnsi="Times" w:cs="Times"/>
                <w:sz w:val="20"/>
                <w:szCs w:val="20"/>
              </w:rPr>
              <w:t>zákona</w:t>
            </w:r>
            <w:r>
              <w:rPr>
                <w:rFonts w:ascii="Times" w:hAnsi="Times" w:cs="Times"/>
                <w:sz w:val="20"/>
                <w:szCs w:val="20"/>
              </w:rPr>
              <w:t xml:space="preserve"> reaguje na potrebu poskytnutia </w:t>
            </w:r>
            <w:r w:rsidR="00D101C4">
              <w:rPr>
                <w:rFonts w:ascii="Times" w:hAnsi="Times" w:cs="Times"/>
                <w:sz w:val="20"/>
                <w:szCs w:val="20"/>
              </w:rPr>
              <w:t>záruky</w:t>
            </w:r>
            <w:r>
              <w:rPr>
                <w:rFonts w:ascii="Times" w:hAnsi="Times" w:cs="Times"/>
                <w:sz w:val="20"/>
                <w:szCs w:val="20"/>
              </w:rPr>
              <w:t xml:space="preserve"> na základe </w:t>
            </w:r>
            <w:r w:rsidR="00D27EC7" w:rsidRPr="00D27EC7">
              <w:rPr>
                <w:rFonts w:ascii="Times" w:hAnsi="Times" w:cs="Times"/>
                <w:sz w:val="20"/>
                <w:szCs w:val="20"/>
              </w:rPr>
              <w:t>Nariadenie Rady (EÚ) 2020/672 z 19.mája o zriadení európskeho nástroja dočasnej podpory na zmiernenie rizík nezamestnanosti v núdzovej situácii v nadväznosti na vypuknutie nákazy COVID-19</w:t>
            </w:r>
            <w:r w:rsidR="00D27EC7">
              <w:rPr>
                <w:rFonts w:ascii="Times" w:hAnsi="Times" w:cs="Times"/>
                <w:sz w:val="20"/>
                <w:szCs w:val="20"/>
              </w:rPr>
              <w:t>.</w:t>
            </w:r>
          </w:p>
        </w:tc>
      </w:tr>
      <w:tr w:rsidR="003B5A2A" w14:paraId="03A3F2AB" w14:textId="77777777" w:rsidTr="006659E1">
        <w:trPr>
          <w:divId w:val="98835070"/>
          <w:trHeight w:val="210"/>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14:paraId="1A59D743" w14:textId="77777777" w:rsidR="003B5A2A" w:rsidRDefault="003B5A2A">
            <w:pPr>
              <w:rPr>
                <w:rFonts w:ascii="Times" w:hAnsi="Times" w:cs="Times"/>
                <w:b/>
                <w:bCs/>
                <w:sz w:val="22"/>
                <w:szCs w:val="22"/>
              </w:rPr>
            </w:pPr>
            <w:r>
              <w:rPr>
                <w:rFonts w:ascii="Times" w:hAnsi="Times" w:cs="Times"/>
                <w:b/>
                <w:bCs/>
                <w:sz w:val="22"/>
                <w:szCs w:val="22"/>
              </w:rPr>
              <w:t>  8.  Preskúmanie účelnosti**</w:t>
            </w:r>
          </w:p>
        </w:tc>
      </w:tr>
      <w:tr w:rsidR="003B5A2A" w14:paraId="1E5FCA41" w14:textId="77777777" w:rsidTr="00AE4237">
        <w:trPr>
          <w:divId w:val="98835070"/>
          <w:trHeight w:val="352"/>
          <w:jc w:val="center"/>
        </w:trPr>
        <w:tc>
          <w:tcPr>
            <w:tcW w:w="5000" w:type="pct"/>
            <w:tcBorders>
              <w:top w:val="outset" w:sz="6" w:space="0" w:color="000000"/>
              <w:left w:val="outset" w:sz="6" w:space="0" w:color="000000"/>
              <w:bottom w:val="outset" w:sz="6" w:space="0" w:color="000000"/>
              <w:right w:val="outset" w:sz="6" w:space="0" w:color="000000"/>
            </w:tcBorders>
            <w:hideMark/>
          </w:tcPr>
          <w:p w14:paraId="43A14EFB" w14:textId="77777777" w:rsidR="003B5A2A" w:rsidRPr="00413850" w:rsidRDefault="00413850">
            <w:pPr>
              <w:rPr>
                <w:rFonts w:ascii="Times" w:hAnsi="Times" w:cs="Times"/>
                <w:bCs/>
                <w:sz w:val="20"/>
                <w:szCs w:val="20"/>
              </w:rPr>
            </w:pPr>
            <w:r w:rsidRPr="00413850">
              <w:rPr>
                <w:rFonts w:ascii="Times" w:hAnsi="Times" w:cs="Times"/>
                <w:bCs/>
                <w:sz w:val="20"/>
                <w:szCs w:val="20"/>
              </w:rPr>
              <w:t>Bezpredmetné</w:t>
            </w:r>
          </w:p>
        </w:tc>
      </w:tr>
    </w:tbl>
    <w:p w14:paraId="5BDED5A3" w14:textId="77777777" w:rsidR="006659E1" w:rsidRPr="00543B8E" w:rsidRDefault="006659E1" w:rsidP="006659E1">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14:paraId="0EB6A6A2" w14:textId="77777777" w:rsidR="006659E1" w:rsidRDefault="006659E1" w:rsidP="006659E1">
      <w:pPr>
        <w:pStyle w:val="Normlnywebov"/>
        <w:spacing w:before="0" w:beforeAutospacing="0" w:after="0" w:afterAutospacing="0"/>
        <w:rPr>
          <w:sz w:val="20"/>
          <w:szCs w:val="20"/>
        </w:rPr>
      </w:pPr>
      <w:r w:rsidRPr="00543B8E">
        <w:rPr>
          <w:sz w:val="20"/>
          <w:szCs w:val="20"/>
        </w:rPr>
        <w:t>** nepovinné</w:t>
      </w:r>
    </w:p>
    <w:p w14:paraId="10235538" w14:textId="77777777" w:rsidR="00AE4237" w:rsidRDefault="00AE4237" w:rsidP="00543B8E">
      <w:pPr>
        <w:pStyle w:val="Normlnywebov"/>
        <w:spacing w:before="0" w:beforeAutospacing="0" w:after="0" w:afterAutospacing="0"/>
        <w:rPr>
          <w:sz w:val="20"/>
          <w:szCs w:val="20"/>
        </w:rPr>
      </w:pPr>
    </w:p>
    <w:p w14:paraId="3688F9F2" w14:textId="77777777" w:rsidR="00AE4237" w:rsidRDefault="00AE4237" w:rsidP="00543B8E">
      <w:pPr>
        <w:pStyle w:val="Normlnywebov"/>
        <w:spacing w:before="0" w:beforeAutospacing="0" w:after="0" w:afterAutospacing="0"/>
        <w:rPr>
          <w:sz w:val="20"/>
          <w:szCs w:val="20"/>
        </w:rPr>
      </w:pPr>
    </w:p>
    <w:tbl>
      <w:tblPr>
        <w:tblW w:w="9052" w:type="dxa"/>
        <w:tblInd w:w="108" w:type="dxa"/>
        <w:tblCellMar>
          <w:left w:w="0" w:type="dxa"/>
          <w:right w:w="0" w:type="dxa"/>
        </w:tblCellMar>
        <w:tblLook w:val="04A0" w:firstRow="1" w:lastRow="0" w:firstColumn="1" w:lastColumn="0" w:noHBand="0" w:noVBand="1"/>
      </w:tblPr>
      <w:tblGrid>
        <w:gridCol w:w="3727"/>
        <w:gridCol w:w="537"/>
        <w:gridCol w:w="1271"/>
        <w:gridCol w:w="563"/>
        <w:gridCol w:w="1122"/>
        <w:gridCol w:w="542"/>
        <w:gridCol w:w="1290"/>
      </w:tblGrid>
      <w:tr w:rsidR="00D27EC7" w:rsidRPr="00335D3F" w14:paraId="45D094CA" w14:textId="77777777" w:rsidTr="00D27EC7">
        <w:trPr>
          <w:trHeight w:val="315"/>
        </w:trPr>
        <w:tc>
          <w:tcPr>
            <w:tcW w:w="9052" w:type="dxa"/>
            <w:gridSpan w:val="7"/>
            <w:tcBorders>
              <w:top w:val="single" w:sz="8" w:space="0" w:color="auto"/>
              <w:left w:val="single" w:sz="8" w:space="0" w:color="auto"/>
              <w:bottom w:val="single" w:sz="4" w:space="0" w:color="auto"/>
              <w:right w:val="single" w:sz="8" w:space="0" w:color="auto"/>
            </w:tcBorders>
            <w:shd w:val="clear" w:color="auto" w:fill="E2E2E2"/>
            <w:tcMar>
              <w:top w:w="0" w:type="dxa"/>
              <w:left w:w="108" w:type="dxa"/>
              <w:bottom w:w="0" w:type="dxa"/>
              <w:right w:w="108" w:type="dxa"/>
            </w:tcMar>
            <w:vAlign w:val="center"/>
            <w:hideMark/>
          </w:tcPr>
          <w:p w14:paraId="7B63FC3C" w14:textId="77777777" w:rsidR="00D27EC7" w:rsidRPr="00714122" w:rsidRDefault="00D27EC7" w:rsidP="00D27EC7">
            <w:pPr>
              <w:jc w:val="both"/>
              <w:rPr>
                <w:rFonts w:eastAsia="Calibri"/>
                <w:b/>
                <w:bCs/>
                <w:sz w:val="22"/>
                <w:szCs w:val="22"/>
              </w:rPr>
            </w:pPr>
            <w:r w:rsidRPr="00714122">
              <w:rPr>
                <w:rFonts w:eastAsia="Calibri"/>
                <w:b/>
                <w:bCs/>
                <w:sz w:val="22"/>
                <w:szCs w:val="22"/>
              </w:rPr>
              <w:t>9. Vplyvy navrhovaného materiálu</w:t>
            </w:r>
          </w:p>
        </w:tc>
      </w:tr>
      <w:tr w:rsidR="00D27EC7" w:rsidRPr="00335D3F" w14:paraId="54BF040C" w14:textId="77777777" w:rsidTr="00EA2DA4">
        <w:tc>
          <w:tcPr>
            <w:tcW w:w="3727" w:type="dxa"/>
            <w:tcBorders>
              <w:top w:val="single" w:sz="4" w:space="0" w:color="auto"/>
              <w:left w:val="single" w:sz="8" w:space="0" w:color="auto"/>
              <w:bottom w:val="nil"/>
              <w:right w:val="single" w:sz="8" w:space="0" w:color="auto"/>
            </w:tcBorders>
            <w:shd w:val="clear" w:color="auto" w:fill="E2E2E2"/>
            <w:tcMar>
              <w:top w:w="0" w:type="dxa"/>
              <w:left w:w="108" w:type="dxa"/>
              <w:bottom w:w="0" w:type="dxa"/>
              <w:right w:w="108" w:type="dxa"/>
            </w:tcMar>
            <w:hideMark/>
          </w:tcPr>
          <w:p w14:paraId="6DE8E11F"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Vplyvy na rozpočet verejnej správy</w:t>
            </w:r>
          </w:p>
        </w:tc>
        <w:tc>
          <w:tcPr>
            <w:tcW w:w="537" w:type="dxa"/>
            <w:tcBorders>
              <w:top w:val="single" w:sz="4" w:space="0" w:color="auto"/>
              <w:left w:val="nil"/>
              <w:bottom w:val="single" w:sz="8" w:space="0" w:color="auto"/>
              <w:right w:val="nil"/>
            </w:tcBorders>
            <w:tcMar>
              <w:top w:w="0" w:type="dxa"/>
              <w:left w:w="108" w:type="dxa"/>
              <w:bottom w:w="0" w:type="dxa"/>
              <w:right w:w="108" w:type="dxa"/>
            </w:tcMar>
            <w:hideMark/>
          </w:tcPr>
          <w:p w14:paraId="1A115701"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271" w:type="dxa"/>
            <w:tcBorders>
              <w:top w:val="single" w:sz="4" w:space="0" w:color="auto"/>
              <w:left w:val="nil"/>
              <w:bottom w:val="single" w:sz="8" w:space="0" w:color="auto"/>
              <w:right w:val="nil"/>
            </w:tcBorders>
            <w:tcMar>
              <w:top w:w="0" w:type="dxa"/>
              <w:left w:w="108" w:type="dxa"/>
              <w:bottom w:w="0" w:type="dxa"/>
              <w:right w:w="108" w:type="dxa"/>
            </w:tcMar>
            <w:hideMark/>
          </w:tcPr>
          <w:p w14:paraId="264374D7"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single" w:sz="4" w:space="0" w:color="auto"/>
              <w:left w:val="nil"/>
              <w:bottom w:val="single" w:sz="8" w:space="0" w:color="auto"/>
              <w:right w:val="nil"/>
            </w:tcBorders>
            <w:tcMar>
              <w:top w:w="0" w:type="dxa"/>
              <w:left w:w="108" w:type="dxa"/>
              <w:bottom w:w="0" w:type="dxa"/>
              <w:right w:w="108" w:type="dxa"/>
            </w:tcMar>
            <w:hideMark/>
          </w:tcPr>
          <w:p w14:paraId="04E62DC8"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122" w:type="dxa"/>
            <w:tcBorders>
              <w:top w:val="single" w:sz="4" w:space="0" w:color="auto"/>
              <w:left w:val="nil"/>
              <w:bottom w:val="single" w:sz="8" w:space="0" w:color="auto"/>
              <w:right w:val="nil"/>
            </w:tcBorders>
            <w:tcMar>
              <w:top w:w="0" w:type="dxa"/>
              <w:left w:w="108" w:type="dxa"/>
              <w:bottom w:w="0" w:type="dxa"/>
              <w:right w:w="108" w:type="dxa"/>
            </w:tcMar>
            <w:hideMark/>
          </w:tcPr>
          <w:p w14:paraId="0D7704B0"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single" w:sz="4" w:space="0" w:color="auto"/>
              <w:left w:val="nil"/>
              <w:bottom w:val="single" w:sz="8" w:space="0" w:color="auto"/>
              <w:right w:val="nil"/>
            </w:tcBorders>
            <w:tcMar>
              <w:top w:w="0" w:type="dxa"/>
              <w:left w:w="108" w:type="dxa"/>
              <w:bottom w:w="0" w:type="dxa"/>
              <w:right w:w="108" w:type="dxa"/>
            </w:tcMar>
            <w:hideMark/>
          </w:tcPr>
          <w:p w14:paraId="29FB7BCD" w14:textId="77777777" w:rsidR="00D27EC7" w:rsidRPr="00335D3F" w:rsidRDefault="00D27EC7" w:rsidP="00EA2DA4">
            <w:pPr>
              <w:spacing w:before="120"/>
              <w:ind w:left="-107" w:right="-108"/>
              <w:jc w:val="both"/>
              <w:rPr>
                <w:rFonts w:eastAsia="Calibri"/>
                <w:b/>
                <w:bCs/>
                <w:sz w:val="20"/>
                <w:szCs w:val="20"/>
              </w:rPr>
            </w:pPr>
            <w:r>
              <w:rPr>
                <w:rFonts w:ascii="Segoe UI Symbol" w:eastAsia="Calibri" w:hAnsi="Segoe UI Symbol"/>
                <w:sz w:val="20"/>
                <w:szCs w:val="20"/>
              </w:rPr>
              <w:t xml:space="preserve">  </w:t>
            </w:r>
            <w:r w:rsidRPr="00335D3F">
              <w:rPr>
                <w:rFonts w:ascii="Segoe UI Symbol" w:eastAsia="Calibri" w:hAnsi="Segoe UI Symbol"/>
                <w:sz w:val="20"/>
                <w:szCs w:val="20"/>
              </w:rPr>
              <w:t>☐</w:t>
            </w:r>
          </w:p>
        </w:tc>
        <w:tc>
          <w:tcPr>
            <w:tcW w:w="12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C9333A"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r w:rsidR="00D27EC7" w:rsidRPr="00335D3F" w14:paraId="3576F941" w14:textId="77777777" w:rsidTr="00EA2DA4">
        <w:tc>
          <w:tcPr>
            <w:tcW w:w="3727" w:type="dxa"/>
            <w:tcBorders>
              <w:top w:val="nil"/>
              <w:left w:val="single" w:sz="8" w:space="0" w:color="auto"/>
              <w:bottom w:val="single" w:sz="8" w:space="0" w:color="000000"/>
              <w:right w:val="single" w:sz="8" w:space="0" w:color="auto"/>
            </w:tcBorders>
            <w:shd w:val="clear" w:color="auto" w:fill="E2E2E2"/>
            <w:tcMar>
              <w:top w:w="0" w:type="dxa"/>
              <w:left w:w="108" w:type="dxa"/>
              <w:bottom w:w="0" w:type="dxa"/>
              <w:right w:w="108" w:type="dxa"/>
            </w:tcMar>
            <w:hideMark/>
          </w:tcPr>
          <w:p w14:paraId="3F0B213E" w14:textId="77777777" w:rsidR="00D27EC7" w:rsidRPr="00335D3F" w:rsidRDefault="00D27EC7" w:rsidP="00EA2DA4">
            <w:pPr>
              <w:spacing w:before="120"/>
              <w:jc w:val="both"/>
              <w:rPr>
                <w:rFonts w:eastAsia="Calibri"/>
                <w:sz w:val="20"/>
                <w:szCs w:val="20"/>
              </w:rPr>
            </w:pPr>
            <w:r w:rsidRPr="00335D3F">
              <w:rPr>
                <w:rFonts w:eastAsia="Calibri"/>
                <w:sz w:val="20"/>
                <w:szCs w:val="20"/>
              </w:rPr>
              <w:t>    z toho rozpočtovo zabezpečené vplyvy</w:t>
            </w:r>
          </w:p>
        </w:tc>
        <w:tc>
          <w:tcPr>
            <w:tcW w:w="537" w:type="dxa"/>
            <w:tcBorders>
              <w:top w:val="nil"/>
              <w:left w:val="nil"/>
              <w:bottom w:val="single" w:sz="8" w:space="0" w:color="auto"/>
              <w:right w:val="nil"/>
            </w:tcBorders>
            <w:tcMar>
              <w:top w:w="0" w:type="dxa"/>
              <w:left w:w="108" w:type="dxa"/>
              <w:bottom w:w="0" w:type="dxa"/>
              <w:right w:w="108" w:type="dxa"/>
            </w:tcMar>
            <w:hideMark/>
          </w:tcPr>
          <w:p w14:paraId="29071C0B" w14:textId="77777777" w:rsidR="00D27EC7" w:rsidRPr="00335D3F" w:rsidRDefault="00D27EC7" w:rsidP="00EA2DA4">
            <w:pPr>
              <w:spacing w:before="120"/>
              <w:jc w:val="both"/>
              <w:rPr>
                <w:rFonts w:eastAsia="Calibri"/>
                <w:sz w:val="20"/>
                <w:szCs w:val="20"/>
              </w:rPr>
            </w:pPr>
            <w:r w:rsidRPr="00335D3F">
              <w:rPr>
                <w:rFonts w:ascii="MS Gothic" w:eastAsia="MS Gothic" w:hAnsi="MS Gothic"/>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10CBA7A4" w14:textId="77777777" w:rsidR="00D27EC7" w:rsidRPr="00335D3F" w:rsidRDefault="00D27EC7" w:rsidP="00EA2DA4">
            <w:pPr>
              <w:spacing w:before="120"/>
              <w:jc w:val="both"/>
              <w:rPr>
                <w:rFonts w:eastAsia="Calibri"/>
                <w:sz w:val="20"/>
                <w:szCs w:val="20"/>
              </w:rPr>
            </w:pPr>
            <w:r w:rsidRPr="00335D3F">
              <w:rPr>
                <w:rFonts w:eastAsia="Calibri"/>
                <w:sz w:val="20"/>
                <w:szCs w:val="20"/>
              </w:rPr>
              <w:t>Áno</w:t>
            </w:r>
          </w:p>
        </w:tc>
        <w:tc>
          <w:tcPr>
            <w:tcW w:w="563" w:type="dxa"/>
            <w:tcBorders>
              <w:top w:val="nil"/>
              <w:left w:val="nil"/>
              <w:bottom w:val="single" w:sz="8" w:space="0" w:color="auto"/>
              <w:right w:val="nil"/>
            </w:tcBorders>
            <w:tcMar>
              <w:top w:w="0" w:type="dxa"/>
              <w:left w:w="108" w:type="dxa"/>
              <w:bottom w:w="0" w:type="dxa"/>
              <w:right w:w="108" w:type="dxa"/>
            </w:tcMar>
            <w:hideMark/>
          </w:tcPr>
          <w:p w14:paraId="6FEB09A7" w14:textId="77777777" w:rsidR="00D27EC7" w:rsidRPr="00335D3F" w:rsidRDefault="00D27EC7" w:rsidP="00EA2DA4">
            <w:pPr>
              <w:spacing w:before="120"/>
              <w:jc w:val="both"/>
              <w:rPr>
                <w:rFonts w:eastAsia="Calibri"/>
                <w:sz w:val="20"/>
                <w:szCs w:val="20"/>
              </w:rPr>
            </w:pPr>
            <w:r w:rsidRPr="00335D3F">
              <w:rPr>
                <w:rFonts w:ascii="MS Gothic" w:eastAsia="MS Gothic" w:hAnsi="MS Gothic"/>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26DE4C06" w14:textId="77777777" w:rsidR="00D27EC7" w:rsidRPr="00335D3F" w:rsidRDefault="00D27EC7" w:rsidP="00EA2DA4">
            <w:pPr>
              <w:spacing w:before="120"/>
              <w:jc w:val="both"/>
              <w:rPr>
                <w:rFonts w:eastAsia="Calibri"/>
                <w:sz w:val="20"/>
                <w:szCs w:val="20"/>
              </w:rPr>
            </w:pPr>
            <w:r w:rsidRPr="00335D3F">
              <w:rPr>
                <w:rFonts w:eastAsia="Calibri"/>
                <w:sz w:val="20"/>
                <w:szCs w:val="20"/>
              </w:rPr>
              <w:t>Nie</w:t>
            </w:r>
          </w:p>
        </w:tc>
        <w:tc>
          <w:tcPr>
            <w:tcW w:w="542" w:type="dxa"/>
            <w:tcBorders>
              <w:top w:val="nil"/>
              <w:left w:val="nil"/>
              <w:bottom w:val="single" w:sz="8" w:space="0" w:color="auto"/>
              <w:right w:val="nil"/>
            </w:tcBorders>
            <w:tcMar>
              <w:top w:w="0" w:type="dxa"/>
              <w:left w:w="108" w:type="dxa"/>
              <w:bottom w:w="0" w:type="dxa"/>
              <w:right w:w="108" w:type="dxa"/>
            </w:tcMar>
            <w:hideMark/>
          </w:tcPr>
          <w:p w14:paraId="39173B80" w14:textId="77777777" w:rsidR="00D27EC7" w:rsidRPr="00335D3F" w:rsidRDefault="00D27EC7" w:rsidP="00EA2DA4">
            <w:pPr>
              <w:spacing w:before="120"/>
              <w:jc w:val="both"/>
              <w:rPr>
                <w:rFonts w:eastAsia="Calibri"/>
                <w:sz w:val="20"/>
                <w:szCs w:val="20"/>
              </w:rPr>
            </w:pPr>
            <w:r w:rsidRPr="00335D3F">
              <w:rPr>
                <w:rFonts w:ascii="Segoe UI Symbol" w:eastAsia="Calibri" w:hAnsi="Segoe UI Symbol"/>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4B52759E" w14:textId="77777777" w:rsidR="00D27EC7" w:rsidRPr="00335D3F" w:rsidRDefault="00D27EC7" w:rsidP="00EA2DA4">
            <w:pPr>
              <w:spacing w:before="120"/>
              <w:ind w:left="34"/>
              <w:jc w:val="both"/>
              <w:rPr>
                <w:rFonts w:eastAsia="Calibri"/>
                <w:sz w:val="20"/>
                <w:szCs w:val="20"/>
              </w:rPr>
            </w:pPr>
            <w:r w:rsidRPr="00335D3F">
              <w:rPr>
                <w:rFonts w:eastAsia="Calibri"/>
                <w:sz w:val="20"/>
                <w:szCs w:val="20"/>
              </w:rPr>
              <w:t>Čiastočne</w:t>
            </w:r>
          </w:p>
        </w:tc>
      </w:tr>
      <w:tr w:rsidR="00D27EC7" w:rsidRPr="00335D3F" w14:paraId="37C8336D" w14:textId="77777777" w:rsidTr="00EA2DA4">
        <w:tc>
          <w:tcPr>
            <w:tcW w:w="3727" w:type="dxa"/>
            <w:tcBorders>
              <w:top w:val="nil"/>
              <w:left w:val="single" w:sz="8" w:space="0" w:color="auto"/>
              <w:bottom w:val="nil"/>
              <w:right w:val="single" w:sz="8" w:space="0" w:color="auto"/>
            </w:tcBorders>
            <w:shd w:val="clear" w:color="auto" w:fill="E2E2E2"/>
            <w:tcMar>
              <w:top w:w="0" w:type="dxa"/>
              <w:left w:w="108" w:type="dxa"/>
              <w:bottom w:w="0" w:type="dxa"/>
              <w:right w:w="108" w:type="dxa"/>
            </w:tcMar>
            <w:hideMark/>
          </w:tcPr>
          <w:p w14:paraId="3044F7B3"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Vplyvy na podnikateľské prostredie</w:t>
            </w:r>
          </w:p>
        </w:tc>
        <w:tc>
          <w:tcPr>
            <w:tcW w:w="537" w:type="dxa"/>
            <w:tcBorders>
              <w:top w:val="nil"/>
              <w:left w:val="nil"/>
              <w:bottom w:val="single" w:sz="8" w:space="0" w:color="auto"/>
              <w:right w:val="nil"/>
            </w:tcBorders>
            <w:tcMar>
              <w:top w:w="0" w:type="dxa"/>
              <w:left w:w="108" w:type="dxa"/>
              <w:bottom w:w="0" w:type="dxa"/>
              <w:right w:w="108" w:type="dxa"/>
            </w:tcMar>
            <w:hideMark/>
          </w:tcPr>
          <w:p w14:paraId="60DF53A2"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7298643C"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nil"/>
              <w:left w:val="nil"/>
              <w:bottom w:val="single" w:sz="8" w:space="0" w:color="auto"/>
              <w:right w:val="nil"/>
            </w:tcBorders>
            <w:tcMar>
              <w:top w:w="0" w:type="dxa"/>
              <w:left w:w="108" w:type="dxa"/>
              <w:bottom w:w="0" w:type="dxa"/>
              <w:right w:w="108" w:type="dxa"/>
            </w:tcMar>
            <w:hideMark/>
          </w:tcPr>
          <w:p w14:paraId="5B4A51B3"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4D2D1C43"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nil"/>
              <w:left w:val="nil"/>
              <w:bottom w:val="single" w:sz="8" w:space="0" w:color="auto"/>
              <w:right w:val="nil"/>
            </w:tcBorders>
            <w:tcMar>
              <w:top w:w="0" w:type="dxa"/>
              <w:left w:w="108" w:type="dxa"/>
              <w:bottom w:w="0" w:type="dxa"/>
              <w:right w:w="108" w:type="dxa"/>
            </w:tcMar>
            <w:hideMark/>
          </w:tcPr>
          <w:p w14:paraId="56A2272E"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25C5FEAF"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r w:rsidR="00D27EC7" w:rsidRPr="00335D3F" w14:paraId="40FF0BE7" w14:textId="77777777" w:rsidTr="00EA2DA4">
        <w:tc>
          <w:tcPr>
            <w:tcW w:w="3727" w:type="dxa"/>
            <w:tcBorders>
              <w:top w:val="nil"/>
              <w:left w:val="single" w:sz="8" w:space="0" w:color="000000"/>
              <w:bottom w:val="single" w:sz="8" w:space="0" w:color="000000"/>
              <w:right w:val="single" w:sz="8" w:space="0" w:color="000000"/>
            </w:tcBorders>
            <w:shd w:val="clear" w:color="auto" w:fill="E2E2E2"/>
            <w:tcMar>
              <w:top w:w="0" w:type="dxa"/>
              <w:left w:w="108" w:type="dxa"/>
              <w:bottom w:w="0" w:type="dxa"/>
              <w:right w:w="108" w:type="dxa"/>
            </w:tcMar>
            <w:hideMark/>
          </w:tcPr>
          <w:p w14:paraId="1669AAC0" w14:textId="77777777" w:rsidR="00D27EC7" w:rsidRPr="00335D3F" w:rsidRDefault="00D27EC7" w:rsidP="00EA2DA4">
            <w:pPr>
              <w:spacing w:before="120"/>
              <w:jc w:val="both"/>
              <w:rPr>
                <w:rFonts w:eastAsia="Calibri"/>
                <w:sz w:val="20"/>
                <w:szCs w:val="20"/>
              </w:rPr>
            </w:pPr>
            <w:r w:rsidRPr="00335D3F">
              <w:rPr>
                <w:rFonts w:eastAsia="Calibri"/>
                <w:sz w:val="20"/>
                <w:szCs w:val="20"/>
              </w:rPr>
              <w:t>    z toho vplyvy na MSP</w:t>
            </w:r>
          </w:p>
        </w:tc>
        <w:tc>
          <w:tcPr>
            <w:tcW w:w="537" w:type="dxa"/>
            <w:tcBorders>
              <w:top w:val="nil"/>
              <w:left w:val="nil"/>
              <w:bottom w:val="single" w:sz="8" w:space="0" w:color="auto"/>
              <w:right w:val="nil"/>
            </w:tcBorders>
            <w:tcMar>
              <w:top w:w="0" w:type="dxa"/>
              <w:left w:w="108" w:type="dxa"/>
              <w:bottom w:w="0" w:type="dxa"/>
              <w:right w:w="108" w:type="dxa"/>
            </w:tcMar>
            <w:hideMark/>
          </w:tcPr>
          <w:p w14:paraId="6EC84C88" w14:textId="77777777" w:rsidR="00D27EC7" w:rsidRPr="00335D3F" w:rsidRDefault="00D27EC7" w:rsidP="00EA2DA4">
            <w:pPr>
              <w:spacing w:before="120"/>
              <w:jc w:val="both"/>
              <w:rPr>
                <w:rFonts w:eastAsia="Calibri"/>
                <w:sz w:val="20"/>
                <w:szCs w:val="20"/>
              </w:rPr>
            </w:pPr>
            <w:r w:rsidRPr="00335D3F">
              <w:rPr>
                <w:rFonts w:ascii="Segoe UI Symbol" w:eastAsia="Calibri" w:hAnsi="Segoe UI Symbol"/>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152CF3DF" w14:textId="77777777" w:rsidR="00D27EC7" w:rsidRPr="00335D3F" w:rsidRDefault="00D27EC7" w:rsidP="00EA2DA4">
            <w:pPr>
              <w:spacing w:before="120"/>
              <w:jc w:val="both"/>
              <w:rPr>
                <w:rFonts w:eastAsia="Calibri"/>
                <w:sz w:val="20"/>
                <w:szCs w:val="20"/>
              </w:rPr>
            </w:pPr>
            <w:r w:rsidRPr="00335D3F">
              <w:rPr>
                <w:rFonts w:eastAsia="Calibri"/>
                <w:sz w:val="20"/>
                <w:szCs w:val="20"/>
              </w:rPr>
              <w:t>Áno</w:t>
            </w:r>
          </w:p>
        </w:tc>
        <w:tc>
          <w:tcPr>
            <w:tcW w:w="563" w:type="dxa"/>
            <w:tcBorders>
              <w:top w:val="nil"/>
              <w:left w:val="nil"/>
              <w:bottom w:val="single" w:sz="8" w:space="0" w:color="auto"/>
              <w:right w:val="nil"/>
            </w:tcBorders>
            <w:tcMar>
              <w:top w:w="0" w:type="dxa"/>
              <w:left w:w="108" w:type="dxa"/>
              <w:bottom w:w="0" w:type="dxa"/>
              <w:right w:w="108" w:type="dxa"/>
            </w:tcMar>
            <w:hideMark/>
          </w:tcPr>
          <w:p w14:paraId="78946C3A" w14:textId="77777777" w:rsidR="00D27EC7" w:rsidRPr="00335D3F" w:rsidRDefault="00D27EC7" w:rsidP="00EA2DA4">
            <w:pPr>
              <w:spacing w:before="120"/>
              <w:jc w:val="both"/>
              <w:rPr>
                <w:rFonts w:eastAsia="Calibri"/>
                <w:sz w:val="20"/>
                <w:szCs w:val="20"/>
              </w:rPr>
            </w:pPr>
            <w:r w:rsidRPr="00335D3F">
              <w:rPr>
                <w:rFonts w:ascii="Segoe UI Symbol" w:eastAsia="Calibri" w:hAnsi="Segoe UI Symbol"/>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7108F271" w14:textId="77777777" w:rsidR="00D27EC7" w:rsidRPr="00335D3F" w:rsidRDefault="00D27EC7" w:rsidP="00EA2DA4">
            <w:pPr>
              <w:spacing w:before="120"/>
              <w:jc w:val="both"/>
              <w:rPr>
                <w:rFonts w:eastAsia="Calibri"/>
                <w:sz w:val="20"/>
                <w:szCs w:val="20"/>
              </w:rPr>
            </w:pPr>
            <w:r w:rsidRPr="00335D3F">
              <w:rPr>
                <w:rFonts w:eastAsia="Calibri"/>
                <w:sz w:val="20"/>
                <w:szCs w:val="20"/>
              </w:rPr>
              <w:t>Nie</w:t>
            </w:r>
          </w:p>
        </w:tc>
        <w:tc>
          <w:tcPr>
            <w:tcW w:w="542" w:type="dxa"/>
            <w:tcBorders>
              <w:top w:val="nil"/>
              <w:left w:val="nil"/>
              <w:bottom w:val="single" w:sz="8" w:space="0" w:color="auto"/>
              <w:right w:val="nil"/>
            </w:tcBorders>
            <w:tcMar>
              <w:top w:w="0" w:type="dxa"/>
              <w:left w:w="108" w:type="dxa"/>
              <w:bottom w:w="0" w:type="dxa"/>
              <w:right w:w="108" w:type="dxa"/>
            </w:tcMar>
            <w:hideMark/>
          </w:tcPr>
          <w:p w14:paraId="7F49BF2D" w14:textId="77777777" w:rsidR="00D27EC7" w:rsidRPr="00335D3F" w:rsidRDefault="00D27EC7" w:rsidP="00EA2DA4">
            <w:pPr>
              <w:spacing w:before="120"/>
              <w:jc w:val="both"/>
              <w:rPr>
                <w:rFonts w:eastAsia="Calibri"/>
                <w:sz w:val="20"/>
                <w:szCs w:val="20"/>
              </w:rPr>
            </w:pPr>
            <w:r w:rsidRPr="00335D3F">
              <w:rPr>
                <w:rFonts w:ascii="Segoe UI Symbol" w:eastAsia="Calibri" w:hAnsi="Segoe UI Symbol"/>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4B38115D" w14:textId="77777777" w:rsidR="00D27EC7" w:rsidRPr="00335D3F" w:rsidRDefault="00D27EC7" w:rsidP="00EA2DA4">
            <w:pPr>
              <w:spacing w:before="120"/>
              <w:ind w:left="34"/>
              <w:jc w:val="both"/>
              <w:rPr>
                <w:rFonts w:eastAsia="Calibri"/>
                <w:sz w:val="20"/>
                <w:szCs w:val="20"/>
              </w:rPr>
            </w:pPr>
            <w:r w:rsidRPr="00335D3F">
              <w:rPr>
                <w:rFonts w:eastAsia="Calibri"/>
                <w:sz w:val="20"/>
                <w:szCs w:val="20"/>
              </w:rPr>
              <w:t>Čiastočne</w:t>
            </w:r>
          </w:p>
        </w:tc>
      </w:tr>
      <w:tr w:rsidR="00D27EC7" w:rsidRPr="00335D3F" w14:paraId="1329CDA3" w14:textId="77777777" w:rsidTr="00EA2DA4">
        <w:tc>
          <w:tcPr>
            <w:tcW w:w="3727"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14:paraId="13788512"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Sociálne vplyvy</w:t>
            </w:r>
          </w:p>
        </w:tc>
        <w:tc>
          <w:tcPr>
            <w:tcW w:w="537" w:type="dxa"/>
            <w:tcBorders>
              <w:top w:val="nil"/>
              <w:left w:val="nil"/>
              <w:bottom w:val="single" w:sz="8" w:space="0" w:color="auto"/>
              <w:right w:val="nil"/>
            </w:tcBorders>
            <w:tcMar>
              <w:top w:w="0" w:type="dxa"/>
              <w:left w:w="108" w:type="dxa"/>
              <w:bottom w:w="0" w:type="dxa"/>
              <w:right w:w="108" w:type="dxa"/>
            </w:tcMar>
            <w:hideMark/>
          </w:tcPr>
          <w:p w14:paraId="1195C973"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3A5E0650"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nil"/>
              <w:left w:val="nil"/>
              <w:bottom w:val="single" w:sz="8" w:space="0" w:color="auto"/>
              <w:right w:val="nil"/>
            </w:tcBorders>
            <w:tcMar>
              <w:top w:w="0" w:type="dxa"/>
              <w:left w:w="108" w:type="dxa"/>
              <w:bottom w:w="0" w:type="dxa"/>
              <w:right w:w="108" w:type="dxa"/>
            </w:tcMar>
            <w:hideMark/>
          </w:tcPr>
          <w:p w14:paraId="4424F41E"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58B6008F"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nil"/>
              <w:left w:val="nil"/>
              <w:bottom w:val="single" w:sz="8" w:space="0" w:color="auto"/>
              <w:right w:val="nil"/>
            </w:tcBorders>
            <w:tcMar>
              <w:top w:w="0" w:type="dxa"/>
              <w:left w:w="108" w:type="dxa"/>
              <w:bottom w:w="0" w:type="dxa"/>
              <w:right w:w="108" w:type="dxa"/>
            </w:tcMar>
            <w:hideMark/>
          </w:tcPr>
          <w:p w14:paraId="594049BC"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12599EB2"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r w:rsidR="00D27EC7" w:rsidRPr="00335D3F" w14:paraId="7D4C84D8" w14:textId="77777777" w:rsidTr="00EA2DA4">
        <w:tc>
          <w:tcPr>
            <w:tcW w:w="3727"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tcPr>
          <w:p w14:paraId="45C297D1" w14:textId="77777777" w:rsidR="00D27EC7" w:rsidRPr="00714122" w:rsidRDefault="00D27EC7" w:rsidP="00EA2DA4">
            <w:pPr>
              <w:spacing w:before="120"/>
              <w:jc w:val="both"/>
              <w:rPr>
                <w:rFonts w:eastAsia="Calibri"/>
                <w:b/>
                <w:bCs/>
                <w:sz w:val="20"/>
                <w:szCs w:val="20"/>
              </w:rPr>
            </w:pPr>
            <w:r w:rsidRPr="00714122">
              <w:rPr>
                <w:rStyle w:val="Siln"/>
                <w:sz w:val="20"/>
                <w:szCs w:val="20"/>
              </w:rPr>
              <w:t>Vplyvy na manželstvo, rodičovstvo a rodinu</w:t>
            </w:r>
          </w:p>
        </w:tc>
        <w:tc>
          <w:tcPr>
            <w:tcW w:w="537" w:type="dxa"/>
            <w:tcBorders>
              <w:top w:val="nil"/>
              <w:left w:val="nil"/>
              <w:bottom w:val="single" w:sz="8" w:space="0" w:color="auto"/>
              <w:right w:val="nil"/>
            </w:tcBorders>
            <w:tcMar>
              <w:top w:w="0" w:type="dxa"/>
              <w:left w:w="108" w:type="dxa"/>
              <w:bottom w:w="0" w:type="dxa"/>
              <w:right w:w="108" w:type="dxa"/>
            </w:tcMar>
          </w:tcPr>
          <w:p w14:paraId="55471034" w14:textId="77777777" w:rsidR="00D27EC7" w:rsidRPr="00335D3F" w:rsidRDefault="00D27EC7" w:rsidP="00EA2DA4">
            <w:pPr>
              <w:spacing w:before="120"/>
              <w:jc w:val="both"/>
              <w:rPr>
                <w:rFonts w:ascii="Segoe UI Symbol" w:eastAsia="Calibri" w:hAnsi="Segoe UI Symbol"/>
                <w:b/>
                <w:bCs/>
                <w:sz w:val="20"/>
                <w:szCs w:val="20"/>
              </w:rPr>
            </w:pPr>
            <w:r w:rsidRPr="00335D3F">
              <w:rPr>
                <w:rFonts w:ascii="Segoe UI Symbol" w:eastAsia="Calibri" w:hAnsi="Segoe UI Symbol"/>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tcPr>
          <w:p w14:paraId="22458E95"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nil"/>
              <w:left w:val="nil"/>
              <w:bottom w:val="single" w:sz="8" w:space="0" w:color="auto"/>
              <w:right w:val="nil"/>
            </w:tcBorders>
            <w:tcMar>
              <w:top w:w="0" w:type="dxa"/>
              <w:left w:w="108" w:type="dxa"/>
              <w:bottom w:w="0" w:type="dxa"/>
              <w:right w:w="108" w:type="dxa"/>
            </w:tcMar>
          </w:tcPr>
          <w:p w14:paraId="617BAEFC" w14:textId="77777777" w:rsidR="00D27EC7" w:rsidRPr="00335D3F" w:rsidRDefault="00D27EC7" w:rsidP="00EA2DA4">
            <w:pPr>
              <w:spacing w:before="120"/>
              <w:jc w:val="both"/>
              <w:rPr>
                <w:rFonts w:ascii="Segoe UI Symbol" w:eastAsia="Calibri" w:hAnsi="Segoe UI Symbol"/>
                <w:b/>
                <w:bCs/>
                <w:sz w:val="20"/>
                <w:szCs w:val="20"/>
              </w:rPr>
            </w:pPr>
            <w:r w:rsidRPr="00335D3F">
              <w:rPr>
                <w:rFonts w:ascii="Segoe UI Symbol" w:eastAsia="Calibri" w:hAnsi="Segoe UI Symbol"/>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tcPr>
          <w:p w14:paraId="60F4F6FA"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nil"/>
              <w:left w:val="nil"/>
              <w:bottom w:val="single" w:sz="8" w:space="0" w:color="auto"/>
              <w:right w:val="nil"/>
            </w:tcBorders>
            <w:tcMar>
              <w:top w:w="0" w:type="dxa"/>
              <w:left w:w="108" w:type="dxa"/>
              <w:bottom w:w="0" w:type="dxa"/>
              <w:right w:w="108" w:type="dxa"/>
            </w:tcMar>
          </w:tcPr>
          <w:p w14:paraId="30B3B135" w14:textId="77777777" w:rsidR="00D27EC7" w:rsidRPr="00335D3F" w:rsidRDefault="00D27EC7" w:rsidP="00EA2DA4">
            <w:pPr>
              <w:spacing w:before="120"/>
              <w:jc w:val="both"/>
              <w:rPr>
                <w:rFonts w:ascii="Segoe UI Symbol" w:eastAsia="Calibri" w:hAnsi="Segoe UI Symbol"/>
                <w:b/>
                <w:bCs/>
                <w:sz w:val="20"/>
                <w:szCs w:val="20"/>
              </w:rPr>
            </w:pPr>
            <w:r w:rsidRPr="00335D3F">
              <w:rPr>
                <w:rFonts w:ascii="Segoe UI Symbol" w:eastAsia="Calibri" w:hAnsi="Segoe UI Symbol"/>
                <w:b/>
                <w:bCs/>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14:paraId="78A216AB"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Negatívne</w:t>
            </w:r>
          </w:p>
        </w:tc>
      </w:tr>
      <w:tr w:rsidR="00D27EC7" w:rsidRPr="00335D3F" w14:paraId="2BD4DB59" w14:textId="77777777" w:rsidTr="00EA2DA4">
        <w:tc>
          <w:tcPr>
            <w:tcW w:w="3727"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14:paraId="7B9153DE"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Vplyvy na životné prostredie</w:t>
            </w:r>
          </w:p>
        </w:tc>
        <w:tc>
          <w:tcPr>
            <w:tcW w:w="537" w:type="dxa"/>
            <w:tcBorders>
              <w:top w:val="nil"/>
              <w:left w:val="nil"/>
              <w:bottom w:val="single" w:sz="8" w:space="0" w:color="auto"/>
              <w:right w:val="nil"/>
            </w:tcBorders>
            <w:tcMar>
              <w:top w:w="0" w:type="dxa"/>
              <w:left w:w="108" w:type="dxa"/>
              <w:bottom w:w="0" w:type="dxa"/>
              <w:right w:w="108" w:type="dxa"/>
            </w:tcMar>
            <w:hideMark/>
          </w:tcPr>
          <w:p w14:paraId="114B602A"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13B4F01F"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nil"/>
              <w:left w:val="nil"/>
              <w:bottom w:val="single" w:sz="8" w:space="0" w:color="auto"/>
              <w:right w:val="nil"/>
            </w:tcBorders>
            <w:tcMar>
              <w:top w:w="0" w:type="dxa"/>
              <w:left w:w="108" w:type="dxa"/>
              <w:bottom w:w="0" w:type="dxa"/>
              <w:right w:w="108" w:type="dxa"/>
            </w:tcMar>
            <w:hideMark/>
          </w:tcPr>
          <w:p w14:paraId="1F6C85F8"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215C311F"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nil"/>
              <w:left w:val="nil"/>
              <w:bottom w:val="single" w:sz="8" w:space="0" w:color="auto"/>
              <w:right w:val="nil"/>
            </w:tcBorders>
            <w:tcMar>
              <w:top w:w="0" w:type="dxa"/>
              <w:left w:w="108" w:type="dxa"/>
              <w:bottom w:w="0" w:type="dxa"/>
              <w:right w:w="108" w:type="dxa"/>
            </w:tcMar>
            <w:hideMark/>
          </w:tcPr>
          <w:p w14:paraId="68D52450"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53DEF7CA"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r w:rsidR="00D27EC7" w:rsidRPr="00335D3F" w14:paraId="494A913D" w14:textId="77777777" w:rsidTr="00EA2DA4">
        <w:tc>
          <w:tcPr>
            <w:tcW w:w="3727"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14:paraId="1FEFAC71"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Vplyvy na informatizáciu</w:t>
            </w:r>
          </w:p>
        </w:tc>
        <w:tc>
          <w:tcPr>
            <w:tcW w:w="537" w:type="dxa"/>
            <w:tcBorders>
              <w:top w:val="nil"/>
              <w:left w:val="nil"/>
              <w:bottom w:val="single" w:sz="8" w:space="0" w:color="auto"/>
              <w:right w:val="nil"/>
            </w:tcBorders>
            <w:tcMar>
              <w:top w:w="0" w:type="dxa"/>
              <w:left w:w="108" w:type="dxa"/>
              <w:bottom w:w="0" w:type="dxa"/>
              <w:right w:w="108" w:type="dxa"/>
            </w:tcMar>
            <w:hideMark/>
          </w:tcPr>
          <w:p w14:paraId="48B72CFD"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3645B9C1"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nil"/>
              <w:left w:val="nil"/>
              <w:bottom w:val="single" w:sz="8" w:space="0" w:color="auto"/>
              <w:right w:val="nil"/>
            </w:tcBorders>
            <w:tcMar>
              <w:top w:w="0" w:type="dxa"/>
              <w:left w:w="108" w:type="dxa"/>
              <w:bottom w:w="0" w:type="dxa"/>
              <w:right w:w="108" w:type="dxa"/>
            </w:tcMar>
            <w:hideMark/>
          </w:tcPr>
          <w:p w14:paraId="2BF404C5"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4B67C35F"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nil"/>
              <w:left w:val="nil"/>
              <w:bottom w:val="single" w:sz="8" w:space="0" w:color="auto"/>
              <w:right w:val="nil"/>
            </w:tcBorders>
            <w:tcMar>
              <w:top w:w="0" w:type="dxa"/>
              <w:left w:w="108" w:type="dxa"/>
              <w:bottom w:w="0" w:type="dxa"/>
              <w:right w:w="108" w:type="dxa"/>
            </w:tcMar>
            <w:hideMark/>
          </w:tcPr>
          <w:p w14:paraId="66BEEA20"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4528CCEE"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r w:rsidR="00D27EC7" w:rsidRPr="00335D3F" w14:paraId="70AFF6DA" w14:textId="77777777" w:rsidTr="00EA2DA4">
        <w:tc>
          <w:tcPr>
            <w:tcW w:w="3727" w:type="dxa"/>
            <w:tcBorders>
              <w:top w:val="nil"/>
              <w:left w:val="single" w:sz="8" w:space="0" w:color="auto"/>
              <w:bottom w:val="nil"/>
              <w:right w:val="single" w:sz="8" w:space="0" w:color="auto"/>
            </w:tcBorders>
            <w:shd w:val="clear" w:color="auto" w:fill="E2E2E2"/>
            <w:tcMar>
              <w:top w:w="0" w:type="dxa"/>
              <w:left w:w="108" w:type="dxa"/>
              <w:bottom w:w="0" w:type="dxa"/>
              <w:right w:w="108" w:type="dxa"/>
            </w:tcMar>
            <w:hideMark/>
          </w:tcPr>
          <w:p w14:paraId="4CB2B5A3"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Vplyvy na služby verejnej správy pre občana, z toho</w:t>
            </w:r>
          </w:p>
        </w:tc>
        <w:tc>
          <w:tcPr>
            <w:tcW w:w="537" w:type="dxa"/>
            <w:tcMar>
              <w:top w:w="0" w:type="dxa"/>
              <w:left w:w="108" w:type="dxa"/>
              <w:bottom w:w="0" w:type="dxa"/>
              <w:right w:w="108" w:type="dxa"/>
            </w:tcMar>
          </w:tcPr>
          <w:p w14:paraId="7EEF1E4E" w14:textId="77777777" w:rsidR="00D27EC7" w:rsidRPr="00335D3F" w:rsidRDefault="00D27EC7" w:rsidP="00EA2DA4">
            <w:pPr>
              <w:spacing w:before="120"/>
              <w:jc w:val="both"/>
              <w:rPr>
                <w:rFonts w:eastAsia="Calibri"/>
                <w:b/>
                <w:bCs/>
                <w:sz w:val="20"/>
                <w:szCs w:val="20"/>
              </w:rPr>
            </w:pPr>
          </w:p>
        </w:tc>
        <w:tc>
          <w:tcPr>
            <w:tcW w:w="1271" w:type="dxa"/>
            <w:tcMar>
              <w:top w:w="0" w:type="dxa"/>
              <w:left w:w="108" w:type="dxa"/>
              <w:bottom w:w="0" w:type="dxa"/>
              <w:right w:w="108" w:type="dxa"/>
            </w:tcMar>
          </w:tcPr>
          <w:p w14:paraId="366A8C59" w14:textId="77777777" w:rsidR="00D27EC7" w:rsidRPr="00335D3F" w:rsidRDefault="00D27EC7" w:rsidP="00EA2DA4">
            <w:pPr>
              <w:spacing w:before="120"/>
              <w:ind w:right="-108"/>
              <w:jc w:val="both"/>
              <w:rPr>
                <w:rFonts w:eastAsia="Calibri"/>
                <w:b/>
                <w:bCs/>
                <w:sz w:val="20"/>
                <w:szCs w:val="20"/>
              </w:rPr>
            </w:pPr>
          </w:p>
        </w:tc>
        <w:tc>
          <w:tcPr>
            <w:tcW w:w="563" w:type="dxa"/>
            <w:tcMar>
              <w:top w:w="0" w:type="dxa"/>
              <w:left w:w="108" w:type="dxa"/>
              <w:bottom w:w="0" w:type="dxa"/>
              <w:right w:w="108" w:type="dxa"/>
            </w:tcMar>
          </w:tcPr>
          <w:p w14:paraId="30970F78" w14:textId="77777777" w:rsidR="00D27EC7" w:rsidRPr="00335D3F" w:rsidRDefault="00D27EC7" w:rsidP="00EA2DA4">
            <w:pPr>
              <w:spacing w:before="120"/>
              <w:jc w:val="both"/>
              <w:rPr>
                <w:rFonts w:eastAsia="Calibri"/>
                <w:b/>
                <w:bCs/>
                <w:sz w:val="20"/>
                <w:szCs w:val="20"/>
              </w:rPr>
            </w:pPr>
          </w:p>
        </w:tc>
        <w:tc>
          <w:tcPr>
            <w:tcW w:w="1122" w:type="dxa"/>
            <w:tcMar>
              <w:top w:w="0" w:type="dxa"/>
              <w:left w:w="108" w:type="dxa"/>
              <w:bottom w:w="0" w:type="dxa"/>
              <w:right w:w="108" w:type="dxa"/>
            </w:tcMar>
          </w:tcPr>
          <w:p w14:paraId="2E393FF8" w14:textId="77777777" w:rsidR="00D27EC7" w:rsidRPr="00335D3F" w:rsidRDefault="00D27EC7" w:rsidP="00EA2DA4">
            <w:pPr>
              <w:spacing w:before="120"/>
              <w:jc w:val="both"/>
              <w:rPr>
                <w:rFonts w:eastAsia="Calibri"/>
                <w:b/>
                <w:bCs/>
                <w:sz w:val="20"/>
                <w:szCs w:val="20"/>
              </w:rPr>
            </w:pPr>
          </w:p>
        </w:tc>
        <w:tc>
          <w:tcPr>
            <w:tcW w:w="542" w:type="dxa"/>
            <w:tcMar>
              <w:top w:w="0" w:type="dxa"/>
              <w:left w:w="108" w:type="dxa"/>
              <w:bottom w:w="0" w:type="dxa"/>
              <w:right w:w="108" w:type="dxa"/>
            </w:tcMar>
          </w:tcPr>
          <w:p w14:paraId="6557CA9C" w14:textId="77777777" w:rsidR="00D27EC7" w:rsidRPr="00335D3F" w:rsidRDefault="00D27EC7" w:rsidP="00EA2DA4">
            <w:pPr>
              <w:spacing w:before="120"/>
              <w:jc w:val="both"/>
              <w:rPr>
                <w:rFonts w:eastAsia="Calibri"/>
                <w:b/>
                <w:bCs/>
                <w:sz w:val="20"/>
                <w:szCs w:val="20"/>
              </w:rPr>
            </w:pPr>
          </w:p>
        </w:tc>
        <w:tc>
          <w:tcPr>
            <w:tcW w:w="1290" w:type="dxa"/>
            <w:tcBorders>
              <w:top w:val="nil"/>
              <w:left w:val="nil"/>
              <w:bottom w:val="nil"/>
              <w:right w:val="single" w:sz="8" w:space="0" w:color="auto"/>
            </w:tcBorders>
            <w:tcMar>
              <w:top w:w="0" w:type="dxa"/>
              <w:left w:w="108" w:type="dxa"/>
              <w:bottom w:w="0" w:type="dxa"/>
              <w:right w:w="108" w:type="dxa"/>
            </w:tcMar>
          </w:tcPr>
          <w:p w14:paraId="7404A161" w14:textId="77777777" w:rsidR="00D27EC7" w:rsidRPr="00335D3F" w:rsidRDefault="00D27EC7" w:rsidP="00EA2DA4">
            <w:pPr>
              <w:spacing w:before="120"/>
              <w:ind w:left="54"/>
              <w:jc w:val="both"/>
              <w:rPr>
                <w:rFonts w:eastAsia="Calibri"/>
                <w:b/>
                <w:bCs/>
                <w:sz w:val="20"/>
                <w:szCs w:val="20"/>
              </w:rPr>
            </w:pPr>
          </w:p>
        </w:tc>
      </w:tr>
      <w:tr w:rsidR="00D27EC7" w:rsidRPr="00335D3F" w14:paraId="3920E09F" w14:textId="77777777" w:rsidTr="00EA2DA4">
        <w:tc>
          <w:tcPr>
            <w:tcW w:w="3727" w:type="dxa"/>
            <w:tcBorders>
              <w:top w:val="nil"/>
              <w:left w:val="single" w:sz="8" w:space="0" w:color="auto"/>
              <w:bottom w:val="nil"/>
              <w:right w:val="single" w:sz="8" w:space="0" w:color="auto"/>
            </w:tcBorders>
            <w:shd w:val="clear" w:color="auto" w:fill="E2E2E2"/>
            <w:tcMar>
              <w:top w:w="0" w:type="dxa"/>
              <w:left w:w="108" w:type="dxa"/>
              <w:bottom w:w="0" w:type="dxa"/>
              <w:right w:w="108" w:type="dxa"/>
            </w:tcMar>
            <w:hideMark/>
          </w:tcPr>
          <w:p w14:paraId="299E09B3" w14:textId="77777777" w:rsidR="00D27EC7" w:rsidRPr="00335D3F" w:rsidRDefault="00D27EC7" w:rsidP="00EA2DA4">
            <w:pPr>
              <w:spacing w:before="120"/>
              <w:ind w:left="196" w:hanging="196"/>
              <w:jc w:val="both"/>
              <w:rPr>
                <w:rFonts w:eastAsia="Calibri"/>
                <w:b/>
                <w:bCs/>
                <w:sz w:val="20"/>
                <w:szCs w:val="20"/>
              </w:rPr>
            </w:pPr>
            <w:r w:rsidRPr="00335D3F">
              <w:rPr>
                <w:rFonts w:eastAsia="Calibri"/>
                <w:b/>
                <w:bCs/>
                <w:sz w:val="20"/>
                <w:szCs w:val="20"/>
              </w:rPr>
              <w:t>    vplyvy služieb verejnej správy na občana</w:t>
            </w:r>
          </w:p>
        </w:tc>
        <w:tc>
          <w:tcPr>
            <w:tcW w:w="537" w:type="dxa"/>
            <w:tcMar>
              <w:top w:w="0" w:type="dxa"/>
              <w:left w:w="108" w:type="dxa"/>
              <w:bottom w:w="0" w:type="dxa"/>
              <w:right w:w="108" w:type="dxa"/>
            </w:tcMar>
            <w:hideMark/>
          </w:tcPr>
          <w:p w14:paraId="2EE6DF49"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271" w:type="dxa"/>
            <w:tcMar>
              <w:top w:w="0" w:type="dxa"/>
              <w:left w:w="108" w:type="dxa"/>
              <w:bottom w:w="0" w:type="dxa"/>
              <w:right w:w="108" w:type="dxa"/>
            </w:tcMar>
            <w:hideMark/>
          </w:tcPr>
          <w:p w14:paraId="6A10C364"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Mar>
              <w:top w:w="0" w:type="dxa"/>
              <w:left w:w="108" w:type="dxa"/>
              <w:bottom w:w="0" w:type="dxa"/>
              <w:right w:w="108" w:type="dxa"/>
            </w:tcMar>
            <w:hideMark/>
          </w:tcPr>
          <w:p w14:paraId="2024C54C"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122" w:type="dxa"/>
            <w:tcMar>
              <w:top w:w="0" w:type="dxa"/>
              <w:left w:w="108" w:type="dxa"/>
              <w:bottom w:w="0" w:type="dxa"/>
              <w:right w:w="108" w:type="dxa"/>
            </w:tcMar>
            <w:hideMark/>
          </w:tcPr>
          <w:p w14:paraId="3DB1B2A7"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Mar>
              <w:top w:w="0" w:type="dxa"/>
              <w:left w:w="108" w:type="dxa"/>
              <w:bottom w:w="0" w:type="dxa"/>
              <w:right w:w="108" w:type="dxa"/>
            </w:tcMar>
            <w:hideMark/>
          </w:tcPr>
          <w:p w14:paraId="651F736D"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90" w:type="dxa"/>
            <w:tcBorders>
              <w:top w:val="nil"/>
              <w:left w:val="nil"/>
              <w:bottom w:val="nil"/>
              <w:right w:val="single" w:sz="8" w:space="0" w:color="auto"/>
            </w:tcBorders>
            <w:tcMar>
              <w:top w:w="0" w:type="dxa"/>
              <w:left w:w="108" w:type="dxa"/>
              <w:bottom w:w="0" w:type="dxa"/>
              <w:right w:w="108" w:type="dxa"/>
            </w:tcMar>
            <w:hideMark/>
          </w:tcPr>
          <w:p w14:paraId="029C16BC"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r w:rsidR="00D27EC7" w:rsidRPr="00335D3F" w14:paraId="6257D9AF" w14:textId="77777777" w:rsidTr="00EA2DA4">
        <w:tc>
          <w:tcPr>
            <w:tcW w:w="3727"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14:paraId="3D5601B1" w14:textId="77777777" w:rsidR="00D27EC7" w:rsidRPr="00335D3F" w:rsidRDefault="00D27EC7" w:rsidP="00EA2DA4">
            <w:pPr>
              <w:spacing w:before="120"/>
              <w:ind w:left="168" w:hanging="168"/>
              <w:jc w:val="both"/>
              <w:rPr>
                <w:rFonts w:eastAsia="Calibri"/>
                <w:b/>
                <w:bCs/>
                <w:sz w:val="20"/>
                <w:szCs w:val="20"/>
              </w:rPr>
            </w:pPr>
            <w:r w:rsidRPr="00335D3F">
              <w:rPr>
                <w:rFonts w:eastAsia="Calibri"/>
                <w:b/>
                <w:bCs/>
                <w:sz w:val="20"/>
                <w:szCs w:val="20"/>
              </w:rPr>
              <w:t>....vplyvy na procesy služieb vo verejnej správe</w:t>
            </w:r>
          </w:p>
        </w:tc>
        <w:tc>
          <w:tcPr>
            <w:tcW w:w="537" w:type="dxa"/>
            <w:tcBorders>
              <w:top w:val="nil"/>
              <w:left w:val="nil"/>
              <w:bottom w:val="single" w:sz="8" w:space="0" w:color="auto"/>
              <w:right w:val="nil"/>
            </w:tcBorders>
            <w:tcMar>
              <w:top w:w="0" w:type="dxa"/>
              <w:left w:w="108" w:type="dxa"/>
              <w:bottom w:w="0" w:type="dxa"/>
              <w:right w:w="108" w:type="dxa"/>
            </w:tcMar>
            <w:hideMark/>
          </w:tcPr>
          <w:p w14:paraId="278BAA2F"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271" w:type="dxa"/>
            <w:tcBorders>
              <w:top w:val="nil"/>
              <w:left w:val="nil"/>
              <w:bottom w:val="single" w:sz="8" w:space="0" w:color="auto"/>
              <w:right w:val="nil"/>
            </w:tcBorders>
            <w:tcMar>
              <w:top w:w="0" w:type="dxa"/>
              <w:left w:w="108" w:type="dxa"/>
              <w:bottom w:w="0" w:type="dxa"/>
              <w:right w:w="108" w:type="dxa"/>
            </w:tcMar>
            <w:hideMark/>
          </w:tcPr>
          <w:p w14:paraId="340CA078"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Pozitívne</w:t>
            </w:r>
          </w:p>
        </w:tc>
        <w:tc>
          <w:tcPr>
            <w:tcW w:w="563" w:type="dxa"/>
            <w:tcBorders>
              <w:top w:val="nil"/>
              <w:left w:val="nil"/>
              <w:bottom w:val="single" w:sz="8" w:space="0" w:color="auto"/>
              <w:right w:val="nil"/>
            </w:tcBorders>
            <w:tcMar>
              <w:top w:w="0" w:type="dxa"/>
              <w:left w:w="108" w:type="dxa"/>
              <w:bottom w:w="0" w:type="dxa"/>
              <w:right w:w="108" w:type="dxa"/>
            </w:tcMar>
            <w:hideMark/>
          </w:tcPr>
          <w:p w14:paraId="6374FBCD" w14:textId="77777777" w:rsidR="00D27EC7" w:rsidRPr="00335D3F" w:rsidRDefault="00D27EC7" w:rsidP="00EA2DA4">
            <w:pPr>
              <w:spacing w:before="120"/>
              <w:jc w:val="both"/>
              <w:rPr>
                <w:rFonts w:eastAsia="Calibri"/>
                <w:b/>
                <w:bCs/>
                <w:sz w:val="20"/>
                <w:szCs w:val="20"/>
              </w:rPr>
            </w:pPr>
            <w:r w:rsidRPr="00335D3F">
              <w:rPr>
                <w:rFonts w:ascii="MS Gothic" w:eastAsia="MS Gothic" w:hAnsi="MS Gothic" w:hint="eastAsia"/>
                <w:b/>
                <w:bCs/>
                <w:sz w:val="20"/>
                <w:szCs w:val="20"/>
              </w:rPr>
              <w:t>☒</w:t>
            </w:r>
          </w:p>
        </w:tc>
        <w:tc>
          <w:tcPr>
            <w:tcW w:w="1122" w:type="dxa"/>
            <w:tcBorders>
              <w:top w:val="nil"/>
              <w:left w:val="nil"/>
              <w:bottom w:val="single" w:sz="8" w:space="0" w:color="auto"/>
              <w:right w:val="nil"/>
            </w:tcBorders>
            <w:tcMar>
              <w:top w:w="0" w:type="dxa"/>
              <w:left w:w="108" w:type="dxa"/>
              <w:bottom w:w="0" w:type="dxa"/>
              <w:right w:w="108" w:type="dxa"/>
            </w:tcMar>
            <w:hideMark/>
          </w:tcPr>
          <w:p w14:paraId="19ECCA02" w14:textId="77777777" w:rsidR="00D27EC7" w:rsidRPr="00335D3F" w:rsidRDefault="00D27EC7" w:rsidP="00EA2DA4">
            <w:pPr>
              <w:spacing w:before="120"/>
              <w:jc w:val="both"/>
              <w:rPr>
                <w:rFonts w:eastAsia="Calibri"/>
                <w:b/>
                <w:bCs/>
                <w:sz w:val="20"/>
                <w:szCs w:val="20"/>
              </w:rPr>
            </w:pPr>
            <w:r w:rsidRPr="00335D3F">
              <w:rPr>
                <w:rFonts w:eastAsia="Calibri"/>
                <w:b/>
                <w:bCs/>
                <w:sz w:val="20"/>
                <w:szCs w:val="20"/>
              </w:rPr>
              <w:t>Žiadne</w:t>
            </w:r>
          </w:p>
        </w:tc>
        <w:tc>
          <w:tcPr>
            <w:tcW w:w="542" w:type="dxa"/>
            <w:tcBorders>
              <w:top w:val="nil"/>
              <w:left w:val="nil"/>
              <w:bottom w:val="single" w:sz="8" w:space="0" w:color="auto"/>
              <w:right w:val="nil"/>
            </w:tcBorders>
            <w:tcMar>
              <w:top w:w="0" w:type="dxa"/>
              <w:left w:w="108" w:type="dxa"/>
              <w:bottom w:w="0" w:type="dxa"/>
              <w:right w:w="108" w:type="dxa"/>
            </w:tcMar>
            <w:hideMark/>
          </w:tcPr>
          <w:p w14:paraId="2C0E5CBC" w14:textId="77777777" w:rsidR="00D27EC7" w:rsidRPr="00335D3F" w:rsidRDefault="00D27EC7" w:rsidP="00EA2DA4">
            <w:pPr>
              <w:spacing w:before="120"/>
              <w:jc w:val="both"/>
              <w:rPr>
                <w:rFonts w:eastAsia="Calibri"/>
                <w:b/>
                <w:bCs/>
                <w:sz w:val="20"/>
                <w:szCs w:val="20"/>
              </w:rPr>
            </w:pPr>
            <w:r w:rsidRPr="00335D3F">
              <w:rPr>
                <w:rFonts w:ascii="Segoe UI Symbol" w:eastAsia="Calibri" w:hAnsi="Segoe UI Symbol"/>
                <w:b/>
                <w:bCs/>
                <w:sz w:val="20"/>
                <w:szCs w:val="20"/>
              </w:rPr>
              <w:t>☐</w:t>
            </w:r>
          </w:p>
        </w:tc>
        <w:tc>
          <w:tcPr>
            <w:tcW w:w="1290" w:type="dxa"/>
            <w:tcBorders>
              <w:top w:val="nil"/>
              <w:left w:val="nil"/>
              <w:bottom w:val="single" w:sz="8" w:space="0" w:color="auto"/>
              <w:right w:val="single" w:sz="8" w:space="0" w:color="auto"/>
            </w:tcBorders>
            <w:tcMar>
              <w:top w:w="0" w:type="dxa"/>
              <w:left w:w="108" w:type="dxa"/>
              <w:bottom w:w="0" w:type="dxa"/>
              <w:right w:w="108" w:type="dxa"/>
            </w:tcMar>
            <w:hideMark/>
          </w:tcPr>
          <w:p w14:paraId="3E086001" w14:textId="77777777" w:rsidR="00D27EC7" w:rsidRPr="00335D3F" w:rsidRDefault="00D27EC7" w:rsidP="00EA2DA4">
            <w:pPr>
              <w:spacing w:before="120"/>
              <w:ind w:left="34"/>
              <w:jc w:val="both"/>
              <w:rPr>
                <w:rFonts w:eastAsia="Calibri"/>
                <w:b/>
                <w:bCs/>
                <w:sz w:val="20"/>
                <w:szCs w:val="20"/>
              </w:rPr>
            </w:pPr>
            <w:r w:rsidRPr="00335D3F">
              <w:rPr>
                <w:rFonts w:eastAsia="Calibri"/>
                <w:b/>
                <w:bCs/>
                <w:sz w:val="20"/>
                <w:szCs w:val="20"/>
              </w:rPr>
              <w:t>Negatívne</w:t>
            </w:r>
          </w:p>
        </w:tc>
      </w:tr>
    </w:tbl>
    <w:p w14:paraId="5225A7DA" w14:textId="77777777" w:rsidR="003B5A2A" w:rsidRDefault="003B5A2A" w:rsidP="00543B8E">
      <w:pPr>
        <w:pStyle w:val="Normlnywebov"/>
        <w:spacing w:before="0" w:beforeAutospacing="0" w:after="0" w:afterAutospacing="0"/>
        <w:rPr>
          <w:bCs/>
          <w:sz w:val="22"/>
          <w:szCs w:val="22"/>
        </w:rPr>
      </w:pPr>
    </w:p>
    <w:p w14:paraId="09A52579" w14:textId="77777777" w:rsidR="003B5A2A" w:rsidRDefault="003B5A2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3B5A2A" w14:paraId="23EC965C" w14:textId="77777777">
        <w:trPr>
          <w:divId w:val="14199068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F9B4D2E" w14:textId="77777777" w:rsidR="003B5A2A" w:rsidRDefault="003B5A2A">
            <w:pPr>
              <w:rPr>
                <w:rFonts w:ascii="Times" w:hAnsi="Times" w:cs="Times"/>
                <w:b/>
                <w:bCs/>
                <w:sz w:val="22"/>
                <w:szCs w:val="22"/>
              </w:rPr>
            </w:pPr>
            <w:r>
              <w:rPr>
                <w:rFonts w:ascii="Times" w:hAnsi="Times" w:cs="Times"/>
                <w:b/>
                <w:bCs/>
                <w:sz w:val="22"/>
                <w:szCs w:val="22"/>
              </w:rPr>
              <w:t>  10.  Poznámky</w:t>
            </w:r>
          </w:p>
        </w:tc>
      </w:tr>
      <w:tr w:rsidR="003B5A2A" w14:paraId="3C2DA6FD" w14:textId="77777777">
        <w:trPr>
          <w:divId w:val="141990680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6510730" w14:textId="77777777" w:rsidR="006C14DB" w:rsidRDefault="00D101C4" w:rsidP="00D101C4">
            <w:pPr>
              <w:pStyle w:val="Pta"/>
              <w:tabs>
                <w:tab w:val="clear" w:pos="4536"/>
                <w:tab w:val="clear" w:pos="9072"/>
                <w:tab w:val="num" w:pos="284"/>
              </w:tabs>
              <w:spacing w:after="120"/>
              <w:jc w:val="both"/>
              <w:rPr>
                <w:sz w:val="20"/>
                <w:szCs w:val="20"/>
              </w:rPr>
            </w:pPr>
            <w:r w:rsidRPr="00C70018">
              <w:rPr>
                <w:sz w:val="20"/>
                <w:szCs w:val="20"/>
              </w:rPr>
              <w:t>Cieľom nástroja SURE je poskytovanie zvýhodnených pôžičiek členským štátom</w:t>
            </w:r>
            <w:r w:rsidR="008D74BF" w:rsidRPr="00C70018">
              <w:rPr>
                <w:sz w:val="20"/>
                <w:szCs w:val="20"/>
              </w:rPr>
              <w:t xml:space="preserve"> </w:t>
            </w:r>
            <w:r w:rsidRPr="00C70018">
              <w:rPr>
                <w:sz w:val="20"/>
                <w:szCs w:val="20"/>
              </w:rPr>
              <w:t>EÚ</w:t>
            </w:r>
            <w:r w:rsidR="006C14DB" w:rsidRPr="006C14DB">
              <w:rPr>
                <w:sz w:val="20"/>
                <w:szCs w:val="20"/>
              </w:rPr>
              <w:t xml:space="preserve"> z ktorých bude možné čiastočne pokrývať zvýšenie verejných výdavkov členských štátov EÚ na režimy skráteného pracovného času pre zamestnancov a podobné opatrenia, najmä pre samostatne zárobkovo činné osoby, ako aj výdavkov na niektoré opatrenia súvisiace so</w:t>
            </w:r>
            <w:r w:rsidR="006C14DB">
              <w:rPr>
                <w:sz w:val="20"/>
                <w:szCs w:val="20"/>
              </w:rPr>
              <w:t xml:space="preserve"> zdravím, najmä na pracovisku a </w:t>
            </w:r>
            <w:r w:rsidRPr="00C70018">
              <w:rPr>
                <w:sz w:val="20"/>
                <w:szCs w:val="20"/>
              </w:rPr>
              <w:t xml:space="preserve">ktoré </w:t>
            </w:r>
            <w:r w:rsidR="006C14DB">
              <w:rPr>
                <w:sz w:val="20"/>
                <w:szCs w:val="20"/>
              </w:rPr>
              <w:t xml:space="preserve">vzniklo </w:t>
            </w:r>
            <w:r w:rsidRPr="00C70018">
              <w:rPr>
                <w:sz w:val="20"/>
                <w:szCs w:val="20"/>
              </w:rPr>
              <w:t xml:space="preserve">v dôsledku pandémie COVID-19. </w:t>
            </w:r>
          </w:p>
          <w:p w14:paraId="6FDD3D16" w14:textId="04E9C03F" w:rsidR="00D27EC7" w:rsidRPr="00D27EC7" w:rsidRDefault="00D101C4" w:rsidP="00D27EC7">
            <w:pPr>
              <w:pStyle w:val="Pta"/>
              <w:tabs>
                <w:tab w:val="clear" w:pos="4536"/>
                <w:tab w:val="clear" w:pos="9072"/>
                <w:tab w:val="num" w:pos="284"/>
              </w:tabs>
              <w:spacing w:after="120"/>
              <w:jc w:val="both"/>
              <w:rPr>
                <w:sz w:val="20"/>
                <w:szCs w:val="20"/>
              </w:rPr>
            </w:pPr>
            <w:r w:rsidRPr="00C70018">
              <w:rPr>
                <w:sz w:val="20"/>
                <w:szCs w:val="20"/>
              </w:rPr>
              <w:t xml:space="preserve">Maximálna úverová kapacita nástroja je 100 miliárd eur a ČŠ nemajú vopred alokovanú finančnú obálku. SURE by mal mať doplnkový a dočasný charakter. Členským štátom mal by byť dostupný do 31. decembra 2022 (s možnosťou predĺženia). Prostriedky na poskytovanie pôžičiek bude EK získavať na finančných trhoch. Celkový objem SURE by mal byť z 25% krytý </w:t>
            </w:r>
            <w:r w:rsidR="00C70018" w:rsidRPr="00C70018">
              <w:rPr>
                <w:sz w:val="20"/>
                <w:szCs w:val="20"/>
              </w:rPr>
              <w:t>zárukami</w:t>
            </w:r>
            <w:r w:rsidRPr="00C70018">
              <w:rPr>
                <w:sz w:val="20"/>
                <w:szCs w:val="20"/>
              </w:rPr>
              <w:t xml:space="preserve"> ČŠ (25 mld. eur) a zvyšných 75% bude krytých rozpočtom EÚ. Podiel Slovenska na </w:t>
            </w:r>
            <w:r w:rsidR="00C70018" w:rsidRPr="00C70018">
              <w:rPr>
                <w:sz w:val="20"/>
                <w:szCs w:val="20"/>
              </w:rPr>
              <w:t>zárukách</w:t>
            </w:r>
            <w:r w:rsidRPr="00C70018">
              <w:rPr>
                <w:sz w:val="20"/>
                <w:szCs w:val="20"/>
              </w:rPr>
              <w:t xml:space="preserve"> podľa pomeru na hrubom národnom dôchodku (HND) EÚ</w:t>
            </w:r>
            <w:r w:rsidR="00C70018" w:rsidRPr="00C70018">
              <w:rPr>
                <w:sz w:val="20"/>
                <w:szCs w:val="20"/>
              </w:rPr>
              <w:t>-</w:t>
            </w:r>
            <w:r w:rsidRPr="00C70018">
              <w:rPr>
                <w:sz w:val="20"/>
                <w:szCs w:val="20"/>
              </w:rPr>
              <w:t>27 je 0,69%, čo predstavuje záruku v maximálnej výške 173 516 250</w:t>
            </w:r>
            <w:r w:rsidRPr="00C70018">
              <w:t xml:space="preserve"> </w:t>
            </w:r>
            <w:r w:rsidRPr="00C70018">
              <w:rPr>
                <w:sz w:val="20"/>
                <w:szCs w:val="20"/>
              </w:rPr>
              <w:t>eur. Nástroj bude riadený EK. Rozhodnutie o poskytnutí pôžičky členskému štátu bude na návrh EK schvaľovať Rada EÚ a to kvalifikovanou väčšinou.</w:t>
            </w:r>
            <w:r w:rsidR="00C70018">
              <w:rPr>
                <w:sz w:val="20"/>
                <w:szCs w:val="20"/>
              </w:rPr>
              <w:t xml:space="preserve"> </w:t>
            </w:r>
          </w:p>
          <w:p w14:paraId="4936B5DB" w14:textId="157D59C6" w:rsidR="00D27EC7" w:rsidRDefault="00D27EC7" w:rsidP="00D27EC7">
            <w:pPr>
              <w:pStyle w:val="Pta"/>
              <w:tabs>
                <w:tab w:val="clear" w:pos="4536"/>
                <w:tab w:val="clear" w:pos="9072"/>
                <w:tab w:val="num" w:pos="284"/>
              </w:tabs>
              <w:spacing w:after="120"/>
              <w:jc w:val="both"/>
              <w:rPr>
                <w:bCs/>
                <w:sz w:val="20"/>
                <w:szCs w:val="20"/>
              </w:rPr>
            </w:pPr>
            <w:r w:rsidRPr="00D27EC7">
              <w:rPr>
                <w:bCs/>
                <w:sz w:val="20"/>
                <w:szCs w:val="20"/>
              </w:rPr>
              <w:t>Na základe predbežných informácií Európskej komisie poskytnuté záruky nebudú zaznamenané s negatívnym vplyvom na dlh verejnej správy. V prípade realizácie poskytnutých záruk za zlyhané pôžičky ČS bude táto operácia pravdepodobne zaznamenaná s negat</w:t>
            </w:r>
            <w:bookmarkStart w:id="0" w:name="_GoBack"/>
            <w:bookmarkEnd w:id="0"/>
            <w:r w:rsidRPr="00D27EC7">
              <w:rPr>
                <w:bCs/>
                <w:sz w:val="20"/>
                <w:szCs w:val="20"/>
              </w:rPr>
              <w:t>ívnym vplyvom na dlh a deficit verejných financií v zmysle metodiky ESA2010. Konečné usmernenie k zaznamenaniu vydá Eurostat. V tejto fáze nie je možné vopred určiť vplyvy na iné oblasti. SURE môže v SR primerane nadviazať na vnútroštátne legislatívne, tiež projektové opatrenia na podporu udržania zamestnanosti a podporu SZČO v období situácie spôsobenej nákazou COVID-19.</w:t>
            </w:r>
          </w:p>
          <w:p w14:paraId="2A3B3359" w14:textId="77777777" w:rsidR="00176C0F" w:rsidRDefault="00176C0F">
            <w:pPr>
              <w:rPr>
                <w:rFonts w:ascii="Times" w:hAnsi="Times" w:cs="Times"/>
                <w:sz w:val="20"/>
                <w:szCs w:val="20"/>
              </w:rPr>
            </w:pPr>
          </w:p>
        </w:tc>
      </w:tr>
      <w:tr w:rsidR="003B5A2A" w14:paraId="505F8209" w14:textId="77777777">
        <w:trPr>
          <w:divId w:val="14199068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E6C0097" w14:textId="77777777" w:rsidR="003B5A2A" w:rsidRDefault="003B5A2A">
            <w:pPr>
              <w:rPr>
                <w:rFonts w:ascii="Times" w:hAnsi="Times" w:cs="Times"/>
                <w:b/>
                <w:bCs/>
                <w:sz w:val="22"/>
                <w:szCs w:val="22"/>
              </w:rPr>
            </w:pPr>
            <w:r>
              <w:rPr>
                <w:rFonts w:ascii="Times" w:hAnsi="Times" w:cs="Times"/>
                <w:b/>
                <w:bCs/>
                <w:sz w:val="22"/>
                <w:szCs w:val="22"/>
              </w:rPr>
              <w:t>  11.  Kontakt na spracovateľa</w:t>
            </w:r>
          </w:p>
        </w:tc>
      </w:tr>
      <w:tr w:rsidR="003B5A2A" w14:paraId="2A23D5EB" w14:textId="77777777">
        <w:trPr>
          <w:divId w:val="141990680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B0C83A9" w14:textId="77777777" w:rsidR="003B5A2A" w:rsidRPr="00502F7A" w:rsidRDefault="00502F7A">
            <w:pPr>
              <w:rPr>
                <w:rFonts w:ascii="Times" w:hAnsi="Times" w:cs="Times"/>
                <w:bCs/>
                <w:sz w:val="20"/>
                <w:szCs w:val="20"/>
              </w:rPr>
            </w:pPr>
            <w:r>
              <w:rPr>
                <w:rFonts w:ascii="Times" w:hAnsi="Times" w:cs="Times"/>
                <w:b/>
                <w:bCs/>
                <w:sz w:val="22"/>
                <w:szCs w:val="22"/>
              </w:rPr>
              <w:t xml:space="preserve"> </w:t>
            </w:r>
            <w:r w:rsidRPr="00502F7A">
              <w:rPr>
                <w:rFonts w:ascii="Times" w:hAnsi="Times" w:cs="Times"/>
                <w:bCs/>
                <w:sz w:val="20"/>
                <w:szCs w:val="20"/>
              </w:rPr>
              <w:t xml:space="preserve">Ing. Michal Držka, </w:t>
            </w:r>
            <w:hyperlink r:id="rId7" w:history="1">
              <w:r w:rsidRPr="00502F7A">
                <w:rPr>
                  <w:rStyle w:val="Hypertextovprepojenie"/>
                  <w:rFonts w:ascii="Times" w:hAnsi="Times" w:cs="Times"/>
                  <w:bCs/>
                  <w:sz w:val="20"/>
                  <w:szCs w:val="20"/>
                </w:rPr>
                <w:t>michal.drzka@mfsr.sk</w:t>
              </w:r>
            </w:hyperlink>
            <w:r w:rsidRPr="00502F7A">
              <w:rPr>
                <w:rFonts w:ascii="Times" w:hAnsi="Times" w:cs="Times"/>
                <w:bCs/>
                <w:sz w:val="20"/>
                <w:szCs w:val="20"/>
              </w:rPr>
              <w:t>; tel.: 02 5958 5330</w:t>
            </w:r>
          </w:p>
        </w:tc>
      </w:tr>
      <w:tr w:rsidR="003B5A2A" w14:paraId="117A6A0E" w14:textId="77777777">
        <w:trPr>
          <w:divId w:val="14199068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BD26506" w14:textId="77777777" w:rsidR="003B5A2A" w:rsidRDefault="003B5A2A">
            <w:pPr>
              <w:rPr>
                <w:rFonts w:ascii="Times" w:hAnsi="Times" w:cs="Times"/>
                <w:b/>
                <w:bCs/>
                <w:sz w:val="22"/>
                <w:szCs w:val="22"/>
              </w:rPr>
            </w:pPr>
            <w:r>
              <w:rPr>
                <w:rFonts w:ascii="Times" w:hAnsi="Times" w:cs="Times"/>
                <w:b/>
                <w:bCs/>
                <w:sz w:val="22"/>
                <w:szCs w:val="22"/>
              </w:rPr>
              <w:t>  12.  Zdroje</w:t>
            </w:r>
          </w:p>
        </w:tc>
      </w:tr>
      <w:tr w:rsidR="003B5A2A" w14:paraId="508E82F8" w14:textId="77777777">
        <w:trPr>
          <w:divId w:val="141990680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0434A85" w14:textId="77777777" w:rsidR="003B5A2A" w:rsidRDefault="006C30E8">
            <w:pPr>
              <w:rPr>
                <w:rFonts w:ascii="Times" w:hAnsi="Times" w:cs="Times"/>
                <w:b/>
                <w:bCs/>
                <w:sz w:val="22"/>
                <w:szCs w:val="22"/>
              </w:rPr>
            </w:pPr>
            <w:r>
              <w:rPr>
                <w:rFonts w:ascii="Times" w:hAnsi="Times" w:cs="Times"/>
                <w:b/>
                <w:bCs/>
                <w:sz w:val="22"/>
                <w:szCs w:val="22"/>
              </w:rPr>
              <w:t xml:space="preserve"> </w:t>
            </w:r>
          </w:p>
        </w:tc>
      </w:tr>
      <w:tr w:rsidR="003B5A2A" w14:paraId="5B755976" w14:textId="77777777">
        <w:trPr>
          <w:divId w:val="141990680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64335D8" w14:textId="77777777" w:rsidR="003B5A2A" w:rsidRDefault="003B5A2A">
            <w:pPr>
              <w:rPr>
                <w:rFonts w:ascii="Times" w:hAnsi="Times" w:cs="Times"/>
                <w:b/>
                <w:bCs/>
                <w:sz w:val="22"/>
                <w:szCs w:val="22"/>
              </w:rPr>
            </w:pPr>
            <w:r>
              <w:rPr>
                <w:rFonts w:ascii="Times" w:hAnsi="Times" w:cs="Times"/>
                <w:b/>
                <w:bCs/>
                <w:sz w:val="22"/>
                <w:szCs w:val="22"/>
              </w:rPr>
              <w:t>  13.  Stanovisko Komisie pre posudzovanie vybraných vplyvov z</w:t>
            </w:r>
            <w:r w:rsidR="008D74BF">
              <w:rPr>
                <w:rFonts w:ascii="Times" w:hAnsi="Times" w:cs="Times"/>
                <w:b/>
                <w:bCs/>
                <w:sz w:val="22"/>
                <w:szCs w:val="22"/>
              </w:rPr>
              <w:t> </w:t>
            </w:r>
            <w:r>
              <w:rPr>
                <w:rFonts w:ascii="Times" w:hAnsi="Times" w:cs="Times"/>
                <w:b/>
                <w:bCs/>
                <w:sz w:val="22"/>
                <w:szCs w:val="22"/>
              </w:rPr>
              <w:t>PPK</w:t>
            </w:r>
          </w:p>
        </w:tc>
      </w:tr>
      <w:tr w:rsidR="003B5A2A" w14:paraId="59AB535E" w14:textId="77777777">
        <w:trPr>
          <w:divId w:val="1419906807"/>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3FF5F456" w14:textId="77777777" w:rsidR="003B5A2A" w:rsidRDefault="003A06A6" w:rsidP="006C30E8">
            <w:pPr>
              <w:jc w:val="both"/>
              <w:rPr>
                <w:rFonts w:ascii="Times" w:hAnsi="Times" w:cs="Times"/>
                <w:b/>
                <w:bCs/>
                <w:sz w:val="22"/>
                <w:szCs w:val="22"/>
              </w:rPr>
            </w:pPr>
            <w:r>
              <w:rPr>
                <w:rFonts w:ascii="Times" w:hAnsi="Times" w:cs="Times"/>
                <w:sz w:val="20"/>
                <w:szCs w:val="20"/>
              </w:rPr>
              <w:t>Materiál nebol predmetom vzhľadom na skutočnosť, že m</w:t>
            </w:r>
            <w:r w:rsidR="00AE4237">
              <w:rPr>
                <w:rFonts w:ascii="Times" w:hAnsi="Times" w:cs="Times"/>
                <w:sz w:val="20"/>
                <w:szCs w:val="20"/>
              </w:rPr>
              <w:t xml:space="preserve">ateriál </w:t>
            </w:r>
            <w:r>
              <w:rPr>
                <w:rFonts w:ascii="Times" w:hAnsi="Times" w:cs="Times"/>
                <w:sz w:val="20"/>
                <w:szCs w:val="20"/>
              </w:rPr>
              <w:t>je predložený na schválenie v skrátenom legislatívnom konaní.</w:t>
            </w:r>
          </w:p>
        </w:tc>
      </w:tr>
    </w:tbl>
    <w:p w14:paraId="1CAA2BF8" w14:textId="77777777" w:rsidR="006931EC" w:rsidRPr="00543B8E" w:rsidRDefault="006931EC" w:rsidP="00543B8E">
      <w:pPr>
        <w:pStyle w:val="Normlnywebov"/>
        <w:spacing w:before="0" w:beforeAutospacing="0" w:after="0" w:afterAutospacing="0"/>
        <w:rPr>
          <w:bCs/>
          <w:sz w:val="20"/>
          <w:szCs w:val="20"/>
        </w:rPr>
      </w:pPr>
    </w:p>
    <w:sectPr w:rsidR="006931EC" w:rsidRPr="00543B8E" w:rsidSect="00AE4237">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84FB1" w14:textId="77777777" w:rsidR="001D601C" w:rsidRDefault="001D601C">
      <w:r>
        <w:separator/>
      </w:r>
    </w:p>
  </w:endnote>
  <w:endnote w:type="continuationSeparator" w:id="0">
    <w:p w14:paraId="722BACC0" w14:textId="77777777" w:rsidR="001D601C" w:rsidRDefault="001D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F4C1" w14:textId="77777777" w:rsidR="001D601C" w:rsidRDefault="001D601C">
      <w:r>
        <w:separator/>
      </w:r>
    </w:p>
  </w:footnote>
  <w:footnote w:type="continuationSeparator" w:id="0">
    <w:p w14:paraId="02AE1B8C" w14:textId="77777777" w:rsidR="001D601C" w:rsidRDefault="001D6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1C75"/>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6151"/>
    <w:rsid w:val="000D70C9"/>
    <w:rsid w:val="000D7A6C"/>
    <w:rsid w:val="000E00FA"/>
    <w:rsid w:val="000E1A74"/>
    <w:rsid w:val="000E4B19"/>
    <w:rsid w:val="000E56A7"/>
    <w:rsid w:val="000E619D"/>
    <w:rsid w:val="000E6D63"/>
    <w:rsid w:val="000F2103"/>
    <w:rsid w:val="000F2DE6"/>
    <w:rsid w:val="000F3A93"/>
    <w:rsid w:val="000F3AC3"/>
    <w:rsid w:val="000F5AC8"/>
    <w:rsid w:val="000F60AF"/>
    <w:rsid w:val="00100D43"/>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1B77"/>
    <w:rsid w:val="00152AA7"/>
    <w:rsid w:val="00153FF2"/>
    <w:rsid w:val="00154671"/>
    <w:rsid w:val="00161130"/>
    <w:rsid w:val="00162927"/>
    <w:rsid w:val="00163200"/>
    <w:rsid w:val="001649CD"/>
    <w:rsid w:val="00167EB4"/>
    <w:rsid w:val="0017502B"/>
    <w:rsid w:val="00175442"/>
    <w:rsid w:val="00176C0F"/>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01C"/>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1773"/>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5B5C"/>
    <w:rsid w:val="0030643D"/>
    <w:rsid w:val="003105A1"/>
    <w:rsid w:val="00311519"/>
    <w:rsid w:val="003126AA"/>
    <w:rsid w:val="00312C27"/>
    <w:rsid w:val="00313EE9"/>
    <w:rsid w:val="00314FA4"/>
    <w:rsid w:val="003150F6"/>
    <w:rsid w:val="00315F1C"/>
    <w:rsid w:val="00317384"/>
    <w:rsid w:val="003203E5"/>
    <w:rsid w:val="003219F1"/>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0E4A"/>
    <w:rsid w:val="00341294"/>
    <w:rsid w:val="00344849"/>
    <w:rsid w:val="0034653F"/>
    <w:rsid w:val="00346618"/>
    <w:rsid w:val="00347709"/>
    <w:rsid w:val="00351D80"/>
    <w:rsid w:val="003562FC"/>
    <w:rsid w:val="00357A9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06A6"/>
    <w:rsid w:val="003A3438"/>
    <w:rsid w:val="003A34CF"/>
    <w:rsid w:val="003A4133"/>
    <w:rsid w:val="003B0098"/>
    <w:rsid w:val="003B0A28"/>
    <w:rsid w:val="003B0EC8"/>
    <w:rsid w:val="003B3D78"/>
    <w:rsid w:val="003B3E43"/>
    <w:rsid w:val="003B5A2A"/>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3850"/>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2F7A"/>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9E1"/>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14DB"/>
    <w:rsid w:val="006C20D2"/>
    <w:rsid w:val="006C30E8"/>
    <w:rsid w:val="006C3494"/>
    <w:rsid w:val="006C37BB"/>
    <w:rsid w:val="006C401A"/>
    <w:rsid w:val="006C65B9"/>
    <w:rsid w:val="006C76F3"/>
    <w:rsid w:val="006C7AE6"/>
    <w:rsid w:val="006D035A"/>
    <w:rsid w:val="006D17D0"/>
    <w:rsid w:val="006D37B6"/>
    <w:rsid w:val="006D3E1F"/>
    <w:rsid w:val="006D4351"/>
    <w:rsid w:val="006D51DA"/>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51B7"/>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34BB"/>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11F"/>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4A3B"/>
    <w:rsid w:val="00875AC7"/>
    <w:rsid w:val="00876747"/>
    <w:rsid w:val="00876DE0"/>
    <w:rsid w:val="00877812"/>
    <w:rsid w:val="008804B9"/>
    <w:rsid w:val="008827AC"/>
    <w:rsid w:val="00883E2C"/>
    <w:rsid w:val="008840C2"/>
    <w:rsid w:val="0088619F"/>
    <w:rsid w:val="00886D54"/>
    <w:rsid w:val="00891BCD"/>
    <w:rsid w:val="00891C05"/>
    <w:rsid w:val="00895D84"/>
    <w:rsid w:val="00896163"/>
    <w:rsid w:val="00897197"/>
    <w:rsid w:val="008975F1"/>
    <w:rsid w:val="008A1C3B"/>
    <w:rsid w:val="008A25EE"/>
    <w:rsid w:val="008A6049"/>
    <w:rsid w:val="008A604E"/>
    <w:rsid w:val="008B0672"/>
    <w:rsid w:val="008B1C37"/>
    <w:rsid w:val="008B4638"/>
    <w:rsid w:val="008C0D63"/>
    <w:rsid w:val="008C211C"/>
    <w:rsid w:val="008C3671"/>
    <w:rsid w:val="008C56B5"/>
    <w:rsid w:val="008C671F"/>
    <w:rsid w:val="008D3640"/>
    <w:rsid w:val="008D4A92"/>
    <w:rsid w:val="008D4DEE"/>
    <w:rsid w:val="008D5A75"/>
    <w:rsid w:val="008D6B5B"/>
    <w:rsid w:val="008D74BF"/>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3DC"/>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05C1"/>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1267"/>
    <w:rsid w:val="00A05DA8"/>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4D52"/>
    <w:rsid w:val="00AD5977"/>
    <w:rsid w:val="00AD6A1C"/>
    <w:rsid w:val="00AD7255"/>
    <w:rsid w:val="00AE0EBD"/>
    <w:rsid w:val="00AE276C"/>
    <w:rsid w:val="00AE2A4E"/>
    <w:rsid w:val="00AE4237"/>
    <w:rsid w:val="00AE5AAF"/>
    <w:rsid w:val="00AF11D8"/>
    <w:rsid w:val="00AF283B"/>
    <w:rsid w:val="00AF3502"/>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17314"/>
    <w:rsid w:val="00C252AB"/>
    <w:rsid w:val="00C27626"/>
    <w:rsid w:val="00C31859"/>
    <w:rsid w:val="00C32040"/>
    <w:rsid w:val="00C33ECC"/>
    <w:rsid w:val="00C34F5A"/>
    <w:rsid w:val="00C35095"/>
    <w:rsid w:val="00C40052"/>
    <w:rsid w:val="00C40190"/>
    <w:rsid w:val="00C438BC"/>
    <w:rsid w:val="00C45ED6"/>
    <w:rsid w:val="00C47470"/>
    <w:rsid w:val="00C47C59"/>
    <w:rsid w:val="00C50909"/>
    <w:rsid w:val="00C515E5"/>
    <w:rsid w:val="00C557B3"/>
    <w:rsid w:val="00C55AC4"/>
    <w:rsid w:val="00C565A0"/>
    <w:rsid w:val="00C579E9"/>
    <w:rsid w:val="00C618B2"/>
    <w:rsid w:val="00C62E34"/>
    <w:rsid w:val="00C70018"/>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0F9E"/>
    <w:rsid w:val="00CF18ED"/>
    <w:rsid w:val="00CF43C8"/>
    <w:rsid w:val="00D0094D"/>
    <w:rsid w:val="00D0245F"/>
    <w:rsid w:val="00D03F32"/>
    <w:rsid w:val="00D04A1B"/>
    <w:rsid w:val="00D04DAD"/>
    <w:rsid w:val="00D05495"/>
    <w:rsid w:val="00D101C4"/>
    <w:rsid w:val="00D11E95"/>
    <w:rsid w:val="00D14F2A"/>
    <w:rsid w:val="00D207E9"/>
    <w:rsid w:val="00D26D98"/>
    <w:rsid w:val="00D27C91"/>
    <w:rsid w:val="00D27EC7"/>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6ADE"/>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88F"/>
    <w:rsid w:val="00E31FD8"/>
    <w:rsid w:val="00E32307"/>
    <w:rsid w:val="00E35229"/>
    <w:rsid w:val="00E3631E"/>
    <w:rsid w:val="00E363AC"/>
    <w:rsid w:val="00E36A11"/>
    <w:rsid w:val="00E40EB6"/>
    <w:rsid w:val="00E42B82"/>
    <w:rsid w:val="00E42E94"/>
    <w:rsid w:val="00E47C22"/>
    <w:rsid w:val="00E50907"/>
    <w:rsid w:val="00E536FE"/>
    <w:rsid w:val="00E54694"/>
    <w:rsid w:val="00E579E7"/>
    <w:rsid w:val="00E618F8"/>
    <w:rsid w:val="00E64414"/>
    <w:rsid w:val="00E83979"/>
    <w:rsid w:val="00E8640D"/>
    <w:rsid w:val="00E869E8"/>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0095"/>
    <w:rsid w:val="00EE62E7"/>
    <w:rsid w:val="00EE7B82"/>
    <w:rsid w:val="00EF0662"/>
    <w:rsid w:val="00EF11B7"/>
    <w:rsid w:val="00EF1C74"/>
    <w:rsid w:val="00EF21CF"/>
    <w:rsid w:val="00EF2876"/>
    <w:rsid w:val="00EF6DFB"/>
    <w:rsid w:val="00EF7342"/>
    <w:rsid w:val="00EF7E83"/>
    <w:rsid w:val="00F02005"/>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203"/>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AF879"/>
  <w14:defaultImageDpi w14:val="96"/>
  <w15:docId w15:val="{B8243CC9-FF29-4825-8CA9-D21235C2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basedOn w:val="Predvolenpsmoodseku"/>
    <w:uiPriority w:val="99"/>
    <w:unhideWhenUsed/>
    <w:rsid w:val="00502F7A"/>
    <w:rPr>
      <w:color w:val="0000FF" w:themeColor="hyperlink"/>
      <w:u w:val="single"/>
    </w:rPr>
  </w:style>
  <w:style w:type="character" w:styleId="Siln">
    <w:name w:val="Strong"/>
    <w:basedOn w:val="Predvolenpsmoodseku"/>
    <w:uiPriority w:val="22"/>
    <w:qFormat/>
    <w:rsid w:val="00413850"/>
    <w:rPr>
      <w:b/>
      <w:bCs/>
    </w:rPr>
  </w:style>
  <w:style w:type="paragraph" w:customStyle="1" w:styleId="Default">
    <w:name w:val="Default"/>
    <w:rsid w:val="00E47C22"/>
    <w:pPr>
      <w:autoSpaceDE w:val="0"/>
      <w:autoSpaceDN w:val="0"/>
      <w:adjustRightInd w:val="0"/>
      <w:spacing w:after="0" w:line="240" w:lineRule="auto"/>
    </w:pPr>
    <w:rPr>
      <w:color w:val="000000"/>
      <w:sz w:val="24"/>
      <w:szCs w:val="24"/>
    </w:rPr>
  </w:style>
  <w:style w:type="character" w:styleId="Odkaznakomentr">
    <w:name w:val="annotation reference"/>
    <w:basedOn w:val="Predvolenpsmoodseku"/>
    <w:uiPriority w:val="99"/>
    <w:semiHidden/>
    <w:unhideWhenUsed/>
    <w:rsid w:val="00C17314"/>
    <w:rPr>
      <w:sz w:val="16"/>
      <w:szCs w:val="16"/>
    </w:rPr>
  </w:style>
  <w:style w:type="paragraph" w:styleId="Textkomentra">
    <w:name w:val="annotation text"/>
    <w:basedOn w:val="Normlny"/>
    <w:link w:val="TextkomentraChar"/>
    <w:uiPriority w:val="99"/>
    <w:semiHidden/>
    <w:unhideWhenUsed/>
    <w:rsid w:val="00C17314"/>
    <w:rPr>
      <w:sz w:val="20"/>
      <w:szCs w:val="20"/>
    </w:rPr>
  </w:style>
  <w:style w:type="character" w:customStyle="1" w:styleId="TextkomentraChar">
    <w:name w:val="Text komentára Char"/>
    <w:basedOn w:val="Predvolenpsmoodseku"/>
    <w:link w:val="Textkomentra"/>
    <w:uiPriority w:val="99"/>
    <w:semiHidden/>
    <w:rsid w:val="00C17314"/>
    <w:rPr>
      <w:sz w:val="20"/>
      <w:szCs w:val="20"/>
    </w:rPr>
  </w:style>
  <w:style w:type="paragraph" w:styleId="Predmetkomentra">
    <w:name w:val="annotation subject"/>
    <w:basedOn w:val="Textkomentra"/>
    <w:next w:val="Textkomentra"/>
    <w:link w:val="PredmetkomentraChar"/>
    <w:uiPriority w:val="99"/>
    <w:semiHidden/>
    <w:unhideWhenUsed/>
    <w:rsid w:val="00C17314"/>
    <w:rPr>
      <w:b/>
      <w:bCs/>
    </w:rPr>
  </w:style>
  <w:style w:type="character" w:customStyle="1" w:styleId="PredmetkomentraChar">
    <w:name w:val="Predmet komentára Char"/>
    <w:basedOn w:val="TextkomentraChar"/>
    <w:link w:val="Predmetkomentra"/>
    <w:uiPriority w:val="99"/>
    <w:semiHidden/>
    <w:rsid w:val="00C17314"/>
    <w:rPr>
      <w:b/>
      <w:bCs/>
      <w:sz w:val="20"/>
      <w:szCs w:val="20"/>
    </w:rPr>
  </w:style>
  <w:style w:type="paragraph" w:styleId="Textbubliny">
    <w:name w:val="Balloon Text"/>
    <w:basedOn w:val="Normlny"/>
    <w:link w:val="TextbublinyChar"/>
    <w:uiPriority w:val="99"/>
    <w:semiHidden/>
    <w:unhideWhenUsed/>
    <w:rsid w:val="00C173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7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070">
      <w:bodyDiv w:val="1"/>
      <w:marLeft w:val="0"/>
      <w:marRight w:val="0"/>
      <w:marTop w:val="0"/>
      <w:marBottom w:val="0"/>
      <w:divBdr>
        <w:top w:val="none" w:sz="0" w:space="0" w:color="auto"/>
        <w:left w:val="none" w:sz="0" w:space="0" w:color="auto"/>
        <w:bottom w:val="none" w:sz="0" w:space="0" w:color="auto"/>
        <w:right w:val="none" w:sz="0" w:space="0" w:color="auto"/>
      </w:divBdr>
    </w:div>
    <w:div w:id="462238463">
      <w:bodyDiv w:val="1"/>
      <w:marLeft w:val="0"/>
      <w:marRight w:val="0"/>
      <w:marTop w:val="0"/>
      <w:marBottom w:val="0"/>
      <w:divBdr>
        <w:top w:val="none" w:sz="0" w:space="0" w:color="auto"/>
        <w:left w:val="none" w:sz="0" w:space="0" w:color="auto"/>
        <w:bottom w:val="none" w:sz="0" w:space="0" w:color="auto"/>
        <w:right w:val="none" w:sz="0" w:space="0" w:color="auto"/>
      </w:divBdr>
    </w:div>
    <w:div w:id="879245970">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27626213">
      <w:bodyDiv w:val="1"/>
      <w:marLeft w:val="0"/>
      <w:marRight w:val="0"/>
      <w:marTop w:val="0"/>
      <w:marBottom w:val="0"/>
      <w:divBdr>
        <w:top w:val="none" w:sz="0" w:space="0" w:color="auto"/>
        <w:left w:val="none" w:sz="0" w:space="0" w:color="auto"/>
        <w:bottom w:val="none" w:sz="0" w:space="0" w:color="auto"/>
        <w:right w:val="none" w:sz="0" w:space="0" w:color="auto"/>
      </w:divBdr>
    </w:div>
    <w:div w:id="1419906807">
      <w:bodyDiv w:val="1"/>
      <w:marLeft w:val="0"/>
      <w:marRight w:val="0"/>
      <w:marTop w:val="0"/>
      <w:marBottom w:val="0"/>
      <w:divBdr>
        <w:top w:val="none" w:sz="0" w:space="0" w:color="auto"/>
        <w:left w:val="none" w:sz="0" w:space="0" w:color="auto"/>
        <w:bottom w:val="none" w:sz="0" w:space="0" w:color="auto"/>
        <w:right w:val="none" w:sz="0" w:space="0" w:color="auto"/>
      </w:divBdr>
    </w:div>
    <w:div w:id="1776171412">
      <w:bodyDiv w:val="1"/>
      <w:marLeft w:val="0"/>
      <w:marRight w:val="0"/>
      <w:marTop w:val="0"/>
      <w:marBottom w:val="0"/>
      <w:divBdr>
        <w:top w:val="none" w:sz="0" w:space="0" w:color="auto"/>
        <w:left w:val="none" w:sz="0" w:space="0" w:color="auto"/>
        <w:bottom w:val="none" w:sz="0" w:space="0" w:color="auto"/>
        <w:right w:val="none" w:sz="0" w:space="0" w:color="auto"/>
      </w:divBdr>
    </w:div>
    <w:div w:id="17953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l.drzka@mfsr.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1.12.2016 13:11:08"/>
    <f:field ref="objchangedby" par="" text="Administrator, System"/>
    <f:field ref="objmodifiedat" par="" text="21.12.2016 13:11:11"/>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859</Words>
  <Characters>4901</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Drzka Michal</cp:lastModifiedBy>
  <cp:revision>31</cp:revision>
  <dcterms:created xsi:type="dcterms:W3CDTF">2016-12-21T12:11:00Z</dcterms:created>
  <dcterms:modified xsi:type="dcterms:W3CDTF">2020-05-27T12:35:00Z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Nelegislatívny všeobecný materiál</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Právo EÚ</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Dipl.-Kfm. Ing. Michal Demo</vt:lpwstr>
  </property>
  <property fmtid="{D5CDD505-2E9C-101B-9397-08002B2CF9AE}" pid="9" name="FSC#SKEDITIONSLOVLEX@103.510:zodppredkladatel">
    <vt:lpwstr>Peter Kažimír</vt:lpwstr>
  </property>
  <property fmtid="{D5CDD505-2E9C-101B-9397-08002B2CF9AE}" pid="10" name="FSC#SKEDITIONSLOVLEX@103.510:nazovpredpis">
    <vt:lpwstr> Návrh riadneho predbežného stanoviska k návrhu nariadenia Európskeho parlamentu a Rady o rozpočtových pravidlách, ktoré sa vzťahujú na všeobecný rozpočet Únie, a o zmene nariadení Európskeho parlamentu a Rady (ES) č. 2012/2002, (EÚ) č. 1296/2013, (EÚ) č.</vt:lpwstr>
  </property>
  <property fmtid="{D5CDD505-2E9C-101B-9397-08002B2CF9AE}" pid="11" name="FSC#SKEDITIONSLOVLEX@103.510:cislopredpis">
    <vt:lpwstr/>
  </property>
  <property fmtid="{D5CDD505-2E9C-101B-9397-08002B2CF9AE}" pid="12" name="FSC#SKEDITIONSLOVLEX@103.510:zodpinstitucia">
    <vt:lpwstr>Ministerstvo financií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Na základe uznesenia vlády SR č. 627/2013 z 23. októbra 2013</vt:lpwstr>
  </property>
  <property fmtid="{D5CDD505-2E9C-101B-9397-08002B2CF9AE}" pid="16" name="FSC#SKEDITIONSLOVLEX@103.510:plnynazovpredpis">
    <vt:lpwstr> Návrh riadneho predbežného stanoviska k návrhu nariadenia Európskeho parlamentu a Rady o rozpočtových pravidlách, ktoré sa vzťahujú na všeobecný rozpočet Únie, a o zmene nariadení Európskeho parlamentu a Rady (ES) č. 2012/2002, (EÚ) č. 1296/2013, (EÚ) č.</vt:lpwstr>
  </property>
  <property fmtid="{D5CDD505-2E9C-101B-9397-08002B2CF9AE}" pid="17" name="FSC#SKEDITIONSLOVLEX@103.510:rezortcislopredpis">
    <vt:lpwstr>MF/020148/2016-1812</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LP/2016/1131</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Doložka vybraných vplyvov sa nepredkladá.</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materiál Návrh riadneho predbežného stanoviska k návrhu nariadenia Európskeho parlamentu a Rady o rozpočtových pravidlách, ktoré sa vzťahujú na všeobecný roz</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financií SR predkladá predbežné stanovisko k&amp;nbsp;návrhu nariadenia Európskeho parlamentu a Rady o rozpočtových pravidlách, ktoré sa vzťahujú na všeobecný rozpočet Únie, a&amp;nbsp;o&amp;nbsp;zmene nariadení Európskeho</vt:lpwstr>
  </property>
  <property fmtid="{D5CDD505-2E9C-101B-9397-08002B2CF9AE}" pid="130" name="FSC#COOSYSTEM@1.1:Container">
    <vt:lpwstr>COO.2145.1000.3.1762296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1301/2013, (EÚ) č. 1303/2013, (EÚ) č. 1304/2013, (EÚ) č. 1305/2013, (EÚ) č. 1306/2013, (EÚ) č. 1307/2013, (EÚ) č. 1308/2013, (EÚ) č. 1309/2013, (EÚ) č. 1316/2013, (EÚ) č. 223/2014, (EÚ) č. 283/2014, (EÚ) č. 652/2014 a rozhodnutia Európskeho parlamentu a</vt:lpwstr>
  </property>
  <property fmtid="{D5CDD505-2E9C-101B-9397-08002B2CF9AE}" pid="136" name="FSC#SKEDITIONSLOVLEX@103.510:nazovpredpis2">
    <vt:lpwstr> Rady 541/2014/EÚ</vt:lpwstr>
  </property>
  <property fmtid="{D5CDD505-2E9C-101B-9397-08002B2CF9AE}" pid="137" name="FSC#SKEDITIONSLOVLEX@103.510:nazovpredpis3">
    <vt:lpwstr/>
  </property>
  <property fmtid="{D5CDD505-2E9C-101B-9397-08002B2CF9AE}" pid="138" name="FSC#SKEDITIONSLOVLEX@103.510:plnynazovpredpis1">
    <vt:lpwstr> 1301/2013, (EÚ) č. 1303/2013, (EÚ) č. 1304/2013, (EÚ) č. 1305/2013, (EÚ) č. 1306/2013, (EÚ) č. 1307/2013, (EÚ) č. 1308/2013, (EÚ) č. 1309/2013, (EÚ) č. 1316/2013, (EÚ) č. 223/2014, (EÚ) č. 283/2014, (EÚ) č. 652/2014 a rozhodnutia Európskeho parlamentu a</vt:lpwstr>
  </property>
  <property fmtid="{D5CDD505-2E9C-101B-9397-08002B2CF9AE}" pid="139" name="FSC#SKEDITIONSLOVLEX@103.510:plnynazovpredpis2">
    <vt:lpwstr> Rady 541/2014/EÚ</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hlavnému štátnemu radcovi</vt:lpwstr>
  </property>
  <property fmtid="{D5CDD505-2E9C-101B-9397-08002B2CF9AE}" pid="143" name="FSC#SKEDITIONSLOVLEX@103.510:funkciaPredDativ">
    <vt:lpwstr>hlavnom štátnom radcovi</vt:lpwstr>
  </property>
  <property fmtid="{D5CDD505-2E9C-101B-9397-08002B2CF9AE}" pid="144" name="FSC#SKEDITIONSLOVLEX@103.510:funkciaZodpPred">
    <vt:lpwstr>minister financií Slovenskej republiky</vt:lpwstr>
  </property>
  <property fmtid="{D5CDD505-2E9C-101B-9397-08002B2CF9AE}" pid="145" name="FSC#SKEDITIONSLOVLEX@103.510:funkciaZodpPredAkuzativ">
    <vt:lpwstr>ministrovi financií Slovenskej republiky</vt:lpwstr>
  </property>
  <property fmtid="{D5CDD505-2E9C-101B-9397-08002B2CF9AE}" pid="146" name="FSC#SKEDITIONSLOVLEX@103.510:funkciaZodpPredDativ">
    <vt:lpwstr>ministra financií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Peter Kažimír_x000d_
minister financií Slovenskej republiky</vt:lpwstr>
  </property>
  <property fmtid="{D5CDD505-2E9C-101B-9397-08002B2CF9AE}" pid="151" name="FSC#SKEDITIONSLOVLEX@103.510:aktualnyrok">
    <vt:lpwstr>2016</vt:lpwstr>
  </property>
</Properties>
</file>