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D2" w:rsidRPr="00656466" w:rsidRDefault="00656466" w:rsidP="00C53C25">
      <w:pPr>
        <w:rPr>
          <w:rFonts w:ascii="Times New Roman" w:hAnsi="Times New Roman" w:cs="Times New Roman"/>
          <w:b/>
          <w:sz w:val="24"/>
          <w:szCs w:val="24"/>
        </w:rPr>
      </w:pPr>
      <w:r w:rsidRPr="00656466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6057D8" w:rsidRPr="00656466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7E474E" w:rsidRDefault="007E474E" w:rsidP="00E1265D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>K Čl. I</w:t>
      </w:r>
    </w:p>
    <w:p w:rsidR="003E3387" w:rsidRDefault="003E3387" w:rsidP="003E3387">
      <w:pPr>
        <w:pStyle w:val="Bezriadkovania"/>
        <w:jc w:val="both"/>
        <w:rPr>
          <w:rStyle w:val="Zstupntext"/>
          <w:b/>
          <w:color w:val="000000"/>
          <w:sz w:val="24"/>
          <w:szCs w:val="24"/>
          <w:u w:val="single"/>
        </w:rPr>
      </w:pPr>
    </w:p>
    <w:p w:rsidR="003E3387" w:rsidRDefault="003E3387" w:rsidP="003E3387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 xml:space="preserve">K bodu 1 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K § 101a ods. 1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Cieľom je umožniť športovým organizáciám, aby ich kolektívne orgány mohli prijímať svoje rozhodnutia aj  korešpondenčným spôsobom, tzv. per </w:t>
      </w:r>
      <w:proofErr w:type="spellStart"/>
      <w:r>
        <w:rPr>
          <w:rStyle w:val="Zstupntext"/>
          <w:color w:val="000000"/>
          <w:sz w:val="24"/>
          <w:szCs w:val="24"/>
        </w:rPr>
        <w:t>rollam</w:t>
      </w:r>
      <w:proofErr w:type="spellEnd"/>
      <w:r>
        <w:rPr>
          <w:rStyle w:val="Zstupntext"/>
          <w:color w:val="000000"/>
          <w:sz w:val="24"/>
          <w:szCs w:val="24"/>
        </w:rPr>
        <w:t xml:space="preserve">, alebo realizovať zasadnutie týchto orgánov využitím elektronických prostriedkov, ako je napríklad videokonferencia, čím sa minimalizuje nutnosť zhromažďovania sa väčšieho počtu osôb na jednom mieste. 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K § 101a ods. 2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Dočasná zmena spôsobu prerokovávania a zverejňovania účtovnej závierky a výročnej správy športovej organizácie v období trvania krízovej situácie má za cieľ upraviť tento proces tak, aby športová organizácia nestratila spôsobilosť prijímateľa verejných prostriedkov podľa § 67 ods. 2  písm. e), pri zachovaní transparentnosti informovania členov športovej organizácie o svojom hospodárení.  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K § 101a ods. 3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Navrhované znenie vzhľadom na špecifickosť stavu počas trvania krízovej situácie upravuje povinnosti športovej organizácie mať zriadenú a obsadenú funkciu kontrolóra športovej organizácie tak, aby jej nezriadenie a neobsadenie počas obdobia trvania krízovej situácie a posledného dňa tretieho kalendárneho mesiaca po jej skončení, nemalo za následok stratu spôsobilosť prijímateľa verejných prostriedkov.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K § 101a ods. 4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Národný športový zväz má povinnosť uskutočniť riadne zasadnutie najvyššieho orgánu najmenej raz za rok. S ohľadom na skutočnosť, že riadne zasadnutie najvyššieho orgánu by malo byť organizované použitím § 101a ods. 1 len mimoriadne, návrh zákona upravuje lehotu na uskutočnenie riadne zasadnutie najvyššieho orgánu národného športového zväzu počas trvania krízovej situácie a bezprostredne po nej, a to najmä v súvislosti so stratou spôsobilosti prijímateľa verejných prostriedkov. 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K § 101a ods. 5 a 6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Úprava percentuálneho rozdelenia príspevku uznanému športu podľa 69 ods. 4 a 5 umožní efektívne, účelné a hospodárne použitie verejných prostriedkov - príspevku uznanému športu,  s prihliadnutím na zrušenie domácich a medzinárodných športových podujatí alebo zmenu termínu ich organizovania a s tým súvisiacou zmenou športovej prípravy, resp. jej obmedzením v súvislosti s vyhlásenou krízovou situáciou na celom území Slovenskej republiky na viac ako mesiac.   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b/>
          <w:color w:val="000000"/>
          <w:sz w:val="24"/>
          <w:szCs w:val="24"/>
        </w:rPr>
      </w:pPr>
      <w:r>
        <w:rPr>
          <w:rStyle w:val="Zstupntext"/>
          <w:b/>
          <w:color w:val="000000"/>
          <w:sz w:val="24"/>
          <w:szCs w:val="24"/>
        </w:rPr>
        <w:t>K bodu 2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K § 106e ods. 1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 xml:space="preserve">Úprava uvedená v ustanovení § 59 ods. 4 sa nepoužije, ak národný športový zväz z dôvodu trvania krízovej situácie v roku 2020 nespĺňa podmienku mať 100 aktívnych športovcov registrovaných za športový klub v registri fyzických osôb v športe, alebo neorganizoval celoštátnu súťaž dospelých alebo celoštátnu súťaž mládeže. Dôvodom tejto úpravy je skutočnosť, že za aktívneho športovca sa považuje v zmysle § 4 ods. 6 športovec, ktorý sa v poslednom roku zúčastnil najmenej na troch súťažiach organizovaných športovou organizáciou, za ktorú je registrovaný v zdrojovej evidencii; za účasť na súťaži sa nepovažuje účasť na súťaži športu pre všetkých. V súvislosti s opatrením Úradu verejného zdravotníctva č. OLP/2731/2020, ktorým sa zakazuje organizovať a usporadúvať hromadné podujatia športovej, kultúrnej, spoločenskej či inej povahy podľa § 48 ods. 4 písm. d) zákona č. 355/2007 Z. z. a § 7 zákona č. 42/1994 Z. z. o civilnej ochrane obyvateľstva v znení neskorších predpisov, ako aj v súvislosti s opatrením Úradu verejného zdravotníctva SR č. OLP/2576/2020, ktorým sa zakazuje prevádzka telovýchovno-športových zariadení podľa § 22 zákona č. 355/2007 Z. z., národné športové zväzy a národné športové organizácie nemali možnosť získania dostatočného počtu aktívnych športovcov.  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K § 106e ods. 2 a 3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Z rovnakého dôvodu aký je uvedený v odseku 1 nie je možné vypočítať podiely uznaných športov pre rok 2021, a preto sa použijú podiely totožné s výškou vypočítaných podielov uznaných športov pre rok 2020. Rovnaká zásada sa uplatní aj pre zohľadnenie váh športových odvetví a váh pre kategóriu mužov, kategóriu žien a zmiešanú kategóriu pre rok 2023 podľa váh uvedených pre rok 2022 (platí pravidlo troch rokov spätne).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Vzhľadom na uvedené sa nebude vydávať nariadenie vlády o metodike na výpočet podielu uznaného športu na rok 2021.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K § 106e ods. 4</w:t>
      </w: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</w:p>
    <w:p w:rsidR="003E3387" w:rsidRDefault="003E3387" w:rsidP="003E3387">
      <w:pPr>
        <w:pStyle w:val="Bezriadkovania"/>
        <w:jc w:val="both"/>
        <w:rPr>
          <w:rStyle w:val="Zstupntext"/>
          <w:color w:val="000000"/>
          <w:sz w:val="24"/>
          <w:szCs w:val="24"/>
        </w:rPr>
      </w:pPr>
      <w:r>
        <w:rPr>
          <w:rStyle w:val="Zstupntext"/>
          <w:color w:val="000000"/>
          <w:sz w:val="24"/>
          <w:szCs w:val="24"/>
        </w:rPr>
        <w:t>Rovnaká situácia sa vzťahuje aj na príspevok športovcom podľa zoznamu športovcov top tímu v roku 2021, a teda vo výške príspevku jednotlivým športovcom ako v roku 2020, pokiaľ spĺňajú kritériá uvedené v § 3 písm. u) aj v roku 2021, a teda pokiaľ ide športových reprezentantov a zoskupení v individuálnych športoch v kategórii dospelých a talentovaných športovcov zostavený na základe dosiahnutých športových výsledkov na významnej súťaži. Z uvedeného vyplýva, že športovec, ktorý skončil športovú kariéru v roku 2021, nedostane príspevok pre športovcov top tímu v roku 2021.</w:t>
      </w:r>
    </w:p>
    <w:p w:rsidR="003E3387" w:rsidRDefault="003E3387" w:rsidP="003E3387">
      <w:pPr>
        <w:pStyle w:val="Bezriadkovania"/>
        <w:jc w:val="both"/>
        <w:rPr>
          <w:rStyle w:val="Zstupntext"/>
          <w:b/>
          <w:color w:val="000000"/>
          <w:sz w:val="24"/>
          <w:szCs w:val="24"/>
          <w:u w:val="single"/>
        </w:rPr>
      </w:pPr>
    </w:p>
    <w:p w:rsidR="003E3387" w:rsidRDefault="003E3387" w:rsidP="003E3387">
      <w:pPr>
        <w:pStyle w:val="Bezriadkovania"/>
        <w:jc w:val="both"/>
        <w:rPr>
          <w:rStyle w:val="Zstupntext"/>
          <w:b/>
          <w:color w:val="000000"/>
          <w:sz w:val="24"/>
          <w:szCs w:val="24"/>
          <w:u w:val="single"/>
        </w:rPr>
      </w:pPr>
    </w:p>
    <w:p w:rsidR="003E3387" w:rsidRDefault="003E3387" w:rsidP="003E3387">
      <w:pPr>
        <w:pStyle w:val="Bezriadkovania"/>
        <w:jc w:val="both"/>
        <w:rPr>
          <w:rStyle w:val="Zstupntext"/>
          <w:b/>
          <w:color w:val="000000"/>
          <w:sz w:val="24"/>
          <w:szCs w:val="24"/>
          <w:u w:val="single"/>
        </w:rPr>
      </w:pPr>
    </w:p>
    <w:p w:rsidR="003E3387" w:rsidRDefault="003E3387" w:rsidP="003E3387">
      <w:pPr>
        <w:pStyle w:val="Bezriadkovania"/>
        <w:jc w:val="both"/>
        <w:rPr>
          <w:rStyle w:val="Zstupntext"/>
          <w:b/>
          <w:color w:val="000000"/>
          <w:sz w:val="24"/>
          <w:szCs w:val="24"/>
          <w:u w:val="single"/>
        </w:rPr>
      </w:pPr>
    </w:p>
    <w:p w:rsidR="003E3387" w:rsidRDefault="003E3387" w:rsidP="003E3387">
      <w:pPr>
        <w:pStyle w:val="Bezriadkovania"/>
        <w:jc w:val="both"/>
        <w:rPr>
          <w:rStyle w:val="Zstupntext"/>
          <w:b/>
          <w:color w:val="000000"/>
          <w:sz w:val="24"/>
          <w:szCs w:val="24"/>
          <w:u w:val="single"/>
        </w:rPr>
      </w:pPr>
    </w:p>
    <w:p w:rsidR="003E3387" w:rsidRDefault="003E3387" w:rsidP="003E3387">
      <w:pPr>
        <w:pStyle w:val="Bezriadkovania"/>
        <w:jc w:val="both"/>
        <w:rPr>
          <w:rStyle w:val="Zstupntext"/>
          <w:b/>
          <w:color w:val="000000"/>
          <w:sz w:val="24"/>
          <w:szCs w:val="24"/>
          <w:u w:val="single"/>
        </w:rPr>
      </w:pPr>
    </w:p>
    <w:p w:rsidR="003E3387" w:rsidRDefault="003E3387" w:rsidP="003E3387">
      <w:pPr>
        <w:pStyle w:val="Bezriadkovania"/>
        <w:jc w:val="both"/>
        <w:rPr>
          <w:rStyle w:val="Zstupntext"/>
          <w:b/>
          <w:color w:val="000000"/>
          <w:sz w:val="24"/>
          <w:szCs w:val="24"/>
          <w:u w:val="single"/>
        </w:rPr>
      </w:pPr>
    </w:p>
    <w:p w:rsidR="003E3387" w:rsidRDefault="003E3387" w:rsidP="003E3387">
      <w:pPr>
        <w:pStyle w:val="Bezriadkovania"/>
        <w:jc w:val="both"/>
        <w:rPr>
          <w:rStyle w:val="Zstupntext"/>
          <w:b/>
          <w:color w:val="000000"/>
          <w:sz w:val="24"/>
          <w:szCs w:val="24"/>
          <w:u w:val="single"/>
        </w:rPr>
      </w:pPr>
    </w:p>
    <w:p w:rsidR="003E3387" w:rsidRDefault="003E3387" w:rsidP="003E3387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3E3387" w:rsidRDefault="003E3387" w:rsidP="003E3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387" w:rsidRDefault="003E3387" w:rsidP="003E3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Vzhľadom na mimoriadnu naliehavosť opatrení súvisiacich s ochorením COVID-19 sa navrhuje, aby zákon nadobudol účinnosť dňom vyhlásenia.</w:t>
      </w:r>
    </w:p>
    <w:p w:rsidR="007E474E" w:rsidRDefault="007E474E" w:rsidP="007E474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4E" w:rsidRDefault="007E474E" w:rsidP="007E474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E474E" w:rsidRDefault="007E474E" w:rsidP="007E474E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 Bratislave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20F" w:rsidRPr="00F6020F">
        <w:rPr>
          <w:rFonts w:ascii="Times New Roman" w:eastAsia="Calibri" w:hAnsi="Times New Roman" w:cs="Times New Roman"/>
          <w:sz w:val="24"/>
          <w:szCs w:val="24"/>
        </w:rPr>
        <w:t>27</w:t>
      </w:r>
      <w:r w:rsidRPr="00F6020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76C53" w:rsidRPr="00F6020F">
        <w:rPr>
          <w:rFonts w:ascii="Times New Roman" w:eastAsia="Calibri" w:hAnsi="Times New Roman" w:cs="Times New Roman"/>
          <w:sz w:val="24"/>
          <w:szCs w:val="24"/>
        </w:rPr>
        <w:t>mája</w:t>
      </w:r>
      <w:r w:rsidRPr="00F6020F">
        <w:rPr>
          <w:rFonts w:ascii="Times New Roman" w:eastAsia="Calibri" w:hAnsi="Times New Roman" w:cs="Times New Roman"/>
          <w:sz w:val="24"/>
          <w:szCs w:val="24"/>
        </w:rPr>
        <w:t xml:space="preserve"> 2020</w:t>
      </w:r>
    </w:p>
    <w:p w:rsidR="007E474E" w:rsidRDefault="007E474E" w:rsidP="007E474E">
      <w:pPr>
        <w:rPr>
          <w:rFonts w:ascii="Times New Roman" w:eastAsia="Calibri" w:hAnsi="Times New Roman" w:cs="Times New Roman"/>
          <w:sz w:val="24"/>
          <w:szCs w:val="24"/>
        </w:rPr>
      </w:pPr>
    </w:p>
    <w:p w:rsidR="00F6020F" w:rsidRDefault="00F6020F" w:rsidP="007E474E">
      <w:pPr>
        <w:rPr>
          <w:rFonts w:ascii="Times New Roman" w:eastAsia="Calibri" w:hAnsi="Times New Roman" w:cs="Times New Roman"/>
          <w:sz w:val="24"/>
          <w:szCs w:val="24"/>
        </w:rPr>
      </w:pPr>
    </w:p>
    <w:p w:rsidR="007E474E" w:rsidRDefault="007E474E" w:rsidP="007E47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Igor Matovič</w:t>
      </w:r>
      <w:r w:rsidR="00066D38">
        <w:rPr>
          <w:rFonts w:ascii="Times New Roman" w:eastAsia="Calibri" w:hAnsi="Times New Roman" w:cs="Times New Roman"/>
          <w:b/>
          <w:sz w:val="24"/>
          <w:szCs w:val="24"/>
        </w:rPr>
        <w:t>, v. r.</w:t>
      </w:r>
    </w:p>
    <w:p w:rsidR="007E474E" w:rsidRDefault="007E474E" w:rsidP="007E47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predseda vlády Slovenskej republiky</w:t>
      </w:r>
    </w:p>
    <w:p w:rsidR="007E474E" w:rsidRDefault="007E474E" w:rsidP="007E474E">
      <w:pPr>
        <w:rPr>
          <w:rFonts w:ascii="Times New Roman" w:eastAsia="Calibri" w:hAnsi="Times New Roman" w:cs="Times New Roman"/>
          <w:sz w:val="24"/>
          <w:szCs w:val="24"/>
        </w:rPr>
      </w:pPr>
    </w:p>
    <w:p w:rsidR="007E474E" w:rsidRDefault="007E474E" w:rsidP="007E474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Branislav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Gröhling</w:t>
      </w:r>
      <w:proofErr w:type="spellEnd"/>
      <w:r w:rsidR="00066D38">
        <w:rPr>
          <w:rFonts w:ascii="Times New Roman" w:eastAsia="Calibri" w:hAnsi="Times New Roman" w:cs="Times New Roman"/>
          <w:b/>
          <w:sz w:val="24"/>
          <w:szCs w:val="24"/>
        </w:rPr>
        <w:t>, v. r.</w:t>
      </w:r>
    </w:p>
    <w:p w:rsidR="007E474E" w:rsidRDefault="007E474E" w:rsidP="007E474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minister školstva, vedy, výskumu a športu Slovenskej republiky</w:t>
      </w:r>
    </w:p>
    <w:p w:rsidR="006266D2" w:rsidRPr="006266D2" w:rsidRDefault="006266D2" w:rsidP="00626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266D2" w:rsidRPr="006266D2" w:rsidSect="00253BD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25"/>
    <w:rsid w:val="00066D38"/>
    <w:rsid w:val="00176C53"/>
    <w:rsid w:val="0025158D"/>
    <w:rsid w:val="00253BD2"/>
    <w:rsid w:val="00264D22"/>
    <w:rsid w:val="002B2790"/>
    <w:rsid w:val="002B4A4C"/>
    <w:rsid w:val="00364FBF"/>
    <w:rsid w:val="003D1136"/>
    <w:rsid w:val="003E3387"/>
    <w:rsid w:val="00424613"/>
    <w:rsid w:val="004A3F3C"/>
    <w:rsid w:val="00504F87"/>
    <w:rsid w:val="005870E6"/>
    <w:rsid w:val="005B3808"/>
    <w:rsid w:val="006057D8"/>
    <w:rsid w:val="006266D2"/>
    <w:rsid w:val="00653115"/>
    <w:rsid w:val="00656466"/>
    <w:rsid w:val="00693F40"/>
    <w:rsid w:val="00733774"/>
    <w:rsid w:val="00746954"/>
    <w:rsid w:val="007E474E"/>
    <w:rsid w:val="007F0562"/>
    <w:rsid w:val="007F359C"/>
    <w:rsid w:val="008D4A8E"/>
    <w:rsid w:val="00917D43"/>
    <w:rsid w:val="00983D44"/>
    <w:rsid w:val="00A73C05"/>
    <w:rsid w:val="00AD2913"/>
    <w:rsid w:val="00B6346E"/>
    <w:rsid w:val="00BE4688"/>
    <w:rsid w:val="00C10462"/>
    <w:rsid w:val="00C33058"/>
    <w:rsid w:val="00C53C25"/>
    <w:rsid w:val="00C70989"/>
    <w:rsid w:val="00C73C70"/>
    <w:rsid w:val="00CE2037"/>
    <w:rsid w:val="00D75305"/>
    <w:rsid w:val="00D81207"/>
    <w:rsid w:val="00DE2A14"/>
    <w:rsid w:val="00E1265D"/>
    <w:rsid w:val="00EA30E5"/>
    <w:rsid w:val="00F6020F"/>
    <w:rsid w:val="00F91395"/>
    <w:rsid w:val="00F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4B2FA-A607-4A32-A202-0AA0FB25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C25"/>
    <w:pPr>
      <w:spacing w:after="160" w:line="254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3C25"/>
    <w:pPr>
      <w:spacing w:line="252" w:lineRule="auto"/>
      <w:ind w:left="720"/>
      <w:contextualSpacing/>
    </w:pPr>
    <w:rPr>
      <w:rFonts w:ascii="Calibri" w:eastAsia="Times New Roman" w:hAnsi="Calibri" w:cs="Calibri"/>
      <w:lang w:eastAsia="de-AT"/>
    </w:rPr>
  </w:style>
  <w:style w:type="paragraph" w:styleId="Bezriadkovania">
    <w:name w:val="No Spacing"/>
    <w:uiPriority w:val="1"/>
    <w:qFormat/>
    <w:rsid w:val="00E1265D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styleId="Zstupntext">
    <w:name w:val="Placeholder Text"/>
    <w:basedOn w:val="Predvolenpsmoodseku"/>
    <w:uiPriority w:val="99"/>
    <w:semiHidden/>
    <w:rsid w:val="00E1265D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Kosárová, Viktória</dc:creator>
  <cp:lastModifiedBy>Strmenská Andrea</cp:lastModifiedBy>
  <cp:revision>10</cp:revision>
  <cp:lastPrinted>2019-07-17T10:22:00Z</cp:lastPrinted>
  <dcterms:created xsi:type="dcterms:W3CDTF">2020-05-19T13:52:00Z</dcterms:created>
  <dcterms:modified xsi:type="dcterms:W3CDTF">2020-05-27T07:22:00Z</dcterms:modified>
</cp:coreProperties>
</file>