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BB" w:rsidRDefault="00D903BB" w:rsidP="00D903BB">
      <w:pPr>
        <w:pStyle w:val="Nzov"/>
        <w:rPr>
          <w:spacing w:val="10"/>
          <w:sz w:val="40"/>
          <w:szCs w:val="40"/>
        </w:rPr>
      </w:pPr>
      <w:bookmarkStart w:id="0" w:name="_GoBack"/>
      <w:bookmarkEnd w:id="0"/>
      <w:r>
        <w:rPr>
          <w:spacing w:val="10"/>
          <w:sz w:val="40"/>
          <w:szCs w:val="40"/>
        </w:rPr>
        <w:t>NÁRODNÁ RADA SLOVENSKEJ REPUBLIKY</w:t>
      </w:r>
    </w:p>
    <w:p w:rsidR="00D903BB" w:rsidRDefault="00D903BB" w:rsidP="00D903BB">
      <w:pPr>
        <w:pStyle w:val="Nzov"/>
        <w:rPr>
          <w:spacing w:val="10"/>
          <w:sz w:val="24"/>
        </w:rPr>
      </w:pPr>
      <w:r>
        <w:rPr>
          <w:spacing w:val="10"/>
          <w:sz w:val="24"/>
        </w:rPr>
        <w:t>VII</w:t>
      </w:r>
      <w:r w:rsidR="004D3650">
        <w:rPr>
          <w:spacing w:val="10"/>
          <w:sz w:val="24"/>
        </w:rPr>
        <w:t>I</w:t>
      </w:r>
      <w:r>
        <w:rPr>
          <w:spacing w:val="10"/>
          <w:sz w:val="24"/>
        </w:rPr>
        <w:t>. volebné obdobie</w:t>
      </w:r>
    </w:p>
    <w:p w:rsidR="00D903BB" w:rsidRPr="00B81EE8" w:rsidRDefault="00D903BB" w:rsidP="00B81EE8">
      <w:pPr>
        <w:pStyle w:val="Nzov"/>
        <w:rPr>
          <w:spacing w:val="10"/>
          <w:sz w:val="24"/>
        </w:rPr>
      </w:pPr>
      <w:r>
        <w:rPr>
          <w:spacing w:val="10"/>
          <w:sz w:val="24"/>
        </w:rPr>
        <w:t>_________________________________</w:t>
      </w:r>
      <w:r w:rsidR="00B81EE8">
        <w:rPr>
          <w:spacing w:val="10"/>
          <w:sz w:val="24"/>
        </w:rPr>
        <w:t>_______________________________</w:t>
      </w:r>
    </w:p>
    <w:p w:rsidR="00D903BB" w:rsidRDefault="00D903BB" w:rsidP="00D903BB">
      <w:pPr>
        <w:pStyle w:val="Nzov"/>
        <w:rPr>
          <w:b w:val="0"/>
          <w:spacing w:val="10"/>
          <w:sz w:val="24"/>
        </w:rPr>
      </w:pPr>
    </w:p>
    <w:p w:rsidR="00D903BB" w:rsidRDefault="00D903BB" w:rsidP="00D903BB">
      <w:pPr>
        <w:pStyle w:val="Nzov"/>
        <w:rPr>
          <w:b w:val="0"/>
          <w:spacing w:val="10"/>
          <w:sz w:val="24"/>
        </w:rPr>
      </w:pPr>
    </w:p>
    <w:p w:rsidR="00D903BB" w:rsidRPr="00E32633" w:rsidRDefault="001F7D60" w:rsidP="00D903BB">
      <w:pPr>
        <w:pStyle w:val="Nzov"/>
        <w:rPr>
          <w:spacing w:val="10"/>
          <w:szCs w:val="32"/>
        </w:rPr>
      </w:pPr>
      <w:r>
        <w:rPr>
          <w:spacing w:val="10"/>
          <w:szCs w:val="32"/>
        </w:rPr>
        <w:t>118</w:t>
      </w:r>
    </w:p>
    <w:p w:rsidR="00D903BB" w:rsidRDefault="00D903BB" w:rsidP="00D903BB">
      <w:pPr>
        <w:pStyle w:val="Nzov"/>
        <w:rPr>
          <w:b w:val="0"/>
          <w:spacing w:val="10"/>
          <w:sz w:val="24"/>
        </w:rPr>
      </w:pPr>
    </w:p>
    <w:p w:rsidR="00D903BB" w:rsidRDefault="00D903BB" w:rsidP="00D903BB">
      <w:pPr>
        <w:pStyle w:val="Nzov"/>
        <w:rPr>
          <w:spacing w:val="10"/>
          <w:sz w:val="28"/>
          <w:szCs w:val="28"/>
        </w:rPr>
      </w:pPr>
      <w:r>
        <w:rPr>
          <w:spacing w:val="10"/>
          <w:sz w:val="28"/>
          <w:szCs w:val="28"/>
        </w:rPr>
        <w:t>VLÁDNY NÁVRH</w:t>
      </w:r>
    </w:p>
    <w:p w:rsidR="00D903BB" w:rsidRDefault="00D903BB" w:rsidP="00D903BB">
      <w:pPr>
        <w:pStyle w:val="Nzov"/>
        <w:rPr>
          <w:spacing w:val="10"/>
          <w:sz w:val="28"/>
          <w:szCs w:val="28"/>
        </w:rPr>
      </w:pPr>
    </w:p>
    <w:p w:rsidR="00D903BB" w:rsidRDefault="00D903BB" w:rsidP="00D903BB">
      <w:pPr>
        <w:shd w:val="clear" w:color="auto" w:fill="FFFFFF"/>
        <w:jc w:val="center"/>
        <w:rPr>
          <w:rFonts w:ascii="Times New Roman" w:hAnsi="Times New Roman"/>
        </w:rPr>
      </w:pPr>
    </w:p>
    <w:p w:rsidR="00D903BB" w:rsidRDefault="00D903BB" w:rsidP="00D903BB">
      <w:pPr>
        <w:shd w:val="clear" w:color="auto" w:fill="FFFFFF"/>
        <w:jc w:val="center"/>
        <w:rPr>
          <w:rFonts w:ascii="Times New Roman" w:hAnsi="Times New Roman"/>
          <w:b/>
        </w:rPr>
      </w:pPr>
      <w:r>
        <w:rPr>
          <w:rFonts w:ascii="Times New Roman" w:hAnsi="Times New Roman"/>
          <w:b/>
        </w:rPr>
        <w:t>ZÁKON</w:t>
      </w:r>
    </w:p>
    <w:p w:rsidR="00D903BB" w:rsidRDefault="00D903BB" w:rsidP="00D903BB">
      <w:pPr>
        <w:shd w:val="clear" w:color="auto" w:fill="FFFFFF"/>
        <w:jc w:val="center"/>
        <w:rPr>
          <w:rFonts w:ascii="Times New Roman" w:hAnsi="Times New Roman"/>
          <w:b/>
        </w:rPr>
      </w:pPr>
    </w:p>
    <w:p w:rsidR="00D903BB" w:rsidRDefault="00D903BB" w:rsidP="00D903BB">
      <w:pPr>
        <w:shd w:val="clear" w:color="auto" w:fill="FFFFFF"/>
        <w:jc w:val="center"/>
        <w:rPr>
          <w:rFonts w:ascii="Times New Roman" w:hAnsi="Times New Roman"/>
          <w:b/>
        </w:rPr>
      </w:pPr>
      <w:r>
        <w:rPr>
          <w:rFonts w:ascii="Times New Roman" w:hAnsi="Times New Roman"/>
          <w:b/>
        </w:rPr>
        <w:t>z ...................... 2020,</w:t>
      </w:r>
    </w:p>
    <w:p w:rsidR="004D3650" w:rsidRDefault="004D3650" w:rsidP="00D903BB">
      <w:pPr>
        <w:shd w:val="clear" w:color="auto" w:fill="FFFFFF"/>
        <w:jc w:val="center"/>
        <w:rPr>
          <w:rFonts w:ascii="Times New Roman" w:hAnsi="Times New Roman"/>
          <w:b/>
        </w:rPr>
      </w:pPr>
    </w:p>
    <w:p w:rsidR="00892937" w:rsidRDefault="00892937" w:rsidP="00892937">
      <w:pPr>
        <w:spacing w:line="276" w:lineRule="auto"/>
        <w:jc w:val="center"/>
        <w:rPr>
          <w:rFonts w:ascii="Times New Roman" w:eastAsia="Times New Roman" w:hAnsi="Times New Roman"/>
        </w:rPr>
      </w:pPr>
    </w:p>
    <w:p w:rsidR="00892937" w:rsidRDefault="00892937" w:rsidP="00892937">
      <w:pPr>
        <w:spacing w:line="276" w:lineRule="auto"/>
        <w:jc w:val="center"/>
        <w:rPr>
          <w:rFonts w:ascii="Times New Roman" w:eastAsia="Times New Roman" w:hAnsi="Times New Roman"/>
          <w:b/>
        </w:rPr>
      </w:pPr>
      <w:r>
        <w:rPr>
          <w:rFonts w:ascii="Times New Roman" w:eastAsia="Times New Roman" w:hAnsi="Times New Roman"/>
          <w:b/>
        </w:rPr>
        <w:t>ktorým sa dopĺňa zákon č. 440/2015 Z. z. o športe a o zmene a doplnení niektorých zákonov</w:t>
      </w:r>
      <w:r>
        <w:rPr>
          <w:rFonts w:ascii="Times New Roman" w:eastAsia="Times New Roman" w:hAnsi="Times New Roman"/>
        </w:rPr>
        <w:t xml:space="preserve"> </w:t>
      </w:r>
      <w:r>
        <w:rPr>
          <w:rFonts w:ascii="Times New Roman" w:eastAsia="Times New Roman" w:hAnsi="Times New Roman"/>
          <w:b/>
        </w:rPr>
        <w:t xml:space="preserve">v znení neskorších predpisov </w:t>
      </w:r>
    </w:p>
    <w:p w:rsidR="00892937" w:rsidRDefault="00892937" w:rsidP="00892937">
      <w:pPr>
        <w:spacing w:line="276" w:lineRule="auto"/>
        <w:jc w:val="center"/>
        <w:rPr>
          <w:rFonts w:ascii="Times New Roman" w:eastAsia="Times New Roman" w:hAnsi="Times New Roman"/>
        </w:rPr>
      </w:pPr>
    </w:p>
    <w:p w:rsidR="00892937" w:rsidRDefault="00892937" w:rsidP="00892937">
      <w:pPr>
        <w:spacing w:line="276" w:lineRule="auto"/>
        <w:jc w:val="both"/>
        <w:rPr>
          <w:rFonts w:ascii="Times New Roman" w:eastAsia="Times New Roman" w:hAnsi="Times New Roman"/>
        </w:rPr>
      </w:pPr>
      <w:r>
        <w:rPr>
          <w:rFonts w:ascii="Times New Roman" w:eastAsia="Times New Roman" w:hAnsi="Times New Roman"/>
        </w:rPr>
        <w:t xml:space="preserve">Národná rada Slovenskej republiky sa uzniesla na tomto zákone: </w:t>
      </w:r>
    </w:p>
    <w:p w:rsidR="00892937" w:rsidRDefault="00892937" w:rsidP="00892937">
      <w:pPr>
        <w:spacing w:line="276" w:lineRule="auto"/>
        <w:jc w:val="both"/>
        <w:rPr>
          <w:rFonts w:ascii="Times New Roman" w:eastAsia="Times New Roman" w:hAnsi="Times New Roman"/>
        </w:rPr>
      </w:pPr>
    </w:p>
    <w:p w:rsidR="00892937" w:rsidRDefault="00892937" w:rsidP="00892937">
      <w:pPr>
        <w:spacing w:line="276" w:lineRule="auto"/>
        <w:jc w:val="center"/>
        <w:rPr>
          <w:rFonts w:ascii="Times New Roman" w:eastAsia="Times New Roman" w:hAnsi="Times New Roman"/>
          <w:b/>
        </w:rPr>
      </w:pPr>
      <w:r>
        <w:rPr>
          <w:rFonts w:ascii="Times New Roman" w:eastAsia="Times New Roman" w:hAnsi="Times New Roman"/>
          <w:b/>
        </w:rPr>
        <w:t>Čl. I</w:t>
      </w:r>
    </w:p>
    <w:p w:rsidR="00892937" w:rsidRDefault="00892937" w:rsidP="00892937">
      <w:pPr>
        <w:spacing w:line="276" w:lineRule="auto"/>
        <w:jc w:val="both"/>
        <w:rPr>
          <w:rFonts w:ascii="Times New Roman" w:eastAsia="Times New Roman" w:hAnsi="Times New Roman"/>
        </w:rPr>
      </w:pPr>
    </w:p>
    <w:p w:rsidR="00C73813" w:rsidRDefault="00C73813" w:rsidP="00C73813">
      <w:pPr>
        <w:spacing w:line="276" w:lineRule="auto"/>
        <w:jc w:val="both"/>
        <w:rPr>
          <w:rFonts w:ascii="Times New Roman" w:eastAsia="Times New Roman" w:hAnsi="Times New Roman"/>
          <w:lang w:eastAsia="sk-SK"/>
        </w:rPr>
      </w:pPr>
      <w:r>
        <w:rPr>
          <w:rFonts w:ascii="Times New Roman" w:eastAsia="Times New Roman" w:hAnsi="Times New Roman"/>
        </w:rPr>
        <w:t>Zákon č. 440/2015 Z. z. o športe a o zmene a doplnení niektorých zákonov v znení zákona č. 354/2016 Z. z., zákona č. 335/2017 Z. z., zákona č. 177/2018 Z. z., zákona č. 221/2019 Z. z., zákona č. 310/2019 Z. z. a zákona č. 6/2020 Z. z. sa dopĺňa takto:</w:t>
      </w:r>
    </w:p>
    <w:p w:rsidR="00C73813" w:rsidRDefault="00C73813" w:rsidP="00C73813">
      <w:pPr>
        <w:spacing w:line="276" w:lineRule="auto"/>
        <w:jc w:val="both"/>
        <w:rPr>
          <w:rFonts w:ascii="Times New Roman" w:eastAsia="Times New Roman" w:hAnsi="Times New Roman"/>
        </w:rPr>
      </w:pPr>
    </w:p>
    <w:p w:rsidR="00C73813" w:rsidRDefault="00C73813" w:rsidP="00C73813">
      <w:pPr>
        <w:numPr>
          <w:ilvl w:val="0"/>
          <w:numId w:val="25"/>
        </w:numPr>
        <w:spacing w:line="276" w:lineRule="auto"/>
        <w:ind w:left="284" w:hanging="284"/>
        <w:jc w:val="both"/>
        <w:rPr>
          <w:rFonts w:ascii="Times New Roman" w:eastAsia="Times New Roman" w:hAnsi="Times New Roman"/>
          <w:color w:val="000000"/>
        </w:rPr>
      </w:pPr>
      <w:r>
        <w:rPr>
          <w:rFonts w:ascii="Times New Roman" w:eastAsia="Times New Roman" w:hAnsi="Times New Roman"/>
          <w:color w:val="000000"/>
        </w:rPr>
        <w:t>Za § 101 sa vkladá § 101a, ktorý vrátane nadpisu znie:</w:t>
      </w:r>
    </w:p>
    <w:p w:rsidR="00C73813" w:rsidRDefault="00C73813" w:rsidP="00C73813">
      <w:pPr>
        <w:spacing w:line="276" w:lineRule="auto"/>
        <w:jc w:val="both"/>
        <w:rPr>
          <w:rFonts w:ascii="Times New Roman" w:eastAsia="Times New Roman" w:hAnsi="Times New Roman"/>
        </w:rPr>
      </w:pPr>
    </w:p>
    <w:p w:rsidR="00C73813" w:rsidRDefault="00C73813" w:rsidP="00C73813">
      <w:pPr>
        <w:spacing w:line="276" w:lineRule="auto"/>
        <w:jc w:val="center"/>
        <w:rPr>
          <w:rFonts w:ascii="Times New Roman" w:eastAsia="Times New Roman" w:hAnsi="Times New Roman"/>
        </w:rPr>
      </w:pPr>
      <w:r>
        <w:rPr>
          <w:rFonts w:ascii="Times New Roman" w:eastAsia="Times New Roman" w:hAnsi="Times New Roman"/>
        </w:rPr>
        <w:t>„§ 101a</w:t>
      </w:r>
    </w:p>
    <w:p w:rsidR="00C73813" w:rsidRDefault="00C73813" w:rsidP="00C73813">
      <w:pPr>
        <w:spacing w:line="276" w:lineRule="auto"/>
        <w:jc w:val="center"/>
        <w:rPr>
          <w:rFonts w:ascii="Times New Roman" w:eastAsia="Times New Roman" w:hAnsi="Times New Roman"/>
        </w:rPr>
      </w:pPr>
      <w:r>
        <w:rPr>
          <w:rFonts w:ascii="Times New Roman" w:eastAsia="Times New Roman" w:hAnsi="Times New Roman"/>
        </w:rPr>
        <w:t>Osobitné ustanovenia v čase mimoriadnej situácie, núdzového stavu alebo výnimočného stavu</w:t>
      </w:r>
    </w:p>
    <w:p w:rsidR="00C73813" w:rsidRDefault="00C73813" w:rsidP="00C73813">
      <w:pPr>
        <w:spacing w:line="276" w:lineRule="auto"/>
        <w:jc w:val="both"/>
        <w:rPr>
          <w:rFonts w:ascii="Times New Roman" w:eastAsia="Times New Roman" w:hAnsi="Times New Roman"/>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V čase mimoriadnej situácie, núdzového stavu alebo výnimočného stavu  vyhláseného na celé územie Slovenskej republiky (ďalej len „krízová situácia“) môžu kolektívne orgány športovej organizácie používať hlasovanie v listinnej podobe s využitím poštových služieb alebo hlasovanie prostredníctvom elektronických prostriedkov alebo umožniť zasadnutie takéhoto orgánu prostredníctvom videokonferencie alebo iných prostriedkov informačnej a komunikačnej technológie, aj keď to nevyplýva z ich vnútorných predpisov alebo stanov. </w:t>
      </w:r>
    </w:p>
    <w:p w:rsidR="00C73813" w:rsidRDefault="00C73813" w:rsidP="00C73813">
      <w:pPr>
        <w:spacing w:line="276" w:lineRule="auto"/>
        <w:ind w:left="720"/>
        <w:jc w:val="both"/>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V čase krízovej situácie môže športová organizácia uložiť a zverejniť svoju výročnú správu do registra účtovných závierok aj bez predchádzajúceho prerokovania najvyšším orgánom športovej organizácie. Najvyšší orgán športovej organizácie prerokuje výročnú správu do uplynutia posledného dňa tretieho kalendárneho mesiaca po skončení krízovej situácie.</w:t>
      </w:r>
    </w:p>
    <w:p w:rsidR="00C73813" w:rsidRDefault="00C73813" w:rsidP="00C73813">
      <w:pPr>
        <w:ind w:left="720"/>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 Ak športovej organizácii vznikne povinnosť zriadiť a obsadiť funkciu kontrolóra v čase krízovej situácie a technické podmienky neumožňujú zriadiť a obsadiť funkciu kontrolóra počas krízovej situácie, povinnosť sa považuje za splnenú, ak športová organizácia túto funkciu zriadi a obsadí do  uplynutia posledného dňa tretieho kalendárneho mesiaca po skončení krízovej situácie.</w:t>
      </w:r>
    </w:p>
    <w:p w:rsidR="00C73813" w:rsidRDefault="00C73813" w:rsidP="00C73813">
      <w:pPr>
        <w:ind w:left="720"/>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Spôsobilosť prijímateľa verejných prostriedkov sa na účely § 67 ods. 3 písm. f) považuje za zachovanú, ak</w:t>
      </w:r>
    </w:p>
    <w:p w:rsidR="00C73813" w:rsidRDefault="00C73813" w:rsidP="00C73813">
      <w:pPr>
        <w:ind w:left="720"/>
        <w:rPr>
          <w:rFonts w:ascii="Times New Roman" w:eastAsia="Times New Roman" w:hAnsi="Times New Roman"/>
          <w:color w:val="000000"/>
        </w:rPr>
      </w:pPr>
    </w:p>
    <w:p w:rsidR="00C73813" w:rsidRDefault="00C73813" w:rsidP="00C73813">
      <w:pPr>
        <w:numPr>
          <w:ilvl w:val="1"/>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posledný deň lehoty na uskutočnenie riadneho zasadnutia najvyššieho orgánu národného športového zväzu pripadol na obdobie krízovej situácie alebo na obdobie jedného mesiaca odo dňa jej skončenia a</w:t>
      </w:r>
    </w:p>
    <w:p w:rsidR="00C73813" w:rsidRDefault="00C73813" w:rsidP="00C73813">
      <w:pPr>
        <w:numPr>
          <w:ilvl w:val="1"/>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riadne zasadnutie najvyššieho orgánu národného športového zväzu sa uskutoční do troch mesiacov odo dňa skončenia krízovej situácie.</w:t>
      </w:r>
    </w:p>
    <w:p w:rsidR="00C73813" w:rsidRDefault="00C73813" w:rsidP="00C73813">
      <w:pPr>
        <w:spacing w:line="276" w:lineRule="auto"/>
        <w:ind w:left="1440" w:hanging="720"/>
        <w:jc w:val="both"/>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V kalendárnom roku, v ktorom bola vyhlásená krízová situácia a trvala viac ako 30 dní, sa ustanovenia podľa § 69 ods. 4 nepoužijú; ustanovenia zmluvy o poskytnutí príspevku uznanému športu, ktoré sa týkajú rozdelenia finančných prostriedkov podľa § 69 ods. 4, sa v príslušnom kalendárnom roku nebudú uplatňovať. </w:t>
      </w:r>
    </w:p>
    <w:p w:rsidR="00C73813" w:rsidRDefault="00C73813" w:rsidP="00C73813">
      <w:pPr>
        <w:spacing w:line="276" w:lineRule="auto"/>
        <w:ind w:left="720"/>
        <w:jc w:val="both"/>
        <w:rPr>
          <w:rFonts w:ascii="Times New Roman" w:eastAsia="Times New Roman" w:hAnsi="Times New Roman"/>
          <w:color w:val="000000"/>
        </w:rPr>
      </w:pPr>
    </w:p>
    <w:p w:rsidR="00C73813" w:rsidRDefault="00C73813" w:rsidP="00C73813">
      <w:pPr>
        <w:numPr>
          <w:ilvl w:val="0"/>
          <w:numId w:val="26"/>
        </w:numPr>
        <w:spacing w:line="276" w:lineRule="auto"/>
        <w:jc w:val="both"/>
        <w:rPr>
          <w:rFonts w:ascii="Times New Roman" w:eastAsia="Times New Roman" w:hAnsi="Times New Roman"/>
          <w:color w:val="000000"/>
        </w:rPr>
      </w:pPr>
      <w:r>
        <w:rPr>
          <w:rFonts w:ascii="Times New Roman" w:eastAsia="Times New Roman" w:hAnsi="Times New Roman"/>
          <w:color w:val="000000"/>
        </w:rPr>
        <w:t>Výdavky podľa § 69 ods. 5 nesmú v kalendárnom roku, v ktorom bola vyhlásená krízová situácia a trvala viac ako 30 dní, prekročiť 20 % z ročných príjmov národného športového zväzu z príspevku uznanému športu; ustanovenia zmluvy o poskytnutí príspevku uznanému športu, ktoré sa týkajú rozdelenia finančných prostriedkov podľa § 69 ods. 5, sa v príslušnom kalendárnom roku nebudú uplatňovať.“.</w:t>
      </w:r>
    </w:p>
    <w:p w:rsidR="00C73813" w:rsidRDefault="00C73813" w:rsidP="00C73813">
      <w:pPr>
        <w:spacing w:line="276" w:lineRule="auto"/>
        <w:jc w:val="both"/>
        <w:rPr>
          <w:rFonts w:ascii="Times New Roman" w:eastAsia="Times New Roman" w:hAnsi="Times New Roman"/>
        </w:rPr>
      </w:pPr>
    </w:p>
    <w:p w:rsidR="00C73813" w:rsidRDefault="00C73813" w:rsidP="00C73813">
      <w:pPr>
        <w:numPr>
          <w:ilvl w:val="0"/>
          <w:numId w:val="25"/>
        </w:numPr>
        <w:spacing w:line="276" w:lineRule="auto"/>
        <w:ind w:left="284" w:hanging="284"/>
        <w:jc w:val="both"/>
        <w:rPr>
          <w:rFonts w:ascii="Times New Roman" w:eastAsia="Times New Roman" w:hAnsi="Times New Roman"/>
          <w:color w:val="000000"/>
        </w:rPr>
      </w:pPr>
      <w:r>
        <w:rPr>
          <w:rFonts w:ascii="Times New Roman" w:eastAsia="Times New Roman" w:hAnsi="Times New Roman"/>
          <w:color w:val="000000"/>
        </w:rPr>
        <w:t>Za § 106d sa vkladá § 106e, ktorý vrátane nadpisu znie:</w:t>
      </w:r>
    </w:p>
    <w:p w:rsidR="00C73813" w:rsidRDefault="00C73813" w:rsidP="00C73813">
      <w:pPr>
        <w:spacing w:line="276" w:lineRule="auto"/>
        <w:ind w:left="284" w:hanging="720"/>
        <w:jc w:val="both"/>
        <w:rPr>
          <w:rFonts w:ascii="Times New Roman" w:eastAsia="Times New Roman" w:hAnsi="Times New Roman"/>
          <w:color w:val="000000"/>
        </w:rPr>
      </w:pPr>
    </w:p>
    <w:p w:rsidR="00C73813" w:rsidRDefault="00C73813" w:rsidP="00C73813">
      <w:pPr>
        <w:spacing w:line="276" w:lineRule="auto"/>
        <w:jc w:val="center"/>
        <w:rPr>
          <w:rFonts w:ascii="Times New Roman" w:eastAsia="Times New Roman" w:hAnsi="Times New Roman"/>
        </w:rPr>
      </w:pPr>
      <w:r>
        <w:rPr>
          <w:rFonts w:ascii="Times New Roman" w:eastAsia="Times New Roman" w:hAnsi="Times New Roman"/>
        </w:rPr>
        <w:t>„§ 106e</w:t>
      </w:r>
    </w:p>
    <w:p w:rsidR="00C73813" w:rsidRDefault="00C73813" w:rsidP="00C73813">
      <w:pPr>
        <w:spacing w:line="276" w:lineRule="auto"/>
        <w:jc w:val="center"/>
        <w:rPr>
          <w:rFonts w:ascii="Times New Roman" w:eastAsia="Times New Roman" w:hAnsi="Times New Roman"/>
        </w:rPr>
      </w:pPr>
      <w:r>
        <w:rPr>
          <w:rFonts w:ascii="Times New Roman" w:eastAsia="Times New Roman" w:hAnsi="Times New Roman"/>
        </w:rPr>
        <w:t>Prechodné ustanovenia počas trvania mimoriadnej situácie, núdzového stavu alebo výnimočného stavu vyhláseného v súvislosti s ochorením COVID-19</w:t>
      </w:r>
    </w:p>
    <w:p w:rsidR="00C73813" w:rsidRDefault="00C73813" w:rsidP="00C73813">
      <w:pPr>
        <w:spacing w:line="276" w:lineRule="auto"/>
        <w:jc w:val="both"/>
        <w:rPr>
          <w:rFonts w:ascii="Times New Roman" w:eastAsia="Times New Roman" w:hAnsi="Times New Roman"/>
        </w:rPr>
      </w:pPr>
      <w:r>
        <w:rPr>
          <w:rFonts w:ascii="Times New Roman" w:eastAsia="Times New Roman" w:hAnsi="Times New Roman"/>
        </w:rPr>
        <w:t xml:space="preserve"> </w:t>
      </w:r>
    </w:p>
    <w:p w:rsidR="00C73813" w:rsidRDefault="00C73813" w:rsidP="00C73813">
      <w:pPr>
        <w:numPr>
          <w:ilvl w:val="0"/>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Ministerstvo školstva v rokoch 2020 a 2021 nevydá rozhodnutie o zrušení osvedčenia, ak národný športový zväz v príslušnom kalendárnom roku </w:t>
      </w:r>
    </w:p>
    <w:p w:rsidR="00C73813" w:rsidRDefault="00C73813" w:rsidP="00C73813">
      <w:pPr>
        <w:numPr>
          <w:ilvl w:val="1"/>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nemal 100 aktívnych športovcov registrovaných za športový klub v registri fyzických osôb v športe, alebo</w:t>
      </w:r>
    </w:p>
    <w:p w:rsidR="00C73813" w:rsidRDefault="00C73813" w:rsidP="00C73813">
      <w:pPr>
        <w:numPr>
          <w:ilvl w:val="1"/>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neorganizoval celoštátnu súťaž dospelých alebo celoštátnu súťaž mládeže.</w:t>
      </w:r>
    </w:p>
    <w:p w:rsidR="00C73813" w:rsidRDefault="00C73813" w:rsidP="00C73813">
      <w:pPr>
        <w:ind w:left="360"/>
        <w:rPr>
          <w:rFonts w:cs="Calibri"/>
          <w:sz w:val="22"/>
          <w:szCs w:val="22"/>
        </w:rPr>
      </w:pPr>
    </w:p>
    <w:p w:rsidR="00C73813" w:rsidRDefault="00C73813" w:rsidP="00C73813">
      <w:pPr>
        <w:numPr>
          <w:ilvl w:val="0"/>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Pri výpočte príspevku uznanému športu na rok 2021 sa </w:t>
      </w:r>
      <w:r>
        <w:rPr>
          <w:rFonts w:ascii="Times New Roman" w:eastAsia="Times New Roman" w:hAnsi="Times New Roman"/>
        </w:rPr>
        <w:t>použijú</w:t>
      </w:r>
      <w:r>
        <w:rPr>
          <w:rFonts w:ascii="Times New Roman" w:eastAsia="Times New Roman" w:hAnsi="Times New Roman"/>
          <w:color w:val="000000"/>
        </w:rPr>
        <w:t xml:space="preserve"> vypočítan</w:t>
      </w:r>
      <w:r>
        <w:rPr>
          <w:rFonts w:ascii="Times New Roman" w:eastAsia="Times New Roman" w:hAnsi="Times New Roman"/>
        </w:rPr>
        <w:t>é</w:t>
      </w:r>
      <w:r>
        <w:rPr>
          <w:rFonts w:ascii="Times New Roman" w:eastAsia="Times New Roman" w:hAnsi="Times New Roman"/>
          <w:color w:val="000000"/>
        </w:rPr>
        <w:t xml:space="preserve"> podiel</w:t>
      </w:r>
      <w:r>
        <w:rPr>
          <w:rFonts w:ascii="Times New Roman" w:eastAsia="Times New Roman" w:hAnsi="Times New Roman"/>
        </w:rPr>
        <w:t>y</w:t>
      </w:r>
      <w:r>
        <w:rPr>
          <w:rFonts w:ascii="Times New Roman" w:eastAsia="Times New Roman" w:hAnsi="Times New Roman"/>
          <w:color w:val="000000"/>
        </w:rPr>
        <w:t xml:space="preserve"> uznaných športov na rok 2020. </w:t>
      </w:r>
    </w:p>
    <w:p w:rsidR="00C73813" w:rsidRDefault="00C73813" w:rsidP="00C73813">
      <w:pPr>
        <w:ind w:left="720"/>
        <w:rPr>
          <w:rFonts w:ascii="Times New Roman" w:eastAsia="Times New Roman" w:hAnsi="Times New Roman"/>
          <w:color w:val="000000"/>
        </w:rPr>
      </w:pPr>
    </w:p>
    <w:p w:rsidR="00C73813" w:rsidRDefault="00C73813" w:rsidP="00C73813">
      <w:pPr>
        <w:numPr>
          <w:ilvl w:val="0"/>
          <w:numId w:val="27"/>
        </w:numPr>
        <w:spacing w:line="276" w:lineRule="auto"/>
        <w:jc w:val="both"/>
        <w:rPr>
          <w:rFonts w:ascii="Times New Roman" w:eastAsia="Times New Roman" w:hAnsi="Times New Roman"/>
          <w:color w:val="000000"/>
        </w:rPr>
      </w:pPr>
      <w:r>
        <w:rPr>
          <w:rFonts w:ascii="Times New Roman" w:eastAsia="Times New Roman" w:hAnsi="Times New Roman"/>
        </w:rPr>
        <w:t xml:space="preserve">Ak ide o uznaný šport, v ktorom sa súťaží vo viacerých športových odvetviach alebo vo viacerých kategóriách, pri výpočte podielu uznaného športu na rok 2023 sa zohľadnia </w:t>
      </w:r>
      <w:r>
        <w:rPr>
          <w:rFonts w:ascii="Times New Roman" w:eastAsia="Times New Roman" w:hAnsi="Times New Roman"/>
        </w:rPr>
        <w:lastRenderedPageBreak/>
        <w:t>váhy športových odvetví a váhy pre kategóriu mužov, kategóriu žien a zmiešanú kategóriu použité pri výpočte podielu uznaného športu na rok 2022.</w:t>
      </w:r>
      <w:r>
        <w:rPr>
          <w:rFonts w:ascii="Times New Roman" w:eastAsia="Times New Roman" w:hAnsi="Times New Roman"/>
          <w:color w:val="000000"/>
        </w:rPr>
        <w:t xml:space="preserve"> </w:t>
      </w:r>
    </w:p>
    <w:p w:rsidR="00C73813" w:rsidRDefault="00C73813" w:rsidP="00C73813">
      <w:pPr>
        <w:spacing w:line="276" w:lineRule="auto"/>
        <w:ind w:left="720"/>
        <w:jc w:val="both"/>
        <w:rPr>
          <w:rFonts w:ascii="Times New Roman" w:eastAsia="Times New Roman" w:hAnsi="Times New Roman"/>
          <w:color w:val="000000"/>
        </w:rPr>
      </w:pPr>
    </w:p>
    <w:p w:rsidR="00C73813" w:rsidRDefault="00C73813" w:rsidP="00C73813">
      <w:pPr>
        <w:numPr>
          <w:ilvl w:val="0"/>
          <w:numId w:val="27"/>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Ministerstvo školstva poskytne v roku 2021 príspevok športovcom podľa zoznamu športovcov top tímu v roku 2020 vo výške príspevku poskytnutého príslušnému športovcovi v roku 2020, ak športovec bude športovým reprezentantom aj v roku 2021.”. </w:t>
      </w:r>
    </w:p>
    <w:p w:rsidR="00C73813" w:rsidRDefault="00C73813" w:rsidP="00C73813">
      <w:pPr>
        <w:spacing w:line="276" w:lineRule="auto"/>
        <w:jc w:val="both"/>
        <w:rPr>
          <w:rFonts w:ascii="Times New Roman" w:eastAsia="Times New Roman" w:hAnsi="Times New Roman"/>
          <w:b/>
        </w:rPr>
      </w:pPr>
    </w:p>
    <w:p w:rsidR="00C73813" w:rsidRDefault="00C73813" w:rsidP="00C73813">
      <w:pPr>
        <w:spacing w:line="276" w:lineRule="auto"/>
        <w:jc w:val="both"/>
        <w:rPr>
          <w:rFonts w:ascii="Times New Roman" w:eastAsia="Times New Roman" w:hAnsi="Times New Roman"/>
          <w:b/>
        </w:rPr>
      </w:pPr>
    </w:p>
    <w:p w:rsidR="00C73813" w:rsidRDefault="00C73813" w:rsidP="00C73813">
      <w:pPr>
        <w:spacing w:line="276" w:lineRule="auto"/>
        <w:jc w:val="both"/>
        <w:rPr>
          <w:rFonts w:ascii="Times New Roman" w:eastAsia="Times New Roman" w:hAnsi="Times New Roman"/>
          <w:b/>
        </w:rPr>
      </w:pPr>
    </w:p>
    <w:p w:rsidR="00C73813" w:rsidRDefault="00C73813" w:rsidP="00C73813">
      <w:pPr>
        <w:spacing w:line="276" w:lineRule="auto"/>
        <w:jc w:val="center"/>
        <w:rPr>
          <w:rFonts w:ascii="Times New Roman" w:eastAsia="Times New Roman" w:hAnsi="Times New Roman"/>
          <w:b/>
        </w:rPr>
      </w:pPr>
      <w:r>
        <w:rPr>
          <w:rFonts w:ascii="Times New Roman" w:eastAsia="Times New Roman" w:hAnsi="Times New Roman"/>
          <w:b/>
        </w:rPr>
        <w:t>Čl. II</w:t>
      </w:r>
    </w:p>
    <w:p w:rsidR="00C73813" w:rsidRDefault="00C73813" w:rsidP="00C73813">
      <w:pPr>
        <w:spacing w:line="276" w:lineRule="auto"/>
        <w:jc w:val="both"/>
        <w:rPr>
          <w:rFonts w:ascii="Times New Roman" w:eastAsia="Times New Roman" w:hAnsi="Times New Roman"/>
        </w:rPr>
      </w:pPr>
    </w:p>
    <w:p w:rsidR="00C73813" w:rsidRDefault="00C73813" w:rsidP="00C73813">
      <w:pPr>
        <w:spacing w:after="200" w:line="276" w:lineRule="auto"/>
        <w:jc w:val="both"/>
        <w:rPr>
          <w:rFonts w:ascii="Times New Roman" w:eastAsia="Times New Roman" w:hAnsi="Times New Roman"/>
        </w:rPr>
      </w:pPr>
      <w:bookmarkStart w:id="1" w:name="_heading=h.gjdgxs"/>
      <w:bookmarkEnd w:id="1"/>
      <w:r>
        <w:rPr>
          <w:rFonts w:ascii="Times New Roman" w:eastAsia="Times New Roman" w:hAnsi="Times New Roman"/>
        </w:rPr>
        <w:t>Tento zákon nadobúda účinnosť dňom vyhlásenia.</w:t>
      </w:r>
    </w:p>
    <w:p w:rsidR="001332E0" w:rsidRPr="00BB3226" w:rsidRDefault="001332E0" w:rsidP="00C73813">
      <w:pPr>
        <w:spacing w:line="276" w:lineRule="auto"/>
        <w:jc w:val="both"/>
        <w:rPr>
          <w:rFonts w:ascii="Times New Roman" w:hAnsi="Times New Roman"/>
        </w:rPr>
      </w:pPr>
    </w:p>
    <w:sectPr w:rsidR="001332E0" w:rsidRPr="00BB3226" w:rsidSect="00B0054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581" w:rsidRDefault="00F44581" w:rsidP="002E2D91">
      <w:r>
        <w:separator/>
      </w:r>
    </w:p>
  </w:endnote>
  <w:endnote w:type="continuationSeparator" w:id="0">
    <w:p w:rsidR="00F44581" w:rsidRDefault="00F44581" w:rsidP="002E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41" w:rsidRDefault="00B00541">
    <w:pPr>
      <w:pStyle w:val="Pta"/>
      <w:jc w:val="center"/>
    </w:pPr>
    <w:r>
      <w:fldChar w:fldCharType="begin"/>
    </w:r>
    <w:r>
      <w:instrText>PAGE   \* MERGEFORMAT</w:instrText>
    </w:r>
    <w:r>
      <w:fldChar w:fldCharType="separate"/>
    </w:r>
    <w:r w:rsidR="00DD6B02">
      <w:rPr>
        <w:noProof/>
      </w:rPr>
      <w:t>2</w:t>
    </w:r>
    <w:r>
      <w:fldChar w:fldCharType="end"/>
    </w:r>
  </w:p>
  <w:p w:rsidR="00B00541" w:rsidRDefault="00B00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581" w:rsidRDefault="00F44581" w:rsidP="002E2D91">
      <w:r>
        <w:separator/>
      </w:r>
    </w:p>
  </w:footnote>
  <w:footnote w:type="continuationSeparator" w:id="0">
    <w:p w:rsidR="00F44581" w:rsidRDefault="00F44581" w:rsidP="002E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2F"/>
    <w:multiLevelType w:val="hybridMultilevel"/>
    <w:tmpl w:val="152EF4AA"/>
    <w:lvl w:ilvl="0" w:tplc="05AC0BAC">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A444E9"/>
    <w:multiLevelType w:val="multilevel"/>
    <w:tmpl w:val="D5AA8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61C80"/>
    <w:multiLevelType w:val="hybridMultilevel"/>
    <w:tmpl w:val="CFFEC092"/>
    <w:lvl w:ilvl="0" w:tplc="72E07B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7851E1"/>
    <w:multiLevelType w:val="hybridMultilevel"/>
    <w:tmpl w:val="F5AA0AC2"/>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B357BB0"/>
    <w:multiLevelType w:val="hybridMultilevel"/>
    <w:tmpl w:val="66FAF248"/>
    <w:lvl w:ilvl="0" w:tplc="DE223D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BE7985"/>
    <w:multiLevelType w:val="hybridMultilevel"/>
    <w:tmpl w:val="4BF0A210"/>
    <w:lvl w:ilvl="0" w:tplc="777EA054">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C170E7"/>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03216B"/>
    <w:multiLevelType w:val="hybridMultilevel"/>
    <w:tmpl w:val="9918BD48"/>
    <w:lvl w:ilvl="0" w:tplc="19DA3EAE">
      <w:start w:val="1"/>
      <w:numFmt w:val="lowerLetter"/>
      <w:lvlText w:val="%1)"/>
      <w:lvlJc w:val="left"/>
      <w:pPr>
        <w:ind w:left="360" w:hanging="360"/>
      </w:pPr>
      <w:rPr>
        <w:rFonts w:ascii="Times New Roman" w:hAnsi="Times New Roman" w:hint="default"/>
        <w:b w:val="0"/>
        <w:i w:val="0"/>
        <w:color w:val="494949"/>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AB805F4"/>
    <w:multiLevelType w:val="hybridMultilevel"/>
    <w:tmpl w:val="4204F27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824D9"/>
    <w:multiLevelType w:val="hybridMultilevel"/>
    <w:tmpl w:val="F8F213F0"/>
    <w:lvl w:ilvl="0" w:tplc="341434B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8B5ED9"/>
    <w:multiLevelType w:val="multilevel"/>
    <w:tmpl w:val="E688A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4B0C5E"/>
    <w:multiLevelType w:val="hybridMultilevel"/>
    <w:tmpl w:val="53CC2398"/>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2BB3035"/>
    <w:multiLevelType w:val="hybridMultilevel"/>
    <w:tmpl w:val="20F0F37E"/>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9E5B6E"/>
    <w:multiLevelType w:val="hybridMultilevel"/>
    <w:tmpl w:val="75640C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276667"/>
    <w:multiLevelType w:val="multilevel"/>
    <w:tmpl w:val="79401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3434EB"/>
    <w:multiLevelType w:val="hybridMultilevel"/>
    <w:tmpl w:val="69B83E26"/>
    <w:lvl w:ilvl="0" w:tplc="C54C92BA">
      <w:start w:val="1"/>
      <w:numFmt w:val="decimal"/>
      <w:lvlText w:val="%1."/>
      <w:lvlJc w:val="left"/>
      <w:pPr>
        <w:ind w:left="720" w:hanging="360"/>
      </w:pPr>
      <w:rPr>
        <w:rFonts w:ascii="Times New Roman" w:eastAsia="Calibri"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8F52AA"/>
    <w:multiLevelType w:val="hybridMultilevel"/>
    <w:tmpl w:val="E64C8F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5D1B16"/>
    <w:multiLevelType w:val="hybridMultilevel"/>
    <w:tmpl w:val="EF7292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622A201A"/>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9F05E82"/>
    <w:multiLevelType w:val="hybridMultilevel"/>
    <w:tmpl w:val="075A5D38"/>
    <w:lvl w:ilvl="0" w:tplc="2CFE9A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1057B3"/>
    <w:multiLevelType w:val="hybridMultilevel"/>
    <w:tmpl w:val="724EBCF4"/>
    <w:lvl w:ilvl="0" w:tplc="6EE826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A21403"/>
    <w:multiLevelType w:val="hybridMultilevel"/>
    <w:tmpl w:val="EB4AF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EFA1C93"/>
    <w:multiLevelType w:val="hybridMultilevel"/>
    <w:tmpl w:val="E44E169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8"/>
  </w:num>
  <w:num w:numId="5">
    <w:abstractNumId w:val="18"/>
  </w:num>
  <w:num w:numId="6">
    <w:abstractNumId w:val="7"/>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21"/>
  </w:num>
  <w:num w:numId="18">
    <w:abstractNumId w:val="2"/>
  </w:num>
  <w:num w:numId="19">
    <w:abstractNumId w:val="15"/>
  </w:num>
  <w:num w:numId="20">
    <w:abstractNumId w:val="5"/>
  </w:num>
  <w:num w:numId="21">
    <w:abstractNumId w:val="20"/>
  </w:num>
  <w:num w:numId="22">
    <w:abstractNumId w:val="0"/>
  </w:num>
  <w:num w:numId="23">
    <w:abstractNumId w:val="19"/>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35"/>
    <w:rsid w:val="00005007"/>
    <w:rsid w:val="00055DAA"/>
    <w:rsid w:val="00062865"/>
    <w:rsid w:val="00075373"/>
    <w:rsid w:val="000F4F33"/>
    <w:rsid w:val="000F7111"/>
    <w:rsid w:val="001332E0"/>
    <w:rsid w:val="00157A1C"/>
    <w:rsid w:val="00172CA0"/>
    <w:rsid w:val="001A51B3"/>
    <w:rsid w:val="001F3DAF"/>
    <w:rsid w:val="001F7D60"/>
    <w:rsid w:val="0020768A"/>
    <w:rsid w:val="002102E6"/>
    <w:rsid w:val="00225279"/>
    <w:rsid w:val="00243816"/>
    <w:rsid w:val="002666B3"/>
    <w:rsid w:val="0027247D"/>
    <w:rsid w:val="002B1B46"/>
    <w:rsid w:val="002E2D91"/>
    <w:rsid w:val="003124A7"/>
    <w:rsid w:val="00322ADE"/>
    <w:rsid w:val="00336102"/>
    <w:rsid w:val="00341C7E"/>
    <w:rsid w:val="00392ABF"/>
    <w:rsid w:val="003B6978"/>
    <w:rsid w:val="003B7A18"/>
    <w:rsid w:val="003C655F"/>
    <w:rsid w:val="00411DB3"/>
    <w:rsid w:val="00425A21"/>
    <w:rsid w:val="0042655E"/>
    <w:rsid w:val="004469ED"/>
    <w:rsid w:val="004754BC"/>
    <w:rsid w:val="004B6EF1"/>
    <w:rsid w:val="004D3650"/>
    <w:rsid w:val="004E7B44"/>
    <w:rsid w:val="00541F3B"/>
    <w:rsid w:val="00554E97"/>
    <w:rsid w:val="005D7607"/>
    <w:rsid w:val="00640C27"/>
    <w:rsid w:val="00666F32"/>
    <w:rsid w:val="00676A92"/>
    <w:rsid w:val="00690D95"/>
    <w:rsid w:val="006A108D"/>
    <w:rsid w:val="006B7B85"/>
    <w:rsid w:val="006F49E5"/>
    <w:rsid w:val="00761AFD"/>
    <w:rsid w:val="00781350"/>
    <w:rsid w:val="007861A7"/>
    <w:rsid w:val="00793E3F"/>
    <w:rsid w:val="007A53DE"/>
    <w:rsid w:val="007C7A65"/>
    <w:rsid w:val="007D3A5F"/>
    <w:rsid w:val="007E51B7"/>
    <w:rsid w:val="00820AA7"/>
    <w:rsid w:val="00885070"/>
    <w:rsid w:val="00892937"/>
    <w:rsid w:val="008A0DC6"/>
    <w:rsid w:val="008B2238"/>
    <w:rsid w:val="008D1787"/>
    <w:rsid w:val="008D3D1F"/>
    <w:rsid w:val="009150C6"/>
    <w:rsid w:val="009827FD"/>
    <w:rsid w:val="00986D7B"/>
    <w:rsid w:val="009B0355"/>
    <w:rsid w:val="009F0883"/>
    <w:rsid w:val="00A41FC4"/>
    <w:rsid w:val="00A97C80"/>
    <w:rsid w:val="00AC3ECE"/>
    <w:rsid w:val="00AC5235"/>
    <w:rsid w:val="00AE4002"/>
    <w:rsid w:val="00B00541"/>
    <w:rsid w:val="00B630BC"/>
    <w:rsid w:val="00B6583F"/>
    <w:rsid w:val="00B81EE8"/>
    <w:rsid w:val="00BB3226"/>
    <w:rsid w:val="00C21951"/>
    <w:rsid w:val="00C46CD4"/>
    <w:rsid w:val="00C71CF0"/>
    <w:rsid w:val="00C73813"/>
    <w:rsid w:val="00C85385"/>
    <w:rsid w:val="00C97FB8"/>
    <w:rsid w:val="00CA13D2"/>
    <w:rsid w:val="00CA4ED6"/>
    <w:rsid w:val="00CE547B"/>
    <w:rsid w:val="00CF6639"/>
    <w:rsid w:val="00D05103"/>
    <w:rsid w:val="00D23386"/>
    <w:rsid w:val="00D63D7E"/>
    <w:rsid w:val="00D71478"/>
    <w:rsid w:val="00D7336B"/>
    <w:rsid w:val="00D8654C"/>
    <w:rsid w:val="00D87C89"/>
    <w:rsid w:val="00D903BB"/>
    <w:rsid w:val="00D92682"/>
    <w:rsid w:val="00DB3C91"/>
    <w:rsid w:val="00DD54CE"/>
    <w:rsid w:val="00DD6B02"/>
    <w:rsid w:val="00DE2AEB"/>
    <w:rsid w:val="00E02AA2"/>
    <w:rsid w:val="00E274E9"/>
    <w:rsid w:val="00E32633"/>
    <w:rsid w:val="00E34920"/>
    <w:rsid w:val="00E51D5E"/>
    <w:rsid w:val="00E52ABD"/>
    <w:rsid w:val="00EB12B2"/>
    <w:rsid w:val="00EF4F56"/>
    <w:rsid w:val="00F12A4C"/>
    <w:rsid w:val="00F15379"/>
    <w:rsid w:val="00F34B7A"/>
    <w:rsid w:val="00F44581"/>
    <w:rsid w:val="00F55E35"/>
    <w:rsid w:val="00F85696"/>
    <w:rsid w:val="00FB0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8C208-74E4-4C03-BF44-C55B2BAC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C91"/>
    <w:rPr>
      <w:sz w:val="24"/>
      <w:szCs w:val="24"/>
      <w:lang w:eastAsia="en-US"/>
    </w:rPr>
  </w:style>
  <w:style w:type="paragraph" w:styleId="Nadpis1">
    <w:name w:val="heading 1"/>
    <w:basedOn w:val="Normlny"/>
    <w:link w:val="Nadpis1Char"/>
    <w:uiPriority w:val="9"/>
    <w:qFormat/>
    <w:rsid w:val="00F15379"/>
    <w:pPr>
      <w:spacing w:before="100" w:beforeAutospacing="1" w:after="100" w:afterAutospacing="1"/>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DB3C91"/>
    <w:rPr>
      <w:sz w:val="20"/>
      <w:szCs w:val="20"/>
    </w:rPr>
  </w:style>
  <w:style w:type="character" w:customStyle="1" w:styleId="TextkomentraChar">
    <w:name w:val="Text komentára Char"/>
    <w:link w:val="Textkomentra"/>
    <w:uiPriority w:val="99"/>
    <w:rsid w:val="00DB3C91"/>
    <w:rPr>
      <w:sz w:val="20"/>
      <w:szCs w:val="20"/>
    </w:rPr>
  </w:style>
  <w:style w:type="paragraph" w:styleId="Odsekzoznamu">
    <w:name w:val="List Paragraph"/>
    <w:basedOn w:val="Normlny"/>
    <w:uiPriority w:val="34"/>
    <w:qFormat/>
    <w:rsid w:val="006A108D"/>
    <w:pPr>
      <w:ind w:left="720"/>
      <w:contextualSpacing/>
    </w:pPr>
  </w:style>
  <w:style w:type="character" w:styleId="Hypertextovprepojenie">
    <w:name w:val="Hyperlink"/>
    <w:uiPriority w:val="99"/>
    <w:semiHidden/>
    <w:unhideWhenUsed/>
    <w:rsid w:val="00322ADE"/>
    <w:rPr>
      <w:color w:val="0000FF"/>
      <w:u w:val="single"/>
    </w:rPr>
  </w:style>
  <w:style w:type="paragraph" w:styleId="Hlavika">
    <w:name w:val="header"/>
    <w:basedOn w:val="Normlny"/>
    <w:link w:val="HlavikaChar"/>
    <w:uiPriority w:val="99"/>
    <w:unhideWhenUsed/>
    <w:rsid w:val="002E2D91"/>
    <w:pPr>
      <w:tabs>
        <w:tab w:val="center" w:pos="4536"/>
        <w:tab w:val="right" w:pos="9072"/>
      </w:tabs>
    </w:pPr>
  </w:style>
  <w:style w:type="character" w:customStyle="1" w:styleId="HlavikaChar">
    <w:name w:val="Hlavička Char"/>
    <w:link w:val="Hlavika"/>
    <w:uiPriority w:val="99"/>
    <w:rsid w:val="002E2D91"/>
    <w:rPr>
      <w:sz w:val="24"/>
      <w:szCs w:val="24"/>
    </w:rPr>
  </w:style>
  <w:style w:type="paragraph" w:styleId="Pta">
    <w:name w:val="footer"/>
    <w:basedOn w:val="Normlny"/>
    <w:link w:val="PtaChar"/>
    <w:uiPriority w:val="99"/>
    <w:unhideWhenUsed/>
    <w:rsid w:val="002E2D91"/>
    <w:pPr>
      <w:tabs>
        <w:tab w:val="center" w:pos="4536"/>
        <w:tab w:val="right" w:pos="9072"/>
      </w:tabs>
    </w:pPr>
  </w:style>
  <w:style w:type="character" w:customStyle="1" w:styleId="PtaChar">
    <w:name w:val="Päta Char"/>
    <w:link w:val="Pta"/>
    <w:uiPriority w:val="99"/>
    <w:rsid w:val="002E2D91"/>
    <w:rPr>
      <w:sz w:val="24"/>
      <w:szCs w:val="24"/>
    </w:rPr>
  </w:style>
  <w:style w:type="character" w:styleId="Odkaznakomentr">
    <w:name w:val="annotation reference"/>
    <w:uiPriority w:val="99"/>
    <w:semiHidden/>
    <w:unhideWhenUsed/>
    <w:rsid w:val="00062865"/>
    <w:rPr>
      <w:sz w:val="16"/>
      <w:szCs w:val="16"/>
    </w:rPr>
  </w:style>
  <w:style w:type="paragraph" w:styleId="Predmetkomentra">
    <w:name w:val="annotation subject"/>
    <w:basedOn w:val="Textkomentra"/>
    <w:next w:val="Textkomentra"/>
    <w:link w:val="PredmetkomentraChar"/>
    <w:uiPriority w:val="99"/>
    <w:semiHidden/>
    <w:unhideWhenUsed/>
    <w:rsid w:val="00062865"/>
    <w:rPr>
      <w:b/>
      <w:bCs/>
    </w:rPr>
  </w:style>
  <w:style w:type="character" w:customStyle="1" w:styleId="PredmetkomentraChar">
    <w:name w:val="Predmet komentára Char"/>
    <w:link w:val="Predmetkomentra"/>
    <w:uiPriority w:val="99"/>
    <w:semiHidden/>
    <w:rsid w:val="00062865"/>
    <w:rPr>
      <w:b/>
      <w:bCs/>
      <w:sz w:val="20"/>
      <w:szCs w:val="20"/>
    </w:rPr>
  </w:style>
  <w:style w:type="paragraph" w:styleId="Textbubliny">
    <w:name w:val="Balloon Text"/>
    <w:basedOn w:val="Normlny"/>
    <w:link w:val="TextbublinyChar"/>
    <w:uiPriority w:val="99"/>
    <w:semiHidden/>
    <w:unhideWhenUsed/>
    <w:rsid w:val="00062865"/>
    <w:rPr>
      <w:rFonts w:ascii="Tahoma" w:hAnsi="Tahoma" w:cs="Tahoma"/>
      <w:sz w:val="16"/>
      <w:szCs w:val="16"/>
    </w:rPr>
  </w:style>
  <w:style w:type="character" w:customStyle="1" w:styleId="TextbublinyChar">
    <w:name w:val="Text bubliny Char"/>
    <w:link w:val="Textbubliny"/>
    <w:uiPriority w:val="99"/>
    <w:semiHidden/>
    <w:rsid w:val="00062865"/>
    <w:rPr>
      <w:rFonts w:ascii="Tahoma" w:hAnsi="Tahoma" w:cs="Tahoma"/>
      <w:sz w:val="16"/>
      <w:szCs w:val="16"/>
    </w:rPr>
  </w:style>
  <w:style w:type="character" w:customStyle="1" w:styleId="Nadpis1Char">
    <w:name w:val="Nadpis 1 Char"/>
    <w:link w:val="Nadpis1"/>
    <w:uiPriority w:val="9"/>
    <w:rsid w:val="00F15379"/>
    <w:rPr>
      <w:rFonts w:ascii="Times New Roman" w:eastAsia="Times New Roman" w:hAnsi="Times New Roman" w:cs="Times New Roman"/>
      <w:b/>
      <w:bCs/>
      <w:kern w:val="36"/>
      <w:sz w:val="48"/>
      <w:szCs w:val="48"/>
      <w:lang w:eastAsia="sk-SK"/>
    </w:rPr>
  </w:style>
  <w:style w:type="paragraph" w:styleId="Nzov">
    <w:name w:val="Title"/>
    <w:basedOn w:val="Normlny"/>
    <w:link w:val="NzovChar"/>
    <w:uiPriority w:val="10"/>
    <w:qFormat/>
    <w:rsid w:val="00D903BB"/>
    <w:pPr>
      <w:jc w:val="center"/>
    </w:pPr>
    <w:rPr>
      <w:rFonts w:ascii="Times New Roman" w:eastAsia="Times New Roman" w:hAnsi="Times New Roman"/>
      <w:b/>
      <w:bCs/>
      <w:sz w:val="32"/>
      <w:lang w:eastAsia="cs-CZ"/>
    </w:rPr>
  </w:style>
  <w:style w:type="character" w:customStyle="1" w:styleId="NzovChar">
    <w:name w:val="Názov Char"/>
    <w:link w:val="Nzov"/>
    <w:uiPriority w:val="10"/>
    <w:rsid w:val="00D903BB"/>
    <w:rPr>
      <w:rFonts w:ascii="Times New Roman" w:eastAsia="Times New Roman"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5948">
      <w:bodyDiv w:val="1"/>
      <w:marLeft w:val="0"/>
      <w:marRight w:val="0"/>
      <w:marTop w:val="0"/>
      <w:marBottom w:val="0"/>
      <w:divBdr>
        <w:top w:val="none" w:sz="0" w:space="0" w:color="auto"/>
        <w:left w:val="none" w:sz="0" w:space="0" w:color="auto"/>
        <w:bottom w:val="none" w:sz="0" w:space="0" w:color="auto"/>
        <w:right w:val="none" w:sz="0" w:space="0" w:color="auto"/>
      </w:divBdr>
    </w:div>
    <w:div w:id="403263672">
      <w:bodyDiv w:val="1"/>
      <w:marLeft w:val="0"/>
      <w:marRight w:val="0"/>
      <w:marTop w:val="0"/>
      <w:marBottom w:val="0"/>
      <w:divBdr>
        <w:top w:val="none" w:sz="0" w:space="0" w:color="auto"/>
        <w:left w:val="none" w:sz="0" w:space="0" w:color="auto"/>
        <w:bottom w:val="none" w:sz="0" w:space="0" w:color="auto"/>
        <w:right w:val="none" w:sz="0" w:space="0" w:color="auto"/>
      </w:divBdr>
    </w:div>
    <w:div w:id="899438473">
      <w:bodyDiv w:val="1"/>
      <w:marLeft w:val="0"/>
      <w:marRight w:val="0"/>
      <w:marTop w:val="0"/>
      <w:marBottom w:val="0"/>
      <w:divBdr>
        <w:top w:val="none" w:sz="0" w:space="0" w:color="auto"/>
        <w:left w:val="none" w:sz="0" w:space="0" w:color="auto"/>
        <w:bottom w:val="none" w:sz="0" w:space="0" w:color="auto"/>
        <w:right w:val="none" w:sz="0" w:space="0" w:color="auto"/>
      </w:divBdr>
    </w:div>
    <w:div w:id="924925232">
      <w:bodyDiv w:val="1"/>
      <w:marLeft w:val="0"/>
      <w:marRight w:val="0"/>
      <w:marTop w:val="0"/>
      <w:marBottom w:val="0"/>
      <w:divBdr>
        <w:top w:val="none" w:sz="0" w:space="0" w:color="auto"/>
        <w:left w:val="none" w:sz="0" w:space="0" w:color="auto"/>
        <w:bottom w:val="none" w:sz="0" w:space="0" w:color="auto"/>
        <w:right w:val="none" w:sz="0" w:space="0" w:color="auto"/>
      </w:divBdr>
    </w:div>
    <w:div w:id="1388264170">
      <w:bodyDiv w:val="1"/>
      <w:marLeft w:val="0"/>
      <w:marRight w:val="0"/>
      <w:marTop w:val="0"/>
      <w:marBottom w:val="0"/>
      <w:divBdr>
        <w:top w:val="none" w:sz="0" w:space="0" w:color="auto"/>
        <w:left w:val="none" w:sz="0" w:space="0" w:color="auto"/>
        <w:bottom w:val="none" w:sz="0" w:space="0" w:color="auto"/>
        <w:right w:val="none" w:sz="0" w:space="0" w:color="auto"/>
      </w:divBdr>
    </w:div>
    <w:div w:id="1642492622">
      <w:bodyDiv w:val="1"/>
      <w:marLeft w:val="0"/>
      <w:marRight w:val="0"/>
      <w:marTop w:val="0"/>
      <w:marBottom w:val="0"/>
      <w:divBdr>
        <w:top w:val="none" w:sz="0" w:space="0" w:color="auto"/>
        <w:left w:val="none" w:sz="0" w:space="0" w:color="auto"/>
        <w:bottom w:val="none" w:sz="0" w:space="0" w:color="auto"/>
        <w:right w:val="none" w:sz="0" w:space="0" w:color="auto"/>
      </w:divBdr>
    </w:div>
    <w:div w:id="16673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3780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Hertelova Karin</dc:creator>
  <cp:keywords/>
  <cp:lastModifiedBy>Strmenská Andrea</cp:lastModifiedBy>
  <cp:revision>2</cp:revision>
  <cp:lastPrinted>2020-05-27T08:49:00Z</cp:lastPrinted>
  <dcterms:created xsi:type="dcterms:W3CDTF">2020-05-27T10:10:00Z</dcterms:created>
  <dcterms:modified xsi:type="dcterms:W3CDTF">2020-05-27T10:10:00Z</dcterms:modified>
</cp:coreProperties>
</file>